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1F1F"/>
          <w:sz w:val="40"/>
          <w:szCs w:val="40"/>
        </w:rPr>
        <w:t xml:space="preserve">Corporate Default Risk &amp; Macro Stress Test</w:t>
      </w:r>
    </w:p>
    <w:p>
      <w:pPr>
        <w:spacing w:after="40"/>
      </w:pPr>
      <w:r>
        <w:rPr>
          <w:i/>
          <w:iCs/>
          <w:color w:val="555555"/>
          <w:sz w:val="24"/>
          <w:szCs w:val="24"/>
        </w:rPr>
        <w:t xml:space="preserve">A Structural Credit Risk Assessment of 26 U.S. Public Companies</w:t>
      </w:r>
    </w:p>
    <w:p>
      <w:pPr>
        <w:spacing w:after="300"/>
      </w:pPr>
      <w:r>
        <w:rPr>
          <w:color w:val="888888"/>
          <w:sz w:val="18"/>
          <w:szCs w:val="18"/>
        </w:rPr>
        <w:t xml:space="preserve">Prepared for: Credit Risk Committee   |   Date: August 2026   |   Classification: Confidential</w:t>
      </w:r>
    </w:p>
    <w:p>
      <w:pPr>
        <w:pBdr>
          <w:bottom w:val="single" w:color="1F1F1F" w:sz="8" w:space="4"/>
        </w:pBdr>
        <w:spacing w:after="240"/>
      </w:pPr>
    </w:p>
    <w:p>
      <w:pPr>
        <w:pStyle w:val="Heading1"/>
        <w:spacing w:after="90" w:before="160"/>
      </w:pPr>
      <w:r>
        <w:t xml:space="preserve">Executive Summary</w:t>
      </w:r>
    </w:p>
    <w:p>
      <w:pPr>
        <w:spacing w:after="110"/>
        <w:jc w:val="left"/>
      </w:pPr>
      <w:r>
        <w:rPr>
          <w:b w:val="false"/>
          <w:bCs w:val="false"/>
          <w:i w:val="false"/>
          <w:iCs w:val="false"/>
        </w:rPr>
        <w:t xml:space="preserve">This memo presents a structural (Merton, 1974) default-risk assessment of 26 U.S. public companies spanning nine sectors and the full credit-quality spectrum, cross-validated against an independent accounting-based model (Altman Z-score), backtested against a real historical credit deterioration (General Electric, 2017-2019), and extended with a macro stress test calibrated to actual 2008 and 2020 market data.</w:t>
      </w:r>
    </w:p>
    <w:p>
      <w:pPr>
        <w:pStyle w:val="Heading3"/>
        <w:spacing w:after="90" w:before="160"/>
      </w:pPr>
      <w:r>
        <w:t xml:space="preserve">Key Findings</w:t>
      </w:r>
    </w:p>
    <w:p>
      <w:pPr>
        <w:pStyle w:val="ListParagraph"/>
        <w:numPr>
          <w:ilvl w:val="0"/>
          <w:numId w:val="1"/>
        </w:numPr>
        <w:spacing w:after="55"/>
      </w:pPr>
      <w:r>
        <w:t xml:space="preserve">Lumen Technologies (LUMN) and Charter Communications (CHTR) are the two highest-risk names in the portfolio by Merton implied PD (11.8% and 3.3% respectively), consistent with both companies' speculative-grade profile and elevated leverage.</w:t>
      </w:r>
    </w:p>
    <w:p>
      <w:pPr>
        <w:pStyle w:val="ListParagraph"/>
        <w:numPr>
          <w:ilvl w:val="0"/>
          <w:numId w:val="1"/>
        </w:numPr>
        <w:spacing w:after="55"/>
      </w:pPr>
      <w:r>
        <w:t xml:space="preserve">The Merton model and the independent Altman Z-score agree strongly on relative risk ranking (Spearman rho = 0.81, p &lt; 0.001) — genuine cross-validation between two structurally different modeling approaches.</w:t>
      </w:r>
    </w:p>
    <w:p>
      <w:pPr>
        <w:pStyle w:val="ListParagraph"/>
        <w:numPr>
          <w:ilvl w:val="0"/>
          <w:numId w:val="1"/>
        </w:numPr>
        <w:spacing w:after="55"/>
      </w:pPr>
      <w:r>
        <w:t xml:space="preserve">The largest disagreement between the two models is Duke Energy (DUK): Altman ranks it among the riskier names (regulated-utility balance sheets carry structurally high leverage), while Merton ranks it comfortably safe (low equity volatility from stable regulated cash flows). This is a genuine, explainable divergence between an accounting-based and a market-based view of risk, not model error.</w:t>
      </w:r>
    </w:p>
    <w:p>
      <w:pPr>
        <w:pStyle w:val="ListParagraph"/>
        <w:numPr>
          <w:ilvl w:val="0"/>
          <w:numId w:val="1"/>
        </w:numPr>
        <w:spacing w:after="55"/>
      </w:pPr>
      <w:r>
        <w:t xml:space="preserve">Historical backtest: applying the model to General Electric using only data available at the time shows Distance-to-Default declining continuously from a peak of 20.7 (March 2017) to 4.6 (December 2018) — more than a year before GE's October 2018 dividend cut and SEC investigation became public. The model would have flagged deteriorating credit quality well ahead of the public disclosure.</w:t>
      </w:r>
    </w:p>
    <w:p>
      <w:pPr>
        <w:pStyle w:val="ListParagraph"/>
        <w:numPr>
          <w:ilvl w:val="0"/>
          <w:numId w:val="1"/>
        </w:numPr>
        <w:spacing w:after="55"/>
      </w:pPr>
      <w:r>
        <w:t xml:space="preserve">Under a severely adverse macro scenario calibrated to the actual 2008 financial crisis (unemployment +5.6pp, GDP -4.0%, empirically mapped to a -34.8% aggregate equity shock), LUMN's implied PD nearly triples (11.8% to 30.1%) and CHTR's implied PD grows more than 5x (3.3% to 17.5%). Investment-grade names are essentially unaffected in absolute terms.</w:t>
      </w:r>
    </w:p>
    <w:p>
      <w:pPr>
        <w:pStyle w:val="ListParagraph"/>
        <w:numPr>
          <w:ilvl w:val="0"/>
          <w:numId w:val="1"/>
        </w:numPr>
        <w:spacing w:after="55"/>
      </w:pPr>
      <w:r>
        <w:t xml:space="preserve">Sector-differentiated stress testing confirms cyclical sectors deteriorate ~37% more (in Distance-to-Default terms) than defensive sectors under the severely adverse scenario — visible cleanly on a linear DD scale, though the same pattern is obscured on a raw PD-fold-change basis due to the normal distribution's tail convexity. This is discussed in Section 4 as a methodology finding in its own right.</w:t>
      </w:r>
    </w:p>
    <w:p>
      <w:pPr>
        <w:pStyle w:val="Heading3"/>
        <w:spacing w:after="90" w:before="160"/>
      </w:pPr>
      <w:r>
        <w:t xml:space="preserve">Portfolio Risk Ranking — 10 Highest-Risk Names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2600"/>
        <w:gridCol w:w="1200"/>
        <w:gridCol w:w="1200"/>
        <w:gridCol w:w="1300"/>
        <w:gridCol w:w="900"/>
        <w:gridCol w:w="1100"/>
      </w:tblGrid>
      <w:tr>
        <w:trPr>
          <w:tblHeader/>
        </w:trPr>
        <w:tc>
          <w:tcPr>
            <w:tcW w:type="dxa" w:w="500"/>
            <w:shd w:fill="1F1F1F" w:val="clear"/>
            <w:tcMar>
              <w:top w:type="dxa" w:w="40"/>
              <w:left w:type="dxa" w:w="80"/>
              <w:bottom w:type="dxa" w:w="40"/>
              <w:right w:type="dxa" w:w="80"/>
            </w:tcMar>
            <w:vAlign w:val="center"/>
          </w:tcPr>
          <w:p>
            <w:pPr>
              <w:spacing w:after="0"/>
              <w:jc w:val="left"/>
            </w:pPr>
            <w:r>
              <w:rPr>
                <w:b/>
                <w:bCs/>
                <w:color w:val="FFFFFF"/>
                <w:sz w:val="16"/>
                <w:szCs w:val="16"/>
              </w:rPr>
              <w:t xml:space="preserve">Rank</w:t>
            </w:r>
          </w:p>
        </w:tc>
        <w:tc>
          <w:tcPr>
            <w:tcW w:type="dxa" w:w="700"/>
            <w:shd w:fill="1F1F1F" w:val="clear"/>
            <w:tcMar>
              <w:top w:type="dxa" w:w="40"/>
              <w:left w:type="dxa" w:w="80"/>
              <w:bottom w:type="dxa" w:w="40"/>
              <w:right w:type="dxa" w:w="80"/>
            </w:tcMar>
            <w:vAlign w:val="center"/>
          </w:tcPr>
          <w:p>
            <w:pPr>
              <w:spacing w:after="0"/>
              <w:jc w:val="left"/>
            </w:pPr>
            <w:r>
              <w:rPr>
                <w:b/>
                <w:bCs/>
                <w:color w:val="FFFFFF"/>
                <w:sz w:val="16"/>
                <w:szCs w:val="16"/>
              </w:rPr>
              <w:t xml:space="preserve">Ticker</w:t>
            </w:r>
          </w:p>
        </w:tc>
        <w:tc>
          <w:tcPr>
            <w:tcW w:type="dxa" w:w="2600"/>
            <w:shd w:fill="1F1F1F" w:val="clear"/>
            <w:tcMar>
              <w:top w:type="dxa" w:w="40"/>
              <w:left w:type="dxa" w:w="80"/>
              <w:bottom w:type="dxa" w:w="40"/>
              <w:right w:type="dxa" w:w="80"/>
            </w:tcMar>
            <w:vAlign w:val="center"/>
          </w:tcPr>
          <w:p>
            <w:pPr>
              <w:spacing w:after="0"/>
              <w:jc w:val="left"/>
            </w:pPr>
            <w:r>
              <w:rPr>
                <w:b/>
                <w:bCs/>
                <w:color w:val="FFFFFF"/>
                <w:sz w:val="16"/>
                <w:szCs w:val="16"/>
              </w:rPr>
              <w:t xml:space="preserve">Company</w:t>
            </w:r>
          </w:p>
        </w:tc>
        <w:tc>
          <w:tcPr>
            <w:tcW w:type="dxa" w:w="1200"/>
            <w:shd w:fill="1F1F1F" w:val="clear"/>
            <w:tcMar>
              <w:top w:type="dxa" w:w="40"/>
              <w:left w:type="dxa" w:w="80"/>
              <w:bottom w:type="dxa" w:w="40"/>
              <w:right w:type="dxa" w:w="80"/>
            </w:tcMar>
            <w:vAlign w:val="center"/>
          </w:tcPr>
          <w:p>
            <w:pPr>
              <w:spacing w:after="0"/>
              <w:jc w:val="left"/>
            </w:pPr>
            <w:r>
              <w:rPr>
                <w:b/>
                <w:bCs/>
                <w:color w:val="FFFFFF"/>
                <w:sz w:val="16"/>
                <w:szCs w:val="16"/>
              </w:rPr>
              <w:t xml:space="preserve">Sector</w:t>
            </w:r>
          </w:p>
        </w:tc>
        <w:tc>
          <w:tcPr>
            <w:tcW w:type="dxa" w:w="1200"/>
            <w:shd w:fill="1F1F1F" w:val="clear"/>
            <w:tcMar>
              <w:top w:type="dxa" w:w="40"/>
              <w:left w:type="dxa" w:w="80"/>
              <w:bottom w:type="dxa" w:w="40"/>
              <w:right w:type="dxa" w:w="80"/>
            </w:tcMar>
            <w:vAlign w:val="center"/>
          </w:tcPr>
          <w:p>
            <w:pPr>
              <w:spacing w:after="0"/>
              <w:jc w:val="left"/>
            </w:pPr>
            <w:r>
              <w:rPr>
                <w:b/>
                <w:bCs/>
                <w:color w:val="FFFFFF"/>
                <w:sz w:val="16"/>
                <w:szCs w:val="16"/>
              </w:rPr>
              <w:t xml:space="preserve">Rating tier</w:t>
            </w:r>
          </w:p>
        </w:tc>
        <w:tc>
          <w:tcPr>
            <w:tcW w:type="dxa" w:w="1300"/>
            <w:shd w:fill="1F1F1F" w:val="clear"/>
            <w:tcMar>
              <w:top w:type="dxa" w:w="40"/>
              <w:left w:type="dxa" w:w="80"/>
              <w:bottom w:type="dxa" w:w="40"/>
              <w:right w:type="dxa" w:w="80"/>
            </w:tcMar>
            <w:vAlign w:val="center"/>
          </w:tcPr>
          <w:p>
            <w:pPr>
              <w:spacing w:after="0"/>
              <w:jc w:val="left"/>
            </w:pPr>
            <w:r>
              <w:rPr>
                <w:b/>
                <w:bCs/>
                <w:color w:val="FFFFFF"/>
                <w:sz w:val="16"/>
                <w:szCs w:val="16"/>
              </w:rPr>
              <w:t xml:space="preserve">Merton 1yr PD</w:t>
            </w:r>
          </w:p>
        </w:tc>
        <w:tc>
          <w:tcPr>
            <w:tcW w:type="dxa" w:w="900"/>
            <w:shd w:fill="1F1F1F" w:val="clear"/>
            <w:tcMar>
              <w:top w:type="dxa" w:w="40"/>
              <w:left w:type="dxa" w:w="80"/>
              <w:bottom w:type="dxa" w:w="40"/>
              <w:right w:type="dxa" w:w="80"/>
            </w:tcMar>
            <w:vAlign w:val="center"/>
          </w:tcPr>
          <w:p>
            <w:pPr>
              <w:spacing w:after="0"/>
              <w:jc w:val="left"/>
            </w:pPr>
            <w:r>
              <w:rPr>
                <w:b/>
                <w:bCs/>
                <w:color w:val="FFFFFF"/>
                <w:sz w:val="16"/>
                <w:szCs w:val="16"/>
              </w:rPr>
              <w:t xml:space="preserve">Altman Z</w:t>
            </w:r>
          </w:p>
        </w:tc>
        <w:tc>
          <w:tcPr>
            <w:tcW w:type="dxa" w:w="1100"/>
            <w:shd w:fill="1F1F1F" w:val="clear"/>
            <w:tcMar>
              <w:top w:type="dxa" w:w="40"/>
              <w:left w:type="dxa" w:w="80"/>
              <w:bottom w:type="dxa" w:w="40"/>
              <w:right w:type="dxa" w:w="80"/>
            </w:tcMar>
            <w:vAlign w:val="center"/>
          </w:tcPr>
          <w:p>
            <w:pPr>
              <w:spacing w:after="0"/>
              <w:jc w:val="left"/>
            </w:pPr>
            <w:r>
              <w:rPr>
                <w:b/>
                <w:bCs/>
                <w:color w:val="FFFFFF"/>
                <w:sz w:val="16"/>
                <w:szCs w:val="16"/>
              </w:rPr>
              <w:t xml:space="preserve">Altman zone</w:t>
            </w:r>
          </w:p>
        </w:tc>
      </w:tr>
      <w:tr>
        <w:tc>
          <w:tcPr>
            <w:tcW w:type="dxa" w:w="500"/>
            <w:tcMar>
              <w:top w:type="dxa" w:w="40"/>
              <w:left w:type="dxa" w:w="80"/>
              <w:bottom w:type="dxa" w:w="40"/>
              <w:right w:type="dxa" w:w="80"/>
            </w:tcMar>
            <w:vAlign w:val="center"/>
          </w:tcPr>
          <w:p>
            <w:pPr>
              <w:spacing w:after="0"/>
              <w:jc w:val="left"/>
            </w:pPr>
            <w:r>
              <w:rPr>
                <w:b w:val="false"/>
                <w:bCs w:val="false"/>
                <w:color w:val="000000"/>
                <w:sz w:val="16"/>
                <w:szCs w:val="16"/>
              </w:rPr>
              <w:t xml:space="preserve">1</w:t>
            </w:r>
          </w:p>
        </w:tc>
        <w:tc>
          <w:tcPr>
            <w:tcW w:type="dxa" w:w="700"/>
            <w:tcMar>
              <w:top w:type="dxa" w:w="40"/>
              <w:left w:type="dxa" w:w="80"/>
              <w:bottom w:type="dxa" w:w="40"/>
              <w:right w:type="dxa" w:w="80"/>
            </w:tcMar>
            <w:vAlign w:val="center"/>
          </w:tcPr>
          <w:p>
            <w:pPr>
              <w:spacing w:after="0"/>
              <w:jc w:val="left"/>
            </w:pPr>
            <w:r>
              <w:rPr>
                <w:b w:val="false"/>
                <w:bCs w:val="false"/>
                <w:color w:val="000000"/>
                <w:sz w:val="16"/>
                <w:szCs w:val="16"/>
              </w:rPr>
              <w:t xml:space="preserve">LUMN</w:t>
            </w:r>
          </w:p>
        </w:tc>
        <w:tc>
          <w:tcPr>
            <w:tcW w:type="dxa" w:w="2600"/>
            <w:tcMar>
              <w:top w:type="dxa" w:w="40"/>
              <w:left w:type="dxa" w:w="80"/>
              <w:bottom w:type="dxa" w:w="40"/>
              <w:right w:type="dxa" w:w="80"/>
            </w:tcMar>
            <w:vAlign w:val="center"/>
          </w:tcPr>
          <w:p>
            <w:pPr>
              <w:spacing w:after="0"/>
              <w:jc w:val="left"/>
            </w:pPr>
            <w:r>
              <w:rPr>
                <w:b w:val="false"/>
                <w:bCs w:val="false"/>
                <w:color w:val="000000"/>
                <w:sz w:val="16"/>
                <w:szCs w:val="16"/>
              </w:rPr>
              <w:t xml:space="preserve">Lumen Technologies</w:t>
            </w:r>
          </w:p>
        </w:tc>
        <w:tc>
          <w:tcPr>
            <w:tcW w:type="dxa" w:w="1200"/>
            <w:tcMar>
              <w:top w:type="dxa" w:w="40"/>
              <w:left w:type="dxa" w:w="80"/>
              <w:bottom w:type="dxa" w:w="40"/>
              <w:right w:type="dxa" w:w="80"/>
            </w:tcMar>
            <w:vAlign w:val="center"/>
          </w:tcPr>
          <w:p>
            <w:pPr>
              <w:spacing w:after="0"/>
              <w:jc w:val="left"/>
            </w:pPr>
            <w:r>
              <w:rPr>
                <w:b w:val="false"/>
                <w:bCs w:val="false"/>
                <w:color w:val="000000"/>
                <w:sz w:val="16"/>
                <w:szCs w:val="16"/>
              </w:rPr>
              <w:t xml:space="preserve">Telecom</w:t>
            </w:r>
          </w:p>
        </w:tc>
        <w:tc>
          <w:tcPr>
            <w:tcW w:type="dxa" w:w="1200"/>
            <w:tcMar>
              <w:top w:type="dxa" w:w="40"/>
              <w:left w:type="dxa" w:w="80"/>
              <w:bottom w:type="dxa" w:w="40"/>
              <w:right w:type="dxa" w:w="80"/>
            </w:tcMar>
            <w:vAlign w:val="center"/>
          </w:tcPr>
          <w:p>
            <w:pPr>
              <w:spacing w:after="0"/>
              <w:jc w:val="left"/>
            </w:pPr>
            <w:r>
              <w:rPr>
                <w:b w:val="false"/>
                <w:bCs w:val="false"/>
                <w:color w:val="000000"/>
                <w:sz w:val="16"/>
                <w:szCs w:val="16"/>
              </w:rPr>
              <w:t xml:space="preserve">Speculative</w:t>
            </w:r>
          </w:p>
        </w:tc>
        <w:tc>
          <w:tcPr>
            <w:tcW w:type="dxa" w:w="1300"/>
            <w:tcMar>
              <w:top w:type="dxa" w:w="40"/>
              <w:left w:type="dxa" w:w="80"/>
              <w:bottom w:type="dxa" w:w="40"/>
              <w:right w:type="dxa" w:w="80"/>
            </w:tcMar>
            <w:vAlign w:val="center"/>
          </w:tcPr>
          <w:p>
            <w:pPr>
              <w:spacing w:after="0"/>
              <w:jc w:val="center"/>
            </w:pPr>
            <w:r>
              <w:rPr>
                <w:b w:val="false"/>
                <w:bCs w:val="false"/>
                <w:color w:val="000000"/>
                <w:sz w:val="16"/>
                <w:szCs w:val="16"/>
              </w:rPr>
              <w:t xml:space="preserve">11.78%</w:t>
            </w:r>
          </w:p>
        </w:tc>
        <w:tc>
          <w:tcPr>
            <w:tcW w:type="dxa" w:w="900"/>
            <w:tcMar>
              <w:top w:type="dxa" w:w="40"/>
              <w:left w:type="dxa" w:w="80"/>
              <w:bottom w:type="dxa" w:w="40"/>
              <w:right w:type="dxa" w:w="80"/>
            </w:tcMar>
            <w:vAlign w:val="center"/>
          </w:tcPr>
          <w:p>
            <w:pPr>
              <w:spacing w:after="0"/>
              <w:jc w:val="center"/>
            </w:pPr>
            <w:r>
              <w:rPr>
                <w:b w:val="false"/>
                <w:bCs w:val="false"/>
                <w:color w:val="000000"/>
                <w:sz w:val="16"/>
                <w:szCs w:val="16"/>
              </w:rPr>
              <w:t xml:space="preserve">-0.35</w:t>
            </w:r>
          </w:p>
        </w:tc>
        <w:tc>
          <w:tcPr>
            <w:tcW w:type="dxa" w:w="1100"/>
            <w:tcMar>
              <w:top w:type="dxa" w:w="40"/>
              <w:left w:type="dxa" w:w="80"/>
              <w:bottom w:type="dxa" w:w="40"/>
              <w:right w:type="dxa" w:w="80"/>
            </w:tcMar>
            <w:vAlign w:val="center"/>
          </w:tcPr>
          <w:p>
            <w:pPr>
              <w:spacing w:after="0"/>
              <w:jc w:val="center"/>
            </w:pPr>
            <w:r>
              <w:rPr>
                <w:b w:val="false"/>
                <w:bCs w:val="false"/>
                <w:color w:val="000000"/>
                <w:sz w:val="16"/>
                <w:szCs w:val="16"/>
              </w:rPr>
              <w:t xml:space="preserve">Distress</w:t>
            </w:r>
          </w:p>
        </w:tc>
      </w:tr>
      <w:tr>
        <w:tc>
          <w:tcPr>
            <w:tcW w:type="dxa" w:w="500"/>
            <w:tcMar>
              <w:top w:type="dxa" w:w="40"/>
              <w:left w:type="dxa" w:w="80"/>
              <w:bottom w:type="dxa" w:w="40"/>
              <w:right w:type="dxa" w:w="80"/>
            </w:tcMar>
            <w:vAlign w:val="center"/>
          </w:tcPr>
          <w:p>
            <w:pPr>
              <w:spacing w:after="0"/>
              <w:jc w:val="left"/>
            </w:pPr>
            <w:r>
              <w:rPr>
                <w:b w:val="false"/>
                <w:bCs w:val="false"/>
                <w:color w:val="000000"/>
                <w:sz w:val="16"/>
                <w:szCs w:val="16"/>
              </w:rPr>
              <w:t xml:space="preserve">2</w:t>
            </w:r>
          </w:p>
        </w:tc>
        <w:tc>
          <w:tcPr>
            <w:tcW w:type="dxa" w:w="700"/>
            <w:tcMar>
              <w:top w:type="dxa" w:w="40"/>
              <w:left w:type="dxa" w:w="80"/>
              <w:bottom w:type="dxa" w:w="40"/>
              <w:right w:type="dxa" w:w="80"/>
            </w:tcMar>
            <w:vAlign w:val="center"/>
          </w:tcPr>
          <w:p>
            <w:pPr>
              <w:spacing w:after="0"/>
              <w:jc w:val="left"/>
            </w:pPr>
            <w:r>
              <w:rPr>
                <w:b w:val="false"/>
                <w:bCs w:val="false"/>
                <w:color w:val="000000"/>
                <w:sz w:val="16"/>
                <w:szCs w:val="16"/>
              </w:rPr>
              <w:t xml:space="preserve">CHTR</w:t>
            </w:r>
          </w:p>
        </w:tc>
        <w:tc>
          <w:tcPr>
            <w:tcW w:type="dxa" w:w="2600"/>
            <w:tcMar>
              <w:top w:type="dxa" w:w="40"/>
              <w:left w:type="dxa" w:w="80"/>
              <w:bottom w:type="dxa" w:w="40"/>
              <w:right w:type="dxa" w:w="80"/>
            </w:tcMar>
            <w:vAlign w:val="center"/>
          </w:tcPr>
          <w:p>
            <w:pPr>
              <w:spacing w:after="0"/>
              <w:jc w:val="left"/>
            </w:pPr>
            <w:r>
              <w:rPr>
                <w:b w:val="false"/>
                <w:bCs w:val="false"/>
                <w:color w:val="000000"/>
                <w:sz w:val="16"/>
                <w:szCs w:val="16"/>
              </w:rPr>
              <w:t xml:space="preserve">Charter Communications</w:t>
            </w:r>
          </w:p>
        </w:tc>
        <w:tc>
          <w:tcPr>
            <w:tcW w:type="dxa" w:w="1200"/>
            <w:tcMar>
              <w:top w:type="dxa" w:w="40"/>
              <w:left w:type="dxa" w:w="80"/>
              <w:bottom w:type="dxa" w:w="40"/>
              <w:right w:type="dxa" w:w="80"/>
            </w:tcMar>
            <w:vAlign w:val="center"/>
          </w:tcPr>
          <w:p>
            <w:pPr>
              <w:spacing w:after="0"/>
              <w:jc w:val="left"/>
            </w:pPr>
            <w:r>
              <w:rPr>
                <w:b w:val="false"/>
                <w:bCs w:val="false"/>
                <w:color w:val="000000"/>
                <w:sz w:val="16"/>
                <w:szCs w:val="16"/>
              </w:rPr>
              <w:t xml:space="preserve">Telecom</w:t>
            </w:r>
          </w:p>
        </w:tc>
        <w:tc>
          <w:tcPr>
            <w:tcW w:type="dxa" w:w="1200"/>
            <w:tcMar>
              <w:top w:type="dxa" w:w="40"/>
              <w:left w:type="dxa" w:w="80"/>
              <w:bottom w:type="dxa" w:w="40"/>
              <w:right w:type="dxa" w:w="80"/>
            </w:tcMar>
            <w:vAlign w:val="center"/>
          </w:tcPr>
          <w:p>
            <w:pPr>
              <w:spacing w:after="0"/>
              <w:jc w:val="left"/>
            </w:pPr>
            <w:r>
              <w:rPr>
                <w:b w:val="false"/>
                <w:bCs w:val="false"/>
                <w:color w:val="000000"/>
                <w:sz w:val="16"/>
                <w:szCs w:val="16"/>
              </w:rPr>
              <w:t xml:space="preserve">Speculative</w:t>
            </w:r>
          </w:p>
        </w:tc>
        <w:tc>
          <w:tcPr>
            <w:tcW w:type="dxa" w:w="1300"/>
            <w:tcMar>
              <w:top w:type="dxa" w:w="40"/>
              <w:left w:type="dxa" w:w="80"/>
              <w:bottom w:type="dxa" w:w="40"/>
              <w:right w:type="dxa" w:w="80"/>
            </w:tcMar>
            <w:vAlign w:val="center"/>
          </w:tcPr>
          <w:p>
            <w:pPr>
              <w:spacing w:after="0"/>
              <w:jc w:val="center"/>
            </w:pPr>
            <w:r>
              <w:rPr>
                <w:b w:val="false"/>
                <w:bCs w:val="false"/>
                <w:color w:val="000000"/>
                <w:sz w:val="16"/>
                <w:szCs w:val="16"/>
              </w:rPr>
              <w:t xml:space="preserve">3.33%</w:t>
            </w:r>
          </w:p>
        </w:tc>
        <w:tc>
          <w:tcPr>
            <w:tcW w:type="dxa" w:w="900"/>
            <w:tcMar>
              <w:top w:type="dxa" w:w="40"/>
              <w:left w:type="dxa" w:w="80"/>
              <w:bottom w:type="dxa" w:w="40"/>
              <w:right w:type="dxa" w:w="80"/>
            </w:tcMar>
            <w:vAlign w:val="center"/>
          </w:tcPr>
          <w:p>
            <w:pPr>
              <w:spacing w:after="0"/>
              <w:jc w:val="center"/>
            </w:pPr>
            <w:r>
              <w:rPr>
                <w:b w:val="false"/>
                <w:bCs w:val="false"/>
                <w:color w:val="000000"/>
                <w:sz w:val="16"/>
                <w:szCs w:val="16"/>
              </w:rPr>
              <w:t xml:space="preserve">0.60</w:t>
            </w:r>
          </w:p>
        </w:tc>
        <w:tc>
          <w:tcPr>
            <w:tcW w:type="dxa" w:w="1100"/>
            <w:tcMar>
              <w:top w:type="dxa" w:w="40"/>
              <w:left w:type="dxa" w:w="80"/>
              <w:bottom w:type="dxa" w:w="40"/>
              <w:right w:type="dxa" w:w="80"/>
            </w:tcMar>
            <w:vAlign w:val="center"/>
          </w:tcPr>
          <w:p>
            <w:pPr>
              <w:spacing w:after="0"/>
              <w:jc w:val="center"/>
            </w:pPr>
            <w:r>
              <w:rPr>
                <w:b w:val="false"/>
                <w:bCs w:val="false"/>
                <w:color w:val="000000"/>
                <w:sz w:val="16"/>
                <w:szCs w:val="16"/>
              </w:rPr>
              <w:t xml:space="preserve">Distress</w:t>
            </w:r>
          </w:p>
        </w:tc>
      </w:tr>
      <w:tr>
        <w:tc>
          <w:tcPr>
            <w:tcW w:type="dxa" w:w="500"/>
            <w:tcMar>
              <w:top w:type="dxa" w:w="40"/>
              <w:left w:type="dxa" w:w="80"/>
              <w:bottom w:type="dxa" w:w="40"/>
              <w:right w:type="dxa" w:w="80"/>
            </w:tcMar>
            <w:vAlign w:val="center"/>
          </w:tcPr>
          <w:p>
            <w:pPr>
              <w:spacing w:after="0"/>
              <w:jc w:val="left"/>
            </w:pPr>
            <w:r>
              <w:rPr>
                <w:b w:val="false"/>
                <w:bCs w:val="false"/>
                <w:color w:val="000000"/>
                <w:sz w:val="16"/>
                <w:szCs w:val="16"/>
              </w:rPr>
              <w:t xml:space="preserve">3</w:t>
            </w:r>
          </w:p>
        </w:tc>
        <w:tc>
          <w:tcPr>
            <w:tcW w:type="dxa" w:w="700"/>
            <w:tcMar>
              <w:top w:type="dxa" w:w="40"/>
              <w:left w:type="dxa" w:w="80"/>
              <w:bottom w:type="dxa" w:w="40"/>
              <w:right w:type="dxa" w:w="80"/>
            </w:tcMar>
            <w:vAlign w:val="center"/>
          </w:tcPr>
          <w:p>
            <w:pPr>
              <w:spacing w:after="0"/>
              <w:jc w:val="left"/>
            </w:pPr>
            <w:r>
              <w:rPr>
                <w:b w:val="false"/>
                <w:bCs w:val="false"/>
                <w:color w:val="000000"/>
                <w:sz w:val="16"/>
                <w:szCs w:val="16"/>
              </w:rPr>
              <w:t xml:space="preserve">AAL</w:t>
            </w:r>
          </w:p>
        </w:tc>
        <w:tc>
          <w:tcPr>
            <w:tcW w:type="dxa" w:w="2600"/>
            <w:tcMar>
              <w:top w:type="dxa" w:w="40"/>
              <w:left w:type="dxa" w:w="80"/>
              <w:bottom w:type="dxa" w:w="40"/>
              <w:right w:type="dxa" w:w="80"/>
            </w:tcMar>
            <w:vAlign w:val="center"/>
          </w:tcPr>
          <w:p>
            <w:pPr>
              <w:spacing w:after="0"/>
              <w:jc w:val="left"/>
            </w:pPr>
            <w:r>
              <w:rPr>
                <w:b w:val="false"/>
                <w:bCs w:val="false"/>
                <w:color w:val="000000"/>
                <w:sz w:val="16"/>
                <w:szCs w:val="16"/>
              </w:rPr>
              <w:t xml:space="preserve">American Airlines</w:t>
            </w:r>
          </w:p>
        </w:tc>
        <w:tc>
          <w:tcPr>
            <w:tcW w:type="dxa" w:w="1200"/>
            <w:tcMar>
              <w:top w:type="dxa" w:w="40"/>
              <w:left w:type="dxa" w:w="80"/>
              <w:bottom w:type="dxa" w:w="40"/>
              <w:right w:type="dxa" w:w="80"/>
            </w:tcMar>
            <w:vAlign w:val="center"/>
          </w:tcPr>
          <w:p>
            <w:pPr>
              <w:spacing w:after="0"/>
              <w:jc w:val="left"/>
            </w:pPr>
            <w:r>
              <w:rPr>
                <w:b w:val="false"/>
                <w:bCs w:val="false"/>
                <w:color w:val="000000"/>
                <w:sz w:val="16"/>
                <w:szCs w:val="16"/>
              </w:rPr>
              <w:t xml:space="preserve">Industrials</w:t>
            </w:r>
          </w:p>
        </w:tc>
        <w:tc>
          <w:tcPr>
            <w:tcW w:type="dxa" w:w="1200"/>
            <w:tcMar>
              <w:top w:type="dxa" w:w="40"/>
              <w:left w:type="dxa" w:w="80"/>
              <w:bottom w:type="dxa" w:w="40"/>
              <w:right w:type="dxa" w:w="80"/>
            </w:tcMar>
            <w:vAlign w:val="center"/>
          </w:tcPr>
          <w:p>
            <w:pPr>
              <w:spacing w:after="0"/>
              <w:jc w:val="left"/>
            </w:pPr>
            <w:r>
              <w:rPr>
                <w:b w:val="false"/>
                <w:bCs w:val="false"/>
                <w:color w:val="000000"/>
                <w:sz w:val="16"/>
                <w:szCs w:val="16"/>
              </w:rPr>
              <w:t xml:space="preserve">Speculative</w:t>
            </w:r>
          </w:p>
        </w:tc>
        <w:tc>
          <w:tcPr>
            <w:tcW w:type="dxa" w:w="1300"/>
            <w:tcMar>
              <w:top w:type="dxa" w:w="40"/>
              <w:left w:type="dxa" w:w="80"/>
              <w:bottom w:type="dxa" w:w="40"/>
              <w:right w:type="dxa" w:w="80"/>
            </w:tcMar>
            <w:vAlign w:val="center"/>
          </w:tcPr>
          <w:p>
            <w:pPr>
              <w:spacing w:after="0"/>
              <w:jc w:val="center"/>
            </w:pPr>
            <w:r>
              <w:rPr>
                <w:b w:val="false"/>
                <w:bCs w:val="false"/>
                <w:color w:val="000000"/>
                <w:sz w:val="16"/>
                <w:szCs w:val="16"/>
              </w:rPr>
              <w:t xml:space="preserve">0.57%</w:t>
            </w:r>
          </w:p>
        </w:tc>
        <w:tc>
          <w:tcPr>
            <w:tcW w:type="dxa" w:w="900"/>
            <w:tcMar>
              <w:top w:type="dxa" w:w="40"/>
              <w:left w:type="dxa" w:w="80"/>
              <w:bottom w:type="dxa" w:w="40"/>
              <w:right w:type="dxa" w:w="80"/>
            </w:tcMar>
            <w:vAlign w:val="center"/>
          </w:tcPr>
          <w:p>
            <w:pPr>
              <w:spacing w:after="0"/>
              <w:jc w:val="center"/>
            </w:pPr>
            <w:r>
              <w:rPr>
                <w:b w:val="false"/>
                <w:bCs w:val="false"/>
                <w:color w:val="000000"/>
                <w:sz w:val="16"/>
                <w:szCs w:val="16"/>
              </w:rPr>
              <w:t xml:space="preserve">0.68</w:t>
            </w:r>
          </w:p>
        </w:tc>
        <w:tc>
          <w:tcPr>
            <w:tcW w:type="dxa" w:w="1100"/>
            <w:tcMar>
              <w:top w:type="dxa" w:w="40"/>
              <w:left w:type="dxa" w:w="80"/>
              <w:bottom w:type="dxa" w:w="40"/>
              <w:right w:type="dxa" w:w="80"/>
            </w:tcMar>
            <w:vAlign w:val="center"/>
          </w:tcPr>
          <w:p>
            <w:pPr>
              <w:spacing w:after="0"/>
              <w:jc w:val="center"/>
            </w:pPr>
            <w:r>
              <w:rPr>
                <w:b w:val="false"/>
                <w:bCs w:val="false"/>
                <w:color w:val="000000"/>
                <w:sz w:val="16"/>
                <w:szCs w:val="16"/>
              </w:rPr>
              <w:t xml:space="preserve">Distress</w:t>
            </w:r>
          </w:p>
        </w:tc>
      </w:tr>
      <w:tr>
        <w:tc>
          <w:tcPr>
            <w:tcW w:type="dxa" w:w="500"/>
            <w:tcMar>
              <w:top w:type="dxa" w:w="40"/>
              <w:left w:type="dxa" w:w="80"/>
              <w:bottom w:type="dxa" w:w="40"/>
              <w:right w:type="dxa" w:w="80"/>
            </w:tcMar>
            <w:vAlign w:val="center"/>
          </w:tcPr>
          <w:p>
            <w:pPr>
              <w:spacing w:after="0"/>
              <w:jc w:val="left"/>
            </w:pPr>
            <w:r>
              <w:rPr>
                <w:b w:val="false"/>
                <w:bCs w:val="false"/>
                <w:color w:val="000000"/>
                <w:sz w:val="16"/>
                <w:szCs w:val="16"/>
              </w:rPr>
              <w:t xml:space="preserve">4</w:t>
            </w:r>
          </w:p>
        </w:tc>
        <w:tc>
          <w:tcPr>
            <w:tcW w:type="dxa" w:w="700"/>
            <w:tcMar>
              <w:top w:type="dxa" w:w="40"/>
              <w:left w:type="dxa" w:w="80"/>
              <w:bottom w:type="dxa" w:w="40"/>
              <w:right w:type="dxa" w:w="80"/>
            </w:tcMar>
            <w:vAlign w:val="center"/>
          </w:tcPr>
          <w:p>
            <w:pPr>
              <w:spacing w:after="0"/>
              <w:jc w:val="left"/>
            </w:pPr>
            <w:r>
              <w:rPr>
                <w:b w:val="false"/>
                <w:bCs w:val="false"/>
                <w:color w:val="000000"/>
                <w:sz w:val="16"/>
                <w:szCs w:val="16"/>
              </w:rPr>
              <w:t xml:space="preserve">F</w:t>
            </w:r>
          </w:p>
        </w:tc>
        <w:tc>
          <w:tcPr>
            <w:tcW w:type="dxa" w:w="2600"/>
            <w:tcMar>
              <w:top w:type="dxa" w:w="40"/>
              <w:left w:type="dxa" w:w="80"/>
              <w:bottom w:type="dxa" w:w="40"/>
              <w:right w:type="dxa" w:w="80"/>
            </w:tcMar>
            <w:vAlign w:val="center"/>
          </w:tcPr>
          <w:p>
            <w:pPr>
              <w:spacing w:after="0"/>
              <w:jc w:val="left"/>
            </w:pPr>
            <w:r>
              <w:rPr>
                <w:b w:val="false"/>
                <w:bCs w:val="false"/>
                <w:color w:val="000000"/>
                <w:sz w:val="16"/>
                <w:szCs w:val="16"/>
              </w:rPr>
              <w:t xml:space="preserve">Ford Motor</w:t>
            </w:r>
          </w:p>
        </w:tc>
        <w:tc>
          <w:tcPr>
            <w:tcW w:type="dxa" w:w="1200"/>
            <w:tcMar>
              <w:top w:type="dxa" w:w="40"/>
              <w:left w:type="dxa" w:w="80"/>
              <w:bottom w:type="dxa" w:w="40"/>
              <w:right w:type="dxa" w:w="80"/>
            </w:tcMar>
            <w:vAlign w:val="center"/>
          </w:tcPr>
          <w:p>
            <w:pPr>
              <w:spacing w:after="0"/>
              <w:jc w:val="left"/>
            </w:pPr>
            <w:r>
              <w:rPr>
                <w:b w:val="false"/>
                <w:bCs w:val="false"/>
                <w:color w:val="000000"/>
                <w:sz w:val="16"/>
                <w:szCs w:val="16"/>
              </w:rPr>
              <w:t xml:space="preserve">Discretionary</w:t>
            </w:r>
          </w:p>
        </w:tc>
        <w:tc>
          <w:tcPr>
            <w:tcW w:type="dxa" w:w="1200"/>
            <w:tcMar>
              <w:top w:type="dxa" w:w="40"/>
              <w:left w:type="dxa" w:w="80"/>
              <w:bottom w:type="dxa" w:w="40"/>
              <w:right w:type="dxa" w:w="80"/>
            </w:tcMar>
            <w:vAlign w:val="center"/>
          </w:tcPr>
          <w:p>
            <w:pPr>
              <w:spacing w:after="0"/>
              <w:jc w:val="left"/>
            </w:pPr>
            <w:r>
              <w:rPr>
                <w:b w:val="false"/>
                <w:bCs w:val="false"/>
                <w:color w:val="000000"/>
                <w:sz w:val="16"/>
                <w:szCs w:val="16"/>
              </w:rPr>
              <w:t xml:space="preserve">Speculative</w:t>
            </w:r>
          </w:p>
        </w:tc>
        <w:tc>
          <w:tcPr>
            <w:tcW w:type="dxa" w:w="1300"/>
            <w:tcMar>
              <w:top w:type="dxa" w:w="40"/>
              <w:left w:type="dxa" w:w="80"/>
              <w:bottom w:type="dxa" w:w="40"/>
              <w:right w:type="dxa" w:w="80"/>
            </w:tcMar>
            <w:vAlign w:val="center"/>
          </w:tcPr>
          <w:p>
            <w:pPr>
              <w:spacing w:after="0"/>
              <w:jc w:val="center"/>
            </w:pPr>
            <w:r>
              <w:rPr>
                <w:b w:val="false"/>
                <w:bCs w:val="false"/>
                <w:color w:val="000000"/>
                <w:sz w:val="16"/>
                <w:szCs w:val="16"/>
              </w:rPr>
              <w:t xml:space="preserve">0.032%</w:t>
            </w:r>
          </w:p>
        </w:tc>
        <w:tc>
          <w:tcPr>
            <w:tcW w:type="dxa" w:w="900"/>
            <w:tcMar>
              <w:top w:type="dxa" w:w="40"/>
              <w:left w:type="dxa" w:w="80"/>
              <w:bottom w:type="dxa" w:w="40"/>
              <w:right w:type="dxa" w:w="80"/>
            </w:tcMar>
            <w:vAlign w:val="center"/>
          </w:tcPr>
          <w:p>
            <w:pPr>
              <w:spacing w:after="0"/>
              <w:jc w:val="center"/>
            </w:pPr>
            <w:r>
              <w:rPr>
                <w:b w:val="false"/>
                <w:bCs w:val="false"/>
                <w:color w:val="000000"/>
                <w:sz w:val="16"/>
                <w:szCs w:val="16"/>
              </w:rPr>
              <w:t xml:space="preserve">0.81</w:t>
            </w:r>
          </w:p>
        </w:tc>
        <w:tc>
          <w:tcPr>
            <w:tcW w:type="dxa" w:w="1100"/>
            <w:tcMar>
              <w:top w:type="dxa" w:w="40"/>
              <w:left w:type="dxa" w:w="80"/>
              <w:bottom w:type="dxa" w:w="40"/>
              <w:right w:type="dxa" w:w="80"/>
            </w:tcMar>
            <w:vAlign w:val="center"/>
          </w:tcPr>
          <w:p>
            <w:pPr>
              <w:spacing w:after="0"/>
              <w:jc w:val="center"/>
            </w:pPr>
            <w:r>
              <w:rPr>
                <w:b w:val="false"/>
                <w:bCs w:val="false"/>
                <w:color w:val="000000"/>
                <w:sz w:val="16"/>
                <w:szCs w:val="16"/>
              </w:rPr>
              <w:t xml:space="preserve">Distress</w:t>
            </w:r>
          </w:p>
        </w:tc>
      </w:tr>
      <w:tr>
        <w:tc>
          <w:tcPr>
            <w:tcW w:type="dxa" w:w="500"/>
            <w:tcMar>
              <w:top w:type="dxa" w:w="40"/>
              <w:left w:type="dxa" w:w="80"/>
              <w:bottom w:type="dxa" w:w="40"/>
              <w:right w:type="dxa" w:w="80"/>
            </w:tcMar>
            <w:vAlign w:val="center"/>
          </w:tcPr>
          <w:p>
            <w:pPr>
              <w:spacing w:after="0"/>
              <w:jc w:val="left"/>
            </w:pPr>
            <w:r>
              <w:rPr>
                <w:b w:val="false"/>
                <w:bCs w:val="false"/>
                <w:color w:val="000000"/>
                <w:sz w:val="16"/>
                <w:szCs w:val="16"/>
              </w:rPr>
              <w:t xml:space="preserve">5</w:t>
            </w:r>
          </w:p>
        </w:tc>
        <w:tc>
          <w:tcPr>
            <w:tcW w:type="dxa" w:w="700"/>
            <w:tcMar>
              <w:top w:type="dxa" w:w="40"/>
              <w:left w:type="dxa" w:w="80"/>
              <w:bottom w:type="dxa" w:w="40"/>
              <w:right w:type="dxa" w:w="80"/>
            </w:tcMar>
            <w:vAlign w:val="center"/>
          </w:tcPr>
          <w:p>
            <w:pPr>
              <w:spacing w:after="0"/>
              <w:jc w:val="left"/>
            </w:pPr>
            <w:r>
              <w:rPr>
                <w:b w:val="false"/>
                <w:bCs w:val="false"/>
                <w:color w:val="000000"/>
                <w:sz w:val="16"/>
                <w:szCs w:val="16"/>
              </w:rPr>
              <w:t xml:space="preserve">CCL</w:t>
            </w:r>
          </w:p>
        </w:tc>
        <w:tc>
          <w:tcPr>
            <w:tcW w:type="dxa" w:w="2600"/>
            <w:tcMar>
              <w:top w:type="dxa" w:w="40"/>
              <w:left w:type="dxa" w:w="80"/>
              <w:bottom w:type="dxa" w:w="40"/>
              <w:right w:type="dxa" w:w="80"/>
            </w:tcMar>
            <w:vAlign w:val="center"/>
          </w:tcPr>
          <w:p>
            <w:pPr>
              <w:spacing w:after="0"/>
              <w:jc w:val="left"/>
            </w:pPr>
            <w:r>
              <w:rPr>
                <w:b w:val="false"/>
                <w:bCs w:val="false"/>
                <w:color w:val="000000"/>
                <w:sz w:val="16"/>
                <w:szCs w:val="16"/>
              </w:rPr>
              <w:t xml:space="preserve">Carnival Corp</w:t>
            </w:r>
          </w:p>
        </w:tc>
        <w:tc>
          <w:tcPr>
            <w:tcW w:type="dxa" w:w="1200"/>
            <w:tcMar>
              <w:top w:type="dxa" w:w="40"/>
              <w:left w:type="dxa" w:w="80"/>
              <w:bottom w:type="dxa" w:w="40"/>
              <w:right w:type="dxa" w:w="80"/>
            </w:tcMar>
            <w:vAlign w:val="center"/>
          </w:tcPr>
          <w:p>
            <w:pPr>
              <w:spacing w:after="0"/>
              <w:jc w:val="left"/>
            </w:pPr>
            <w:r>
              <w:rPr>
                <w:b w:val="false"/>
                <w:bCs w:val="false"/>
                <w:color w:val="000000"/>
                <w:sz w:val="16"/>
                <w:szCs w:val="16"/>
              </w:rPr>
              <w:t xml:space="preserve">Discretionary</w:t>
            </w:r>
          </w:p>
        </w:tc>
        <w:tc>
          <w:tcPr>
            <w:tcW w:type="dxa" w:w="1200"/>
            <w:tcMar>
              <w:top w:type="dxa" w:w="40"/>
              <w:left w:type="dxa" w:w="80"/>
              <w:bottom w:type="dxa" w:w="40"/>
              <w:right w:type="dxa" w:w="80"/>
            </w:tcMar>
            <w:vAlign w:val="center"/>
          </w:tcPr>
          <w:p>
            <w:pPr>
              <w:spacing w:after="0"/>
              <w:jc w:val="left"/>
            </w:pPr>
            <w:r>
              <w:rPr>
                <w:b w:val="false"/>
                <w:bCs w:val="false"/>
                <w:color w:val="000000"/>
                <w:sz w:val="16"/>
                <w:szCs w:val="16"/>
              </w:rPr>
              <w:t xml:space="preserve">Speculative</w:t>
            </w:r>
          </w:p>
        </w:tc>
        <w:tc>
          <w:tcPr>
            <w:tcW w:type="dxa" w:w="1300"/>
            <w:tcMar>
              <w:top w:type="dxa" w:w="40"/>
              <w:left w:type="dxa" w:w="80"/>
              <w:bottom w:type="dxa" w:w="40"/>
              <w:right w:type="dxa" w:w="80"/>
            </w:tcMar>
            <w:vAlign w:val="center"/>
          </w:tcPr>
          <w:p>
            <w:pPr>
              <w:spacing w:after="0"/>
              <w:jc w:val="center"/>
            </w:pPr>
            <w:r>
              <w:rPr>
                <w:b w:val="false"/>
                <w:bCs w:val="false"/>
                <w:color w:val="000000"/>
                <w:sz w:val="16"/>
                <w:szCs w:val="16"/>
              </w:rPr>
              <w:t xml:space="preserve">0.029%</w:t>
            </w:r>
          </w:p>
        </w:tc>
        <w:tc>
          <w:tcPr>
            <w:tcW w:type="dxa" w:w="900"/>
            <w:tcMar>
              <w:top w:type="dxa" w:w="40"/>
              <w:left w:type="dxa" w:w="80"/>
              <w:bottom w:type="dxa" w:w="40"/>
              <w:right w:type="dxa" w:w="80"/>
            </w:tcMar>
            <w:vAlign w:val="center"/>
          </w:tcPr>
          <w:p>
            <w:pPr>
              <w:spacing w:after="0"/>
              <w:jc w:val="center"/>
            </w:pPr>
            <w:r>
              <w:rPr>
                <w:b w:val="false"/>
                <w:bCs w:val="false"/>
                <w:color w:val="000000"/>
                <w:sz w:val="16"/>
                <w:szCs w:val="16"/>
              </w:rPr>
              <w:t xml:space="preserve">1.24</w:t>
            </w:r>
          </w:p>
        </w:tc>
        <w:tc>
          <w:tcPr>
            <w:tcW w:type="dxa" w:w="1100"/>
            <w:tcMar>
              <w:top w:type="dxa" w:w="40"/>
              <w:left w:type="dxa" w:w="80"/>
              <w:bottom w:type="dxa" w:w="40"/>
              <w:right w:type="dxa" w:w="80"/>
            </w:tcMar>
            <w:vAlign w:val="center"/>
          </w:tcPr>
          <w:p>
            <w:pPr>
              <w:spacing w:after="0"/>
              <w:jc w:val="center"/>
            </w:pPr>
            <w:r>
              <w:rPr>
                <w:b w:val="false"/>
                <w:bCs w:val="false"/>
                <w:color w:val="000000"/>
                <w:sz w:val="16"/>
                <w:szCs w:val="16"/>
              </w:rPr>
              <w:t xml:space="preserve">Distress</w:t>
            </w:r>
          </w:p>
        </w:tc>
      </w:tr>
      <w:tr>
        <w:tc>
          <w:tcPr>
            <w:tcW w:type="dxa" w:w="500"/>
            <w:tcMar>
              <w:top w:type="dxa" w:w="40"/>
              <w:left w:type="dxa" w:w="80"/>
              <w:bottom w:type="dxa" w:w="40"/>
              <w:right w:type="dxa" w:w="80"/>
            </w:tcMar>
            <w:vAlign w:val="center"/>
          </w:tcPr>
          <w:p>
            <w:pPr>
              <w:spacing w:after="0"/>
              <w:jc w:val="left"/>
            </w:pPr>
            <w:r>
              <w:rPr>
                <w:b w:val="false"/>
                <w:bCs w:val="false"/>
                <w:color w:val="000000"/>
                <w:sz w:val="16"/>
                <w:szCs w:val="16"/>
              </w:rPr>
              <w:t xml:space="preserve">6</w:t>
            </w:r>
          </w:p>
        </w:tc>
        <w:tc>
          <w:tcPr>
            <w:tcW w:type="dxa" w:w="700"/>
            <w:tcMar>
              <w:top w:type="dxa" w:w="40"/>
              <w:left w:type="dxa" w:w="80"/>
              <w:bottom w:type="dxa" w:w="40"/>
              <w:right w:type="dxa" w:w="80"/>
            </w:tcMar>
            <w:vAlign w:val="center"/>
          </w:tcPr>
          <w:p>
            <w:pPr>
              <w:spacing w:after="0"/>
              <w:jc w:val="left"/>
            </w:pPr>
            <w:r>
              <w:rPr>
                <w:b w:val="false"/>
                <w:bCs w:val="false"/>
                <w:color w:val="000000"/>
                <w:sz w:val="16"/>
                <w:szCs w:val="16"/>
              </w:rPr>
              <w:t xml:space="preserve">RCL</w:t>
            </w:r>
          </w:p>
        </w:tc>
        <w:tc>
          <w:tcPr>
            <w:tcW w:type="dxa" w:w="2600"/>
            <w:tcMar>
              <w:top w:type="dxa" w:w="40"/>
              <w:left w:type="dxa" w:w="80"/>
              <w:bottom w:type="dxa" w:w="40"/>
              <w:right w:type="dxa" w:w="80"/>
            </w:tcMar>
            <w:vAlign w:val="center"/>
          </w:tcPr>
          <w:p>
            <w:pPr>
              <w:spacing w:after="0"/>
              <w:jc w:val="left"/>
            </w:pPr>
            <w:r>
              <w:rPr>
                <w:b w:val="false"/>
                <w:bCs w:val="false"/>
                <w:color w:val="000000"/>
                <w:sz w:val="16"/>
                <w:szCs w:val="16"/>
              </w:rPr>
              <w:t xml:space="preserve">Royal Caribbean</w:t>
            </w:r>
          </w:p>
        </w:tc>
        <w:tc>
          <w:tcPr>
            <w:tcW w:type="dxa" w:w="1200"/>
            <w:tcMar>
              <w:top w:type="dxa" w:w="40"/>
              <w:left w:type="dxa" w:w="80"/>
              <w:bottom w:type="dxa" w:w="40"/>
              <w:right w:type="dxa" w:w="80"/>
            </w:tcMar>
            <w:vAlign w:val="center"/>
          </w:tcPr>
          <w:p>
            <w:pPr>
              <w:spacing w:after="0"/>
              <w:jc w:val="left"/>
            </w:pPr>
            <w:r>
              <w:rPr>
                <w:b w:val="false"/>
                <w:bCs w:val="false"/>
                <w:color w:val="000000"/>
                <w:sz w:val="16"/>
                <w:szCs w:val="16"/>
              </w:rPr>
              <w:t xml:space="preserve">Discretionary</w:t>
            </w:r>
          </w:p>
        </w:tc>
        <w:tc>
          <w:tcPr>
            <w:tcW w:type="dxa" w:w="1200"/>
            <w:tcMar>
              <w:top w:type="dxa" w:w="40"/>
              <w:left w:type="dxa" w:w="80"/>
              <w:bottom w:type="dxa" w:w="40"/>
              <w:right w:type="dxa" w:w="80"/>
            </w:tcMar>
            <w:vAlign w:val="center"/>
          </w:tcPr>
          <w:p>
            <w:pPr>
              <w:spacing w:after="0"/>
              <w:jc w:val="left"/>
            </w:pPr>
            <w:r>
              <w:rPr>
                <w:b w:val="false"/>
                <w:bCs w:val="false"/>
                <w:color w:val="000000"/>
                <w:sz w:val="16"/>
                <w:szCs w:val="16"/>
              </w:rPr>
              <w:t xml:space="preserve">Speculative</w:t>
            </w:r>
          </w:p>
        </w:tc>
        <w:tc>
          <w:tcPr>
            <w:tcW w:type="dxa" w:w="1300"/>
            <w:tcMar>
              <w:top w:type="dxa" w:w="40"/>
              <w:left w:type="dxa" w:w="80"/>
              <w:bottom w:type="dxa" w:w="40"/>
              <w:right w:type="dxa" w:w="80"/>
            </w:tcMar>
            <w:vAlign w:val="center"/>
          </w:tcPr>
          <w:p>
            <w:pPr>
              <w:spacing w:after="0"/>
              <w:jc w:val="center"/>
            </w:pPr>
            <w:r>
              <w:rPr>
                <w:b w:val="false"/>
                <w:bCs w:val="false"/>
                <w:color w:val="000000"/>
                <w:sz w:val="16"/>
                <w:szCs w:val="16"/>
              </w:rPr>
              <w:t xml:space="preserve">0.00007%</w:t>
            </w:r>
          </w:p>
        </w:tc>
        <w:tc>
          <w:tcPr>
            <w:tcW w:type="dxa" w:w="900"/>
            <w:tcMar>
              <w:top w:type="dxa" w:w="40"/>
              <w:left w:type="dxa" w:w="80"/>
              <w:bottom w:type="dxa" w:w="40"/>
              <w:right w:type="dxa" w:w="80"/>
            </w:tcMar>
            <w:vAlign w:val="center"/>
          </w:tcPr>
          <w:p>
            <w:pPr>
              <w:spacing w:after="0"/>
              <w:jc w:val="center"/>
            </w:pPr>
            <w:r>
              <w:rPr>
                <w:b w:val="false"/>
                <w:bCs w:val="false"/>
                <w:color w:val="000000"/>
                <w:sz w:val="16"/>
                <w:szCs w:val="16"/>
              </w:rPr>
              <w:t xml:space="preserve">2.27</w:t>
            </w:r>
          </w:p>
        </w:tc>
        <w:tc>
          <w:tcPr>
            <w:tcW w:type="dxa" w:w="1100"/>
            <w:tcMar>
              <w:top w:type="dxa" w:w="40"/>
              <w:left w:type="dxa" w:w="80"/>
              <w:bottom w:type="dxa" w:w="40"/>
              <w:right w:type="dxa" w:w="80"/>
            </w:tcMar>
            <w:vAlign w:val="center"/>
          </w:tcPr>
          <w:p>
            <w:pPr>
              <w:spacing w:after="0"/>
              <w:jc w:val="center"/>
            </w:pPr>
            <w:r>
              <w:rPr>
                <w:b w:val="false"/>
                <w:bCs w:val="false"/>
                <w:color w:val="000000"/>
                <w:sz w:val="16"/>
                <w:szCs w:val="16"/>
              </w:rPr>
              <w:t xml:space="preserve">Grey zone</w:t>
            </w:r>
          </w:p>
        </w:tc>
      </w:tr>
      <w:tr>
        <w:tc>
          <w:tcPr>
            <w:tcW w:type="dxa" w:w="500"/>
            <w:tcMar>
              <w:top w:type="dxa" w:w="40"/>
              <w:left w:type="dxa" w:w="80"/>
              <w:bottom w:type="dxa" w:w="40"/>
              <w:right w:type="dxa" w:w="80"/>
            </w:tcMar>
            <w:vAlign w:val="center"/>
          </w:tcPr>
          <w:p>
            <w:pPr>
              <w:spacing w:after="0"/>
              <w:jc w:val="left"/>
            </w:pPr>
            <w:r>
              <w:rPr>
                <w:b w:val="false"/>
                <w:bCs w:val="false"/>
                <w:color w:val="000000"/>
                <w:sz w:val="16"/>
                <w:szCs w:val="16"/>
              </w:rPr>
              <w:t xml:space="preserve">7</w:t>
            </w:r>
          </w:p>
        </w:tc>
        <w:tc>
          <w:tcPr>
            <w:tcW w:type="dxa" w:w="700"/>
            <w:tcMar>
              <w:top w:type="dxa" w:w="40"/>
              <w:left w:type="dxa" w:w="80"/>
              <w:bottom w:type="dxa" w:w="40"/>
              <w:right w:type="dxa" w:w="80"/>
            </w:tcMar>
            <w:vAlign w:val="center"/>
          </w:tcPr>
          <w:p>
            <w:pPr>
              <w:spacing w:after="0"/>
              <w:jc w:val="left"/>
            </w:pPr>
            <w:r>
              <w:rPr>
                <w:b w:val="false"/>
                <w:bCs w:val="false"/>
                <w:color w:val="000000"/>
                <w:sz w:val="16"/>
                <w:szCs w:val="16"/>
              </w:rPr>
              <w:t xml:space="preserve">FCX</w:t>
            </w:r>
          </w:p>
        </w:tc>
        <w:tc>
          <w:tcPr>
            <w:tcW w:type="dxa" w:w="2600"/>
            <w:tcMar>
              <w:top w:type="dxa" w:w="40"/>
              <w:left w:type="dxa" w:w="80"/>
              <w:bottom w:type="dxa" w:w="40"/>
              <w:right w:type="dxa" w:w="80"/>
            </w:tcMar>
            <w:vAlign w:val="center"/>
          </w:tcPr>
          <w:p>
            <w:pPr>
              <w:spacing w:after="0"/>
              <w:jc w:val="left"/>
            </w:pPr>
            <w:r>
              <w:rPr>
                <w:b w:val="false"/>
                <w:bCs w:val="false"/>
                <w:color w:val="000000"/>
                <w:sz w:val="16"/>
                <w:szCs w:val="16"/>
              </w:rPr>
              <w:t xml:space="preserve">Freeport-McMoRan</w:t>
            </w:r>
          </w:p>
        </w:tc>
        <w:tc>
          <w:tcPr>
            <w:tcW w:type="dxa" w:w="1200"/>
            <w:tcMar>
              <w:top w:type="dxa" w:w="40"/>
              <w:left w:type="dxa" w:w="80"/>
              <w:bottom w:type="dxa" w:w="40"/>
              <w:right w:type="dxa" w:w="80"/>
            </w:tcMar>
            <w:vAlign w:val="center"/>
          </w:tcPr>
          <w:p>
            <w:pPr>
              <w:spacing w:after="0"/>
              <w:jc w:val="left"/>
            </w:pPr>
            <w:r>
              <w:rPr>
                <w:b w:val="false"/>
                <w:bCs w:val="false"/>
                <w:color w:val="000000"/>
                <w:sz w:val="16"/>
                <w:szCs w:val="16"/>
              </w:rPr>
              <w:t xml:space="preserve">Materials</w:t>
            </w:r>
          </w:p>
        </w:tc>
        <w:tc>
          <w:tcPr>
            <w:tcW w:type="dxa" w:w="1200"/>
            <w:tcMar>
              <w:top w:type="dxa" w:w="40"/>
              <w:left w:type="dxa" w:w="80"/>
              <w:bottom w:type="dxa" w:w="40"/>
              <w:right w:type="dxa" w:w="80"/>
            </w:tcMar>
            <w:vAlign w:val="center"/>
          </w:tcPr>
          <w:p>
            <w:pPr>
              <w:spacing w:after="0"/>
              <w:jc w:val="left"/>
            </w:pPr>
            <w:r>
              <w:rPr>
                <w:b w:val="false"/>
                <w:bCs w:val="false"/>
                <w:color w:val="000000"/>
                <w:sz w:val="16"/>
                <w:szCs w:val="16"/>
              </w:rPr>
              <w:t xml:space="preserve">Speculative</w:t>
            </w:r>
          </w:p>
        </w:tc>
        <w:tc>
          <w:tcPr>
            <w:tcW w:type="dxa" w:w="1300"/>
            <w:tcMar>
              <w:top w:type="dxa" w:w="40"/>
              <w:left w:type="dxa" w:w="80"/>
              <w:bottom w:type="dxa" w:w="40"/>
              <w:right w:type="dxa" w:w="80"/>
            </w:tcMar>
            <w:vAlign w:val="center"/>
          </w:tcPr>
          <w:p>
            <w:pPr>
              <w:spacing w:after="0"/>
              <w:jc w:val="center"/>
            </w:pPr>
            <w:r>
              <w:rPr>
                <w:b w:val="false"/>
                <w:bCs w:val="false"/>
                <w:color w:val="000000"/>
                <w:sz w:val="16"/>
                <w:szCs w:val="16"/>
              </w:rPr>
              <w:t xml:space="preserve">~0%</w:t>
            </w:r>
          </w:p>
        </w:tc>
        <w:tc>
          <w:tcPr>
            <w:tcW w:type="dxa" w:w="900"/>
            <w:tcMar>
              <w:top w:type="dxa" w:w="40"/>
              <w:left w:type="dxa" w:w="80"/>
              <w:bottom w:type="dxa" w:w="40"/>
              <w:right w:type="dxa" w:w="80"/>
            </w:tcMar>
            <w:vAlign w:val="center"/>
          </w:tcPr>
          <w:p>
            <w:pPr>
              <w:spacing w:after="0"/>
              <w:jc w:val="center"/>
            </w:pPr>
            <w:r>
              <w:rPr>
                <w:b w:val="false"/>
                <w:bCs w:val="false"/>
                <w:color w:val="000000"/>
                <w:sz w:val="16"/>
                <w:szCs w:val="16"/>
              </w:rPr>
              <w:t xml:space="preserve">3.43</w:t>
            </w:r>
          </w:p>
        </w:tc>
        <w:tc>
          <w:tcPr>
            <w:tcW w:type="dxa" w:w="1100"/>
            <w:tcMar>
              <w:top w:type="dxa" w:w="40"/>
              <w:left w:type="dxa" w:w="80"/>
              <w:bottom w:type="dxa" w:w="40"/>
              <w:right w:type="dxa" w:w="80"/>
            </w:tcMar>
            <w:vAlign w:val="center"/>
          </w:tcPr>
          <w:p>
            <w:pPr>
              <w:spacing w:after="0"/>
              <w:jc w:val="center"/>
            </w:pPr>
            <w:r>
              <w:rPr>
                <w:b w:val="false"/>
                <w:bCs w:val="false"/>
                <w:color w:val="000000"/>
                <w:sz w:val="16"/>
                <w:szCs w:val="16"/>
              </w:rPr>
              <w:t xml:space="preserve">Safe</w:t>
            </w:r>
          </w:p>
        </w:tc>
      </w:tr>
      <w:tr>
        <w:tc>
          <w:tcPr>
            <w:tcW w:type="dxa" w:w="500"/>
            <w:tcMar>
              <w:top w:type="dxa" w:w="40"/>
              <w:left w:type="dxa" w:w="80"/>
              <w:bottom w:type="dxa" w:w="40"/>
              <w:right w:type="dxa" w:w="80"/>
            </w:tcMar>
            <w:vAlign w:val="center"/>
          </w:tcPr>
          <w:p>
            <w:pPr>
              <w:spacing w:after="0"/>
              <w:jc w:val="left"/>
            </w:pPr>
            <w:r>
              <w:rPr>
                <w:b w:val="false"/>
                <w:bCs w:val="false"/>
                <w:color w:val="000000"/>
                <w:sz w:val="16"/>
                <w:szCs w:val="16"/>
              </w:rPr>
              <w:t xml:space="preserve">8</w:t>
            </w:r>
          </w:p>
        </w:tc>
        <w:tc>
          <w:tcPr>
            <w:tcW w:type="dxa" w:w="700"/>
            <w:tcMar>
              <w:top w:type="dxa" w:w="40"/>
              <w:left w:type="dxa" w:w="80"/>
              <w:bottom w:type="dxa" w:w="40"/>
              <w:right w:type="dxa" w:w="80"/>
            </w:tcMar>
            <w:vAlign w:val="center"/>
          </w:tcPr>
          <w:p>
            <w:pPr>
              <w:spacing w:after="0"/>
              <w:jc w:val="left"/>
            </w:pPr>
            <w:r>
              <w:rPr>
                <w:b w:val="false"/>
                <w:bCs w:val="false"/>
                <w:color w:val="000000"/>
                <w:sz w:val="16"/>
                <w:szCs w:val="16"/>
              </w:rPr>
              <w:t xml:space="preserve">OXY</w:t>
            </w:r>
          </w:p>
        </w:tc>
        <w:tc>
          <w:tcPr>
            <w:tcW w:type="dxa" w:w="2600"/>
            <w:tcMar>
              <w:top w:type="dxa" w:w="40"/>
              <w:left w:type="dxa" w:w="80"/>
              <w:bottom w:type="dxa" w:w="40"/>
              <w:right w:type="dxa" w:w="80"/>
            </w:tcMar>
            <w:vAlign w:val="center"/>
          </w:tcPr>
          <w:p>
            <w:pPr>
              <w:spacing w:after="0"/>
              <w:jc w:val="left"/>
            </w:pPr>
            <w:r>
              <w:rPr>
                <w:b w:val="false"/>
                <w:bCs w:val="false"/>
                <w:color w:val="000000"/>
                <w:sz w:val="16"/>
                <w:szCs w:val="16"/>
              </w:rPr>
              <w:t xml:space="preserve">Occidental Petroleum</w:t>
            </w:r>
          </w:p>
        </w:tc>
        <w:tc>
          <w:tcPr>
            <w:tcW w:type="dxa" w:w="1200"/>
            <w:tcMar>
              <w:top w:type="dxa" w:w="40"/>
              <w:left w:type="dxa" w:w="80"/>
              <w:bottom w:type="dxa" w:w="40"/>
              <w:right w:type="dxa" w:w="80"/>
            </w:tcMar>
            <w:vAlign w:val="center"/>
          </w:tcPr>
          <w:p>
            <w:pPr>
              <w:spacing w:after="0"/>
              <w:jc w:val="left"/>
            </w:pPr>
            <w:r>
              <w:rPr>
                <w:b w:val="false"/>
                <w:bCs w:val="false"/>
                <w:color w:val="000000"/>
                <w:sz w:val="16"/>
                <w:szCs w:val="16"/>
              </w:rPr>
              <w:t xml:space="preserve">Energy</w:t>
            </w:r>
          </w:p>
        </w:tc>
        <w:tc>
          <w:tcPr>
            <w:tcW w:type="dxa" w:w="1200"/>
            <w:tcMar>
              <w:top w:type="dxa" w:w="40"/>
              <w:left w:type="dxa" w:w="80"/>
              <w:bottom w:type="dxa" w:w="40"/>
              <w:right w:type="dxa" w:w="80"/>
            </w:tcMar>
            <w:vAlign w:val="center"/>
          </w:tcPr>
          <w:p>
            <w:pPr>
              <w:spacing w:after="0"/>
              <w:jc w:val="left"/>
            </w:pPr>
            <w:r>
              <w:rPr>
                <w:b w:val="false"/>
                <w:bCs w:val="false"/>
                <w:color w:val="000000"/>
                <w:sz w:val="16"/>
                <w:szCs w:val="16"/>
              </w:rPr>
              <w:t xml:space="preserve">Speculative</w:t>
            </w:r>
          </w:p>
        </w:tc>
        <w:tc>
          <w:tcPr>
            <w:tcW w:type="dxa" w:w="1300"/>
            <w:tcMar>
              <w:top w:type="dxa" w:w="40"/>
              <w:left w:type="dxa" w:w="80"/>
              <w:bottom w:type="dxa" w:w="40"/>
              <w:right w:type="dxa" w:w="80"/>
            </w:tcMar>
            <w:vAlign w:val="center"/>
          </w:tcPr>
          <w:p>
            <w:pPr>
              <w:spacing w:after="0"/>
              <w:jc w:val="center"/>
            </w:pPr>
            <w:r>
              <w:rPr>
                <w:b w:val="false"/>
                <w:bCs w:val="false"/>
                <w:color w:val="000000"/>
                <w:sz w:val="16"/>
                <w:szCs w:val="16"/>
              </w:rPr>
              <w:t xml:space="preserve">~0%</w:t>
            </w:r>
          </w:p>
        </w:tc>
        <w:tc>
          <w:tcPr>
            <w:tcW w:type="dxa" w:w="900"/>
            <w:tcMar>
              <w:top w:type="dxa" w:w="40"/>
              <w:left w:type="dxa" w:w="80"/>
              <w:bottom w:type="dxa" w:w="40"/>
              <w:right w:type="dxa" w:w="80"/>
            </w:tcMar>
            <w:vAlign w:val="center"/>
          </w:tcPr>
          <w:p>
            <w:pPr>
              <w:spacing w:after="0"/>
              <w:jc w:val="center"/>
            </w:pPr>
            <w:r>
              <w:rPr>
                <w:b w:val="false"/>
                <w:bCs w:val="false"/>
                <w:color w:val="000000"/>
                <w:sz w:val="16"/>
                <w:szCs w:val="16"/>
              </w:rPr>
              <w:t xml:space="preserve">1.55</w:t>
            </w:r>
          </w:p>
        </w:tc>
        <w:tc>
          <w:tcPr>
            <w:tcW w:type="dxa" w:w="1100"/>
            <w:tcMar>
              <w:top w:type="dxa" w:w="40"/>
              <w:left w:type="dxa" w:w="80"/>
              <w:bottom w:type="dxa" w:w="40"/>
              <w:right w:type="dxa" w:w="80"/>
            </w:tcMar>
            <w:vAlign w:val="center"/>
          </w:tcPr>
          <w:p>
            <w:pPr>
              <w:spacing w:after="0"/>
              <w:jc w:val="center"/>
            </w:pPr>
            <w:r>
              <w:rPr>
                <w:b w:val="false"/>
                <w:bCs w:val="false"/>
                <w:color w:val="000000"/>
                <w:sz w:val="16"/>
                <w:szCs w:val="16"/>
              </w:rPr>
              <w:t xml:space="preserve">Distress</w:t>
            </w:r>
          </w:p>
        </w:tc>
      </w:tr>
      <w:tr>
        <w:tc>
          <w:tcPr>
            <w:tcW w:type="dxa" w:w="500"/>
            <w:tcMar>
              <w:top w:type="dxa" w:w="40"/>
              <w:left w:type="dxa" w:w="80"/>
              <w:bottom w:type="dxa" w:w="40"/>
              <w:right w:type="dxa" w:w="80"/>
            </w:tcMar>
            <w:vAlign w:val="center"/>
          </w:tcPr>
          <w:p>
            <w:pPr>
              <w:spacing w:after="0"/>
              <w:jc w:val="left"/>
            </w:pPr>
            <w:r>
              <w:rPr>
                <w:b w:val="false"/>
                <w:bCs w:val="false"/>
                <w:color w:val="000000"/>
                <w:sz w:val="16"/>
                <w:szCs w:val="16"/>
              </w:rPr>
              <w:t xml:space="preserve">9</w:t>
            </w:r>
          </w:p>
        </w:tc>
        <w:tc>
          <w:tcPr>
            <w:tcW w:type="dxa" w:w="700"/>
            <w:tcMar>
              <w:top w:type="dxa" w:w="40"/>
              <w:left w:type="dxa" w:w="80"/>
              <w:bottom w:type="dxa" w:w="40"/>
              <w:right w:type="dxa" w:w="80"/>
            </w:tcMar>
            <w:vAlign w:val="center"/>
          </w:tcPr>
          <w:p>
            <w:pPr>
              <w:spacing w:after="0"/>
              <w:jc w:val="left"/>
            </w:pPr>
            <w:r>
              <w:rPr>
                <w:b w:val="false"/>
                <w:bCs w:val="false"/>
                <w:color w:val="000000"/>
                <w:sz w:val="16"/>
                <w:szCs w:val="16"/>
              </w:rPr>
              <w:t xml:space="preserve">KHC</w:t>
            </w:r>
          </w:p>
        </w:tc>
        <w:tc>
          <w:tcPr>
            <w:tcW w:type="dxa" w:w="2600"/>
            <w:tcMar>
              <w:top w:type="dxa" w:w="40"/>
              <w:left w:type="dxa" w:w="80"/>
              <w:bottom w:type="dxa" w:w="40"/>
              <w:right w:type="dxa" w:w="80"/>
            </w:tcMar>
            <w:vAlign w:val="center"/>
          </w:tcPr>
          <w:p>
            <w:pPr>
              <w:spacing w:after="0"/>
              <w:jc w:val="left"/>
            </w:pPr>
            <w:r>
              <w:rPr>
                <w:b w:val="false"/>
                <w:bCs w:val="false"/>
                <w:color w:val="000000"/>
                <w:sz w:val="16"/>
                <w:szCs w:val="16"/>
              </w:rPr>
              <w:t xml:space="preserve">Kraft Heinz</w:t>
            </w:r>
          </w:p>
        </w:tc>
        <w:tc>
          <w:tcPr>
            <w:tcW w:type="dxa" w:w="1200"/>
            <w:tcMar>
              <w:top w:type="dxa" w:w="40"/>
              <w:left w:type="dxa" w:w="80"/>
              <w:bottom w:type="dxa" w:w="40"/>
              <w:right w:type="dxa" w:w="80"/>
            </w:tcMar>
            <w:vAlign w:val="center"/>
          </w:tcPr>
          <w:p>
            <w:pPr>
              <w:spacing w:after="0"/>
              <w:jc w:val="left"/>
            </w:pPr>
            <w:r>
              <w:rPr>
                <w:b w:val="false"/>
                <w:bCs w:val="false"/>
                <w:color w:val="000000"/>
                <w:sz w:val="16"/>
                <w:szCs w:val="16"/>
              </w:rPr>
              <w:t xml:space="preserve">Staples</w:t>
            </w:r>
          </w:p>
        </w:tc>
        <w:tc>
          <w:tcPr>
            <w:tcW w:type="dxa" w:w="1200"/>
            <w:tcMar>
              <w:top w:type="dxa" w:w="40"/>
              <w:left w:type="dxa" w:w="80"/>
              <w:bottom w:type="dxa" w:w="40"/>
              <w:right w:type="dxa" w:w="80"/>
            </w:tcMar>
            <w:vAlign w:val="center"/>
          </w:tcPr>
          <w:p>
            <w:pPr>
              <w:spacing w:after="0"/>
              <w:jc w:val="left"/>
            </w:pPr>
            <w:r>
              <w:rPr>
                <w:b w:val="false"/>
                <w:bCs w:val="false"/>
                <w:color w:val="000000"/>
                <w:sz w:val="16"/>
                <w:szCs w:val="16"/>
              </w:rPr>
              <w:t xml:space="preserve">Mid-grade</w:t>
            </w:r>
          </w:p>
        </w:tc>
        <w:tc>
          <w:tcPr>
            <w:tcW w:type="dxa" w:w="1300"/>
            <w:tcMar>
              <w:top w:type="dxa" w:w="40"/>
              <w:left w:type="dxa" w:w="80"/>
              <w:bottom w:type="dxa" w:w="40"/>
              <w:right w:type="dxa" w:w="80"/>
            </w:tcMar>
            <w:vAlign w:val="center"/>
          </w:tcPr>
          <w:p>
            <w:pPr>
              <w:spacing w:after="0"/>
              <w:jc w:val="center"/>
            </w:pPr>
            <w:r>
              <w:rPr>
                <w:b w:val="false"/>
                <w:bCs w:val="false"/>
                <w:color w:val="000000"/>
                <w:sz w:val="16"/>
                <w:szCs w:val="16"/>
              </w:rPr>
              <w:t xml:space="preserve">~0%</w:t>
            </w:r>
          </w:p>
        </w:tc>
        <w:tc>
          <w:tcPr>
            <w:tcW w:type="dxa" w:w="900"/>
            <w:tcMar>
              <w:top w:type="dxa" w:w="40"/>
              <w:left w:type="dxa" w:w="80"/>
              <w:bottom w:type="dxa" w:w="40"/>
              <w:right w:type="dxa" w:w="80"/>
            </w:tcMar>
            <w:vAlign w:val="center"/>
          </w:tcPr>
          <w:p>
            <w:pPr>
              <w:spacing w:after="0"/>
              <w:jc w:val="center"/>
            </w:pPr>
            <w:r>
              <w:rPr>
                <w:b w:val="false"/>
                <w:bCs w:val="false"/>
                <w:color w:val="000000"/>
                <w:sz w:val="16"/>
                <w:szCs w:val="16"/>
              </w:rPr>
              <w:t xml:space="preserve">0.52</w:t>
            </w:r>
          </w:p>
        </w:tc>
        <w:tc>
          <w:tcPr>
            <w:tcW w:type="dxa" w:w="1100"/>
            <w:tcMar>
              <w:top w:type="dxa" w:w="40"/>
              <w:left w:type="dxa" w:w="80"/>
              <w:bottom w:type="dxa" w:w="40"/>
              <w:right w:type="dxa" w:w="80"/>
            </w:tcMar>
            <w:vAlign w:val="center"/>
          </w:tcPr>
          <w:p>
            <w:pPr>
              <w:spacing w:after="0"/>
              <w:jc w:val="center"/>
            </w:pPr>
            <w:r>
              <w:rPr>
                <w:b w:val="false"/>
                <w:bCs w:val="false"/>
                <w:color w:val="000000"/>
                <w:sz w:val="16"/>
                <w:szCs w:val="16"/>
              </w:rPr>
              <w:t xml:space="preserve">Distress</w:t>
            </w:r>
          </w:p>
        </w:tc>
      </w:tr>
      <w:tr>
        <w:tc>
          <w:tcPr>
            <w:tcW w:type="dxa" w:w="500"/>
            <w:tcMar>
              <w:top w:type="dxa" w:w="40"/>
              <w:left w:type="dxa" w:w="80"/>
              <w:bottom w:type="dxa" w:w="40"/>
              <w:right w:type="dxa" w:w="80"/>
            </w:tcMar>
            <w:vAlign w:val="center"/>
          </w:tcPr>
          <w:p>
            <w:pPr>
              <w:spacing w:after="0"/>
              <w:jc w:val="left"/>
            </w:pPr>
            <w:r>
              <w:rPr>
                <w:b w:val="false"/>
                <w:bCs w:val="false"/>
                <w:color w:val="000000"/>
                <w:sz w:val="16"/>
                <w:szCs w:val="16"/>
              </w:rPr>
              <w:t xml:space="preserve">10</w:t>
            </w:r>
          </w:p>
        </w:tc>
        <w:tc>
          <w:tcPr>
            <w:tcW w:type="dxa" w:w="700"/>
            <w:tcMar>
              <w:top w:type="dxa" w:w="40"/>
              <w:left w:type="dxa" w:w="80"/>
              <w:bottom w:type="dxa" w:w="40"/>
              <w:right w:type="dxa" w:w="80"/>
            </w:tcMar>
            <w:vAlign w:val="center"/>
          </w:tcPr>
          <w:p>
            <w:pPr>
              <w:spacing w:after="0"/>
              <w:jc w:val="left"/>
            </w:pPr>
            <w:r>
              <w:rPr>
                <w:b w:val="false"/>
                <w:bCs w:val="false"/>
                <w:color w:val="000000"/>
                <w:sz w:val="16"/>
                <w:szCs w:val="16"/>
              </w:rPr>
              <w:t xml:space="preserve">T</w:t>
            </w:r>
          </w:p>
        </w:tc>
        <w:tc>
          <w:tcPr>
            <w:tcW w:type="dxa" w:w="2600"/>
            <w:tcMar>
              <w:top w:type="dxa" w:w="40"/>
              <w:left w:type="dxa" w:w="80"/>
              <w:bottom w:type="dxa" w:w="40"/>
              <w:right w:type="dxa" w:w="80"/>
            </w:tcMar>
            <w:vAlign w:val="center"/>
          </w:tcPr>
          <w:p>
            <w:pPr>
              <w:spacing w:after="0"/>
              <w:jc w:val="left"/>
            </w:pPr>
            <w:r>
              <w:rPr>
                <w:b w:val="false"/>
                <w:bCs w:val="false"/>
                <w:color w:val="000000"/>
                <w:sz w:val="16"/>
                <w:szCs w:val="16"/>
              </w:rPr>
              <w:t xml:space="preserve">AT&amp;T</w:t>
            </w:r>
          </w:p>
        </w:tc>
        <w:tc>
          <w:tcPr>
            <w:tcW w:type="dxa" w:w="1200"/>
            <w:tcMar>
              <w:top w:type="dxa" w:w="40"/>
              <w:left w:type="dxa" w:w="80"/>
              <w:bottom w:type="dxa" w:w="40"/>
              <w:right w:type="dxa" w:w="80"/>
            </w:tcMar>
            <w:vAlign w:val="center"/>
          </w:tcPr>
          <w:p>
            <w:pPr>
              <w:spacing w:after="0"/>
              <w:jc w:val="left"/>
            </w:pPr>
            <w:r>
              <w:rPr>
                <w:b w:val="false"/>
                <w:bCs w:val="false"/>
                <w:color w:val="000000"/>
                <w:sz w:val="16"/>
                <w:szCs w:val="16"/>
              </w:rPr>
              <w:t xml:space="preserve">Telecom</w:t>
            </w:r>
          </w:p>
        </w:tc>
        <w:tc>
          <w:tcPr>
            <w:tcW w:type="dxa" w:w="1200"/>
            <w:tcMar>
              <w:top w:type="dxa" w:w="40"/>
              <w:left w:type="dxa" w:w="80"/>
              <w:bottom w:type="dxa" w:w="40"/>
              <w:right w:type="dxa" w:w="80"/>
            </w:tcMar>
            <w:vAlign w:val="center"/>
          </w:tcPr>
          <w:p>
            <w:pPr>
              <w:spacing w:after="0"/>
              <w:jc w:val="left"/>
            </w:pPr>
            <w:r>
              <w:rPr>
                <w:b w:val="false"/>
                <w:bCs w:val="false"/>
                <w:color w:val="000000"/>
                <w:sz w:val="16"/>
                <w:szCs w:val="16"/>
              </w:rPr>
              <w:t xml:space="preserve">Mid-grade</w:t>
            </w:r>
          </w:p>
        </w:tc>
        <w:tc>
          <w:tcPr>
            <w:tcW w:type="dxa" w:w="1300"/>
            <w:tcMar>
              <w:top w:type="dxa" w:w="40"/>
              <w:left w:type="dxa" w:w="80"/>
              <w:bottom w:type="dxa" w:w="40"/>
              <w:right w:type="dxa" w:w="80"/>
            </w:tcMar>
            <w:vAlign w:val="center"/>
          </w:tcPr>
          <w:p>
            <w:pPr>
              <w:spacing w:after="0"/>
              <w:jc w:val="center"/>
            </w:pPr>
            <w:r>
              <w:rPr>
                <w:b w:val="false"/>
                <w:bCs w:val="false"/>
                <w:color w:val="000000"/>
                <w:sz w:val="16"/>
                <w:szCs w:val="16"/>
              </w:rPr>
              <w:t xml:space="preserve">~0%</w:t>
            </w:r>
          </w:p>
        </w:tc>
        <w:tc>
          <w:tcPr>
            <w:tcW w:type="dxa" w:w="900"/>
            <w:tcMar>
              <w:top w:type="dxa" w:w="40"/>
              <w:left w:type="dxa" w:w="80"/>
              <w:bottom w:type="dxa" w:w="40"/>
              <w:right w:type="dxa" w:w="80"/>
            </w:tcMar>
            <w:vAlign w:val="center"/>
          </w:tcPr>
          <w:p>
            <w:pPr>
              <w:spacing w:after="0"/>
              <w:jc w:val="center"/>
            </w:pPr>
            <w:r>
              <w:rPr>
                <w:b w:val="false"/>
                <w:bCs w:val="false"/>
                <w:color w:val="000000"/>
                <w:sz w:val="16"/>
                <w:szCs w:val="16"/>
              </w:rPr>
              <w:t xml:space="preserve">0.96</w:t>
            </w:r>
          </w:p>
        </w:tc>
        <w:tc>
          <w:tcPr>
            <w:tcW w:type="dxa" w:w="1100"/>
            <w:tcMar>
              <w:top w:type="dxa" w:w="40"/>
              <w:left w:type="dxa" w:w="80"/>
              <w:bottom w:type="dxa" w:w="40"/>
              <w:right w:type="dxa" w:w="80"/>
            </w:tcMar>
            <w:vAlign w:val="center"/>
          </w:tcPr>
          <w:p>
            <w:pPr>
              <w:spacing w:after="0"/>
              <w:jc w:val="center"/>
            </w:pPr>
            <w:r>
              <w:rPr>
                <w:b w:val="false"/>
                <w:bCs w:val="false"/>
                <w:color w:val="000000"/>
                <w:sz w:val="16"/>
                <w:szCs w:val="16"/>
              </w:rPr>
              <w:t xml:space="preserve">Distress</w:t>
            </w:r>
          </w:p>
        </w:tc>
      </w:tr>
    </w:tbl>
    <w:p>
      <w:pPr>
        <w:spacing w:after="240"/>
        <w:jc w:val="center"/>
      </w:pPr>
      <w:r>
        <w:rPr>
          <w:i/>
          <w:iCs/>
          <w:color w:val="555555"/>
          <w:sz w:val="18"/>
          <w:szCs w:val="18"/>
        </w:rPr>
        <w:t xml:space="preserve">Ranked by Merton 1-year implied PD (KMV default-point convention). Full 26-company table in Appendix C.</w:t>
      </w:r>
    </w:p>
    <w:p>
      <w:pPr>
        <w:pStyle w:val="Heading1"/>
        <w:pageBreakBefore/>
        <w:spacing w:after="90" w:before="160"/>
      </w:pPr>
      <w:r>
        <w:t xml:space="preserve">1. Cross-Model Validation</w:t>
      </w:r>
    </w:p>
    <w:p>
      <w:pPr>
        <w:spacing w:after="110"/>
        <w:jc w:val="left"/>
      </w:pPr>
      <w:r>
        <w:rPr>
          <w:b w:val="false"/>
          <w:bCs w:val="false"/>
          <w:i w:val="false"/>
          <w:iCs w:val="false"/>
        </w:rPr>
        <w:t xml:space="preserve">Two structurally independent models were run on identical underlying fundamentals: the Merton (1974) option-theoretic structural model, driven primarily by market-implied equity volatility and leverage, and the Altman (1968) Z-score, driven purely by accounting ratios. Agreement between the two is a meaningful validation signal precisely because they use different information.</w:t>
      </w:r>
    </w:p>
    <w:p>
      <w:pPr>
        <w:pStyle w:val="Heading3"/>
        <w:spacing w:after="90" w:before="160"/>
      </w:pPr>
      <w:r>
        <w:t xml:space="preserve">Rank Correlation Results</w:t>
      </w:r>
    </w:p>
    <w:p>
      <w:pPr>
        <w:pStyle w:val="ListParagraph"/>
        <w:numPr>
          <w:ilvl w:val="0"/>
          <w:numId w:val="1"/>
        </w:numPr>
        <w:spacing w:after="55"/>
      </w:pPr>
      <w:r>
        <w:t xml:space="preserve">Altman Z vs. Merton Distance-to-Default: Spearman rho = 0.81 (p &lt; 0.0001, n = 26)</w:t>
      </w:r>
    </w:p>
    <w:p>
      <w:pPr>
        <w:pStyle w:val="ListParagraph"/>
        <w:numPr>
          <w:ilvl w:val="0"/>
          <w:numId w:val="1"/>
        </w:numPr>
        <w:spacing w:after="55"/>
      </w:pPr>
      <w:r>
        <w:t xml:space="preserve">Altman Z vs. illustrative credit-rating tier: Spearman rho = 0.71 (p &lt; 0.0001)</w:t>
      </w:r>
    </w:p>
    <w:p>
      <w:pPr>
        <w:pStyle w:val="ListParagraph"/>
        <w:numPr>
          <w:ilvl w:val="0"/>
          <w:numId w:val="1"/>
        </w:numPr>
        <w:spacing w:after="55"/>
      </w:pPr>
      <w:r>
        <w:t xml:space="preserve">Merton DD vs. illustrative credit-rating tier: Spearman rho = 0.86 (p &lt; 0.0001) — the market-based model tracks the (illustrative) rating tiers somewhat more closely than the accounting-based one</w:t>
      </w:r>
    </w:p>
    <w:p>
      <w:pPr>
        <w:spacing w:after="110"/>
        <w:jc w:val="left"/>
      </w:pPr>
      <w:r>
        <w:rPr>
          <w:b w:val="false"/>
          <w:bCs w:val="false"/>
          <w:i w:val="false"/>
          <w:iCs w:val="false"/>
        </w:rPr>
        <w:t xml:space="preserve">The single largest ranking disagreement is Duke Energy (DUK), Merton-ranked 16th riskiest but Altman-ranked 5th riskiest — an 11-place gap. This is explainable rather than anomalous: regulated utilities carry structurally high leverage and thin working capital (penalizing the accounting-based Z-score) while also carrying low equity volatility from stable, regulated cash flows (favoring the market-based Merton model). The two models are capturing genuinely different dimensions of risk for this name, and the disagreement is reported here rather than smoothed over.</w:t>
      </w:r>
    </w:p>
    <w:p>
      <w:pPr>
        <w:spacing w:after="110"/>
        <w:jc w:val="left"/>
      </w:pPr>
      <w:r>
        <w:rPr>
          <w:b w:val="false"/>
          <w:bCs w:val="false"/>
          <w:i w:val="false"/>
          <w:iCs w:val="false"/>
        </w:rPr>
        <w:t xml:space="preserve">Default-point convention sensitivity: running the Merton model under both the naive (total liabilities) and KMV (short-term debt + 0.5×long-term debt) default-point conventions produces materially different PDs for investment-grade names — for General Electric, the naive-convention PD is roughly 19 orders of magnitude larger than the KMV-convention PD, because total liabilities includes large non-debt items (pension obligations, deferred revenue, accounts payable) that the KMV convention deliberately excludes. This sensitivity is a genuine finding about model specification, not a data error, and argues for using the KMV convention as primary with the naive convention reported as a sensitivity check (as done throughout this memo).</w:t>
      </w:r>
    </w:p>
    <w:p>
      <w:pPr>
        <w:pStyle w:val="Heading1"/>
        <w:spacing w:after="90" w:before="160"/>
      </w:pPr>
      <w:r>
        <w:t xml:space="preserve">2. Historical Backtest: General Electric, 2015-2019</w:t>
      </w:r>
    </w:p>
    <w:p>
      <w:pPr>
        <w:spacing w:after="110"/>
        <w:jc w:val="left"/>
      </w:pPr>
      <w:r>
        <w:rPr>
          <w:b w:val="false"/>
          <w:bCs w:val="false"/>
          <w:i w:val="false"/>
          <w:iCs w:val="false"/>
        </w:rPr>
        <w:t xml:space="preserve">The single highest-value validation exercise in this analysis: running the full Merton pipeline on General Electric using only balance-sheet data that would genuinely have been available at each point in time (a fiscal year's 10-K is treated as available starting March 1 of the following year), to test whether the model's Distance-to-Default showed visible deterioration before GE's well-documented 2018 credit crisis (dividend cut to $0.01/share and SEC accounting investigation disclosed October 30, 2018, followed by multi-notch downgrades from S&amp;P, Moody's, and Fitch through 2019).</w:t>
      </w:r>
    </w:p>
    <w:p>
      <w:pPr>
        <w:spacing w:after="120" w:before="120"/>
        <w:jc w:val="center"/>
      </w:pPr>
      <w:r>
        <w:drawing>
          <wp:inline distT="0" distB="0" distL="0" distR="0">
            <wp:extent cx="5486400" cy="4389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4389120"/>
                    </a:xfrm>
                    <a:prstGeom prst="rect">
                      <a:avLst/>
                    </a:prstGeom>
                  </pic:spPr>
                </pic:pic>
              </a:graphicData>
            </a:graphic>
          </wp:inline>
        </w:drawing>
      </w:r>
    </w:p>
    <w:p>
      <w:pPr>
        <w:spacing w:after="240"/>
        <w:jc w:val="center"/>
      </w:pPr>
      <w:r>
        <w:rPr>
          <w:i/>
          <w:iCs/>
          <w:color w:val="555555"/>
          <w:sz w:val="18"/>
          <w:szCs w:val="18"/>
        </w:rPr>
        <w:t xml:space="preserve">Figure 1: GE Merton Distance-to-Default and implied PD, monthly snapshots, 2015-2019. Red dashed line marks the October 30, 2018 event.</w:t>
      </w:r>
    </w:p>
    <w:p>
      <w:pPr>
        <w:spacing w:after="110"/>
        <w:jc w:val="left"/>
      </w:pPr>
      <w:r>
        <w:rPr>
          <w:b w:val="false"/>
          <w:bCs w:val="false"/>
          <w:i w:val="false"/>
          <w:iCs w:val="false"/>
        </w:rPr>
        <w:t xml:space="preserve">Distance-to-Default peaked at 20.7 in March 2017 — GE looked healthiest at this point — then declined continuously for over 18 months, reaching 4.6 by December 2018, two months after the public disclosure. The model's own trajectory shows deterioration well in advance of the public event, using only information genuinely available at each historical point. This is presented as the strongest evidence in this analysis that the model carries real forward-looking information rather than merely restating known outcomes.</w:t>
      </w:r>
    </w:p>
    <w:p>
      <w:pPr>
        <w:spacing w:after="110"/>
        <w:jc w:val="left"/>
      </w:pPr>
      <w:r>
        <w:rPr>
          <w:b w:val="false"/>
          <w:bCs w:val="false"/>
          <w:i/>
          <w:iCs/>
        </w:rPr>
        <w:t xml:space="preserve">Caveat: the implied PD values in the trough of this trajectory reach extremely small magnitudes (down to roughly 10^-88 in the KMV convention) that are not meant to be read as literal probabilities — this is a known artifact of the raw normal-CDF mapping used here (real-world KMV/EDF models recalibrate this mapping against an actual historical default database, which is outside the scope of this project). The directional trend and relative magnitude of the decline are the meaningful signal, not the absolute PD level.</w:t>
      </w:r>
    </w:p>
    <w:p>
      <w:pPr>
        <w:pStyle w:val="Heading1"/>
        <w:spacing w:after="90" w:before="160"/>
      </w:pPr>
      <w:r>
        <w:t xml:space="preserve">3. Macro Stress Test</w:t>
      </w:r>
    </w:p>
    <w:p>
      <w:pPr>
        <w:spacing w:after="110"/>
        <w:jc w:val="left"/>
      </w:pPr>
      <w:r>
        <w:rPr>
          <w:b w:val="false"/>
          <w:bCs w:val="false"/>
          <w:i w:val="false"/>
          <w:iCs w:val="false"/>
        </w:rPr>
        <w:t xml:space="preserve">A simplified, illustrative CCAR/DFAST-style stress test — explicitly not a full macro-econometric model. Three scenarios (baseline, adverse, severely adverse) were calibrated to REAL 2008 and 2020 data pulled from FRED (unemployment rate, real GDP, and the Nasdaq Composite as a broad equity benchmark — FRED discontinued Wilshire 5000 index data in June 2024), rather than round numbers chosen by hand.</w:t>
      </w:r>
    </w:p>
    <w:p>
      <w:pPr>
        <w:pStyle w:val="Heading3"/>
        <w:spacing w:after="90" w:before="160"/>
      </w:pPr>
      <w:r>
        <w:t xml:space="preserve">Scenario Calibration</w:t>
      </w:r>
    </w:p>
    <w:p>
      <w:pPr>
        <w:pStyle w:val="ListParagraph"/>
        <w:numPr>
          <w:ilvl w:val="0"/>
          <w:numId w:val="1"/>
        </w:numPr>
        <w:spacing w:after="55"/>
      </w:pPr>
      <w:r>
        <w:t xml:space="preserve">2008 crisis (measured): equity drawdown -55.6%, unemployment +5.6pp, real GDP -4.0%</w:t>
      </w:r>
    </w:p>
    <w:p>
      <w:pPr>
        <w:pStyle w:val="ListParagraph"/>
        <w:numPr>
          <w:ilvl w:val="0"/>
          <w:numId w:val="1"/>
        </w:numPr>
        <w:spacing w:after="55"/>
      </w:pPr>
      <w:r>
        <w:t xml:space="preserve">2020 crisis (measured): equity drawdown -30.1%, unemployment +11.3pp, real GDP -9.1%</w:t>
      </w:r>
    </w:p>
    <w:p>
      <w:pPr>
        <w:pStyle w:val="ListParagraph"/>
        <w:numPr>
          <w:ilvl w:val="0"/>
          <w:numId w:val="1"/>
        </w:numPr>
        <w:spacing w:after="55"/>
      </w:pPr>
      <w:r>
        <w:t xml:space="preserve">The two episodes disagree substantially on equity sensitivity per unit of macro shock (2008: -0.099%/pp unemployment; 2020: -0.027%/pp) — reported honestly rather than averaged away silently. The scenarios below use the average of the two episodes' sensitivities.</w:t>
      </w:r>
    </w:p>
    <w:p>
      <w:pPr>
        <w:pStyle w:val="ListParagraph"/>
        <w:numPr>
          <w:ilvl w:val="0"/>
          <w:numId w:val="1"/>
        </w:numPr>
        <w:spacing w:after="55"/>
      </w:pPr>
      <w:r>
        <w:t xml:space="preserve">Severely adverse scenario is anchored to the actual 2008 magnitude (unemployment +5.6pp, GDP -4.0%), mapping to a -34.8% aggregate equity shock. Adverse scenario uses half that severity (-17.4% aggregate shock).</w:t>
      </w:r>
    </w:p>
    <w:p>
      <w:pPr>
        <w:spacing w:after="120" w:before="120"/>
        <w:jc w:val="center"/>
      </w:pPr>
      <w:r>
        <w:drawing>
          <wp:inline distT="0" distB="0" distL="0" distR="0">
            <wp:extent cx="5760720" cy="314221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3142211"/>
                    </a:xfrm>
                    <a:prstGeom prst="rect">
                      <a:avLst/>
                    </a:prstGeom>
                  </pic:spPr>
                </pic:pic>
              </a:graphicData>
            </a:graphic>
          </wp:inline>
        </w:drawing>
      </w:r>
    </w:p>
    <w:p>
      <w:pPr>
        <w:spacing w:after="240"/>
        <w:jc w:val="center"/>
      </w:pPr>
      <w:r>
        <w:rPr>
          <w:i/>
          <w:iCs/>
          <w:color w:val="555555"/>
          <w:sz w:val="18"/>
          <w:szCs w:val="18"/>
        </w:rPr>
        <w:t xml:space="preserve">Figure 2: Implied 1-year PD under all three scenarios, all 26 companies (log scale).</w:t>
      </w:r>
    </w:p>
    <w:p>
      <w:pPr>
        <w:spacing w:after="110"/>
        <w:jc w:val="left"/>
      </w:pPr>
      <w:r>
        <w:rPr>
          <w:b w:val="false"/>
          <w:bCs w:val="false"/>
          <w:i w:val="false"/>
          <w:iCs w:val="false"/>
        </w:rPr>
        <w:t xml:space="preserve">Every company's PD rises monotonically from baseline through severely adverse, and the risk ordering is stable across scenarios. LUMN and CHTR remain the two riskiest names throughout; the safest investment-grade names (JNJ, AAPL) remain safest even under the severely adverse scenario, though their PD does increase by many orders of magnitude in relative terms (see Section 4 for why this relative-terms framing can be misleading).</w:t>
      </w:r>
    </w:p>
    <w:p>
      <w:pPr>
        <w:pStyle w:val="Heading1"/>
        <w:spacing w:after="90" w:before="160"/>
      </w:pPr>
      <w:r>
        <w:t xml:space="preserve">4. Sector Cyclicality: A Methodology Finding</w:t>
      </w:r>
    </w:p>
    <w:p>
      <w:pPr>
        <w:spacing w:after="110"/>
        <w:jc w:val="left"/>
      </w:pPr>
      <w:r>
        <w:rPr>
          <w:b w:val="false"/>
          <w:bCs w:val="false"/>
          <w:i w:val="false"/>
          <w:iCs w:val="false"/>
        </w:rPr>
        <w:t xml:space="preserve">Section 3.7 of the project scope calls for investigating and honestly reporting any case where the model does not show the expected sector-differentiated stress pattern. On the surface, one appears here: measured as a PD fold-change (severely-adverse PD divided by baseline PD), cyclical and defensive sectors look nearly indistinguishable (average log10 fold-increase: cyclical 6.05 vs. defensive 5.91).</w:t>
      </w:r>
    </w:p>
    <w:p>
      <w:pPr>
        <w:spacing w:after="110"/>
        <w:jc w:val="left"/>
      </w:pPr>
      <w:r>
        <w:rPr>
          <w:b w:val="false"/>
          <w:bCs w:val="false"/>
          <w:i w:val="false"/>
          <w:iCs w:val="false"/>
        </w:rPr>
        <w:t xml:space="preserve">Investigating further: this is a metric artifact, not a modeling failure. PD = N(-DD), and the normal distribution's left tail is extremely convex — for very safe companies (high baseline DD, e.g. AAPL, MSFT), even a small absolute change in DD produces an enormous relative change in PD, completely swamping the more modest signal from the sector-cyclicality multiplier. On the linear, undistorted measure — Distance-to-Default reduction — the intended pattern is clearly present: cyclical companies lose 1.63 standard deviations of DD on average under the severely adverse scenario, versus 1.20 for defensive companies, a 37% larger deterioration exactly as designed.</w:t>
      </w:r>
    </w:p>
    <w:p>
      <w:pPr>
        <w:spacing w:after="120" w:before="120"/>
        <w:jc w:val="center"/>
      </w:pPr>
      <w:r>
        <w:drawing>
          <wp:inline distT="0" distB="0" distL="0" distR="0">
            <wp:extent cx="5760720" cy="275098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2750989"/>
                    </a:xfrm>
                    <a:prstGeom prst="rect">
                      <a:avLst/>
                    </a:prstGeom>
                  </pic:spPr>
                </pic:pic>
              </a:graphicData>
            </a:graphic>
          </wp:inline>
        </w:drawing>
      </w:r>
    </w:p>
    <w:p>
      <w:pPr>
        <w:spacing w:after="240"/>
        <w:jc w:val="center"/>
      </w:pPr>
      <w:r>
        <w:rPr>
          <w:i/>
          <w:iCs/>
          <w:color w:val="555555"/>
          <w:sz w:val="18"/>
          <w:szCs w:val="18"/>
        </w:rPr>
        <w:t xml:space="preserve">Figure 3: Same underlying shock, two metrics. Left (DD reduction, linear): sector pattern clearly visible. Right (PD fold-change, convex): pattern is masked by tail convexity for very safe names.</w:t>
      </w:r>
    </w:p>
    <w:p>
      <w:pPr>
        <w:spacing w:after="110"/>
        <w:jc w:val="left"/>
      </w:pPr>
      <w:r>
        <w:rPr>
          <w:b w:val="false"/>
          <w:bCs w:val="false"/>
          <w:i/>
          <w:iCs/>
        </w:rPr>
        <w:t xml:space="preserve">Practical takeaway: PD fold-change is a misleading metric for comparing stress sensitivity across companies with very different baseline credit quality. Distance-to-Default reduction is the more honest, comparable measure and is recommended as the primary metric for any similar sector-sensitivity analysis going forward.</w:t>
      </w:r>
    </w:p>
    <w:p>
      <w:pPr>
        <w:pStyle w:val="Heading1"/>
        <w:spacing w:after="90" w:before="160"/>
      </w:pPr>
      <w:r>
        <w:t xml:space="preserve">5. Distance-to-Default and PD Term Structure</w:t>
      </w:r>
    </w:p>
    <w:p>
      <w:pPr>
        <w:spacing w:after="110"/>
        <w:jc w:val="left"/>
      </w:pPr>
      <w:r>
        <w:rPr>
          <w:b w:val="false"/>
          <w:bCs w:val="false"/>
          <w:i w:val="false"/>
          <w:iCs w:val="false"/>
        </w:rPr>
        <w:t xml:space="preserve">The Stage 2 solve fixes a 1-year horizon, the standard DD/EDF convention. This section shows PD is not a single number but a curve, computed for a representative subset of companies spanning the risk spectrum (LUMN, AAL, GE, KHC, JNJ, AAPL) across horizons from 3 months to 10 years, holding each company's Merton-implied asset value and asset volatility fixed and varying only the horizon in the DD formula.</w:t>
      </w:r>
    </w:p>
    <w:p>
      <w:pPr>
        <w:spacing w:after="120" w:before="120"/>
        <w:jc w:val="center"/>
      </w:pPr>
      <w:r>
        <w:drawing>
          <wp:inline distT="0" distB="0" distL="0" distR="0">
            <wp:extent cx="5760720" cy="24688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2468880"/>
                    </a:xfrm>
                    <a:prstGeom prst="rect">
                      <a:avLst/>
                    </a:prstGeom>
                  </pic:spPr>
                </pic:pic>
              </a:graphicData>
            </a:graphic>
          </wp:inline>
        </w:drawing>
      </w:r>
    </w:p>
    <w:p>
      <w:pPr>
        <w:spacing w:after="240"/>
        <w:jc w:val="center"/>
      </w:pPr>
      <w:r>
        <w:rPr>
          <w:i/>
          <w:iCs/>
          <w:color w:val="555555"/>
          <w:sz w:val="18"/>
          <w:szCs w:val="18"/>
        </w:rPr>
        <w:t xml:space="preserve">Figure 4: DD (left) and implied cumulative PD (right, log scale) by horizon, six representative companies.</w:t>
      </w:r>
    </w:p>
    <w:p>
      <w:pPr>
        <w:spacing w:after="110"/>
        <w:jc w:val="left"/>
      </w:pPr>
      <w:r>
        <w:rPr>
          <w:b w:val="false"/>
          <w:bCs w:val="false"/>
          <w:i/>
          <w:iCs/>
        </w:rPr>
        <w:t xml:space="preserve">A known limitation of the basic Merton framework is visible here: DD declines with horizon for every company (once the sigma*sqrt(T) term in the denominator outpaces the linear drift term in the numerator), causing implied PDs across very different credit qualities to converge at long horizons — a documented reason real-world KMV/EDF implementations depart from the raw theoretical formula at long maturities. The short-horizon ordering (3 months: LUMN &gt;&gt; AAL &gt;&gt; GE &gt;&gt; KHC &gt;&gt; JNJ/AAPL) is intuitive and reliable; the long-horizon convergence should be read as a model limitation, not a genuine forecast that all companies' credit quality equalizes over a decade.</w:t>
      </w:r>
    </w:p>
    <w:p>
      <w:pPr>
        <w:pStyle w:val="Heading1"/>
        <w:pageBreakBefore/>
        <w:spacing w:after="90" w:before="160"/>
      </w:pPr>
      <w:r>
        <w:t xml:space="preserve">Appendix A: Methodology</w:t>
      </w:r>
    </w:p>
    <w:p>
      <w:pPr>
        <w:pStyle w:val="Heading2"/>
        <w:spacing w:after="90" w:before="160"/>
      </w:pPr>
      <w:r>
        <w:t xml:space="preserve">A.1 Merton (1974) Structural Model</w:t>
      </w:r>
    </w:p>
    <w:p>
      <w:pPr>
        <w:spacing w:after="110"/>
        <w:jc w:val="left"/>
      </w:pPr>
      <w:r>
        <w:rPr>
          <w:b w:val="false"/>
          <w:bCs w:val="false"/>
          <w:i w:val="false"/>
          <w:iCs w:val="false"/>
        </w:rPr>
        <w:t xml:space="preserve">Equity is modeled as a call option on firm assets, with debt as the strike price. Two simultaneous equations relate the unobservable asset value (V) and asset volatility (sigma_V) to the observable equity value (E) and historical equity volatility (sigma_E):</w:t>
      </w:r>
    </w:p>
    <w:p>
      <w:pPr>
        <w:pStyle w:val="ListParagraph"/>
        <w:numPr>
          <w:ilvl w:val="0"/>
          <w:numId w:val="1"/>
        </w:numPr>
        <w:spacing w:after="55"/>
      </w:pPr>
      <w:r>
        <w:t xml:space="preserve">E = V*N(d1) - D*e^(-rT)*N(d2)</w:t>
      </w:r>
    </w:p>
    <w:p>
      <w:pPr>
        <w:pStyle w:val="ListParagraph"/>
        <w:numPr>
          <w:ilvl w:val="0"/>
          <w:numId w:val="1"/>
        </w:numPr>
        <w:spacing w:after="55"/>
      </w:pPr>
      <w:r>
        <w:t xml:space="preserve">sigma_E*E = N(d1)*sigma_V*V</w:t>
      </w:r>
    </w:p>
    <w:p>
      <w:pPr>
        <w:spacing w:after="110"/>
        <w:jc w:val="left"/>
      </w:pPr>
      <w:r>
        <w:rPr>
          <w:b w:val="false"/>
          <w:bCs w:val="false"/>
          <w:i w:val="false"/>
          <w:iCs w:val="false"/>
        </w:rPr>
        <w:t xml:space="preserve">where d1 = [ln(V/D) + (r + 0.5*sigma_V^2)*T] / (sigma_V*sqrt(T)), and d2 = d1 - sigma_V*sqrt(T). Solved numerically (scipy.optimize.fsolve) using the KMV-style iterative volatility restriction: solve the system for each day in a trailing 252-day window using the current sigma_V estimate, recompute sigma_V from the resulting implied-asset-value series, and repeat until convergence (all 26 companies converged within 2 iterations).</w:t>
      </w:r>
    </w:p>
    <w:p>
      <w:pPr>
        <w:spacing w:after="110"/>
        <w:jc w:val="left"/>
      </w:pPr>
      <w:r>
        <w:rPr>
          <w:b w:val="false"/>
          <w:bCs w:val="false"/>
          <w:i w:val="false"/>
          <w:iCs w:val="false"/>
        </w:rPr>
        <w:t xml:space="preserve">Distance-to-Default: DD = [ln(V/D) + (r - 0.5*sigma_V^2)*T] / (sigma_V*sqrt(T)). Implied PD = N(-DD), the standard theoretical mapping (real-world KMV/EDF recalibrates this against a proprietary historical default database, outside this project's scope).</w:t>
      </w:r>
    </w:p>
    <w:p>
      <w:pPr>
        <w:spacing w:after="110"/>
        <w:jc w:val="left"/>
      </w:pPr>
      <w:r>
        <w:rPr>
          <w:b w:val="false"/>
          <w:bCs w:val="false"/>
          <w:i w:val="false"/>
          <w:iCs w:val="false"/>
        </w:rPr>
        <w:t xml:space="preserve">Default point (D) computed under two conventions, run in parallel throughout: naive (total liabilities) and KMV (short-term debt + 0.5×long-term debt, reflecting that firms can often roll over long-term debt rather than defaulting the instant liabilities exceed assets). KMV convention used as primary; naive reported as a sensitivity check.</w:t>
      </w:r>
    </w:p>
    <w:p>
      <w:pPr>
        <w:pStyle w:val="Heading2"/>
        <w:spacing w:after="90" w:before="160"/>
      </w:pPr>
      <w:r>
        <w:t xml:space="preserve">A.2 Altman (1968) Z-Score</w:t>
      </w:r>
    </w:p>
    <w:p>
      <w:pPr>
        <w:spacing w:after="110"/>
        <w:jc w:val="left"/>
      </w:pPr>
      <w:r>
        <w:rPr>
          <w:b w:val="false"/>
          <w:bCs w:val="false"/>
          <w:i w:val="false"/>
          <w:iCs w:val="false"/>
        </w:rPr>
        <w:t xml:space="preserve">Z = 1.2*X1 + 1.4*X2 + 3.3*X3 + 0.6*X4 + 1.0*X5, where X1 = Working Capital/Total Assets, X2 = Retained Earnings/Total Assets, X3 = EBIT/Total Assets, X4 = Market Value of Equity/Total Liabilities, X5 = Sales/Total Assets. Zones: Z &gt; 2.99 safe, 1.81-2.99 grey zone, Z &lt; 1.81 distress risk. Computed entirely independently of the Merton model, from the same underlying fundamentals, for cross-validation purposes only.</w:t>
      </w:r>
    </w:p>
    <w:p>
      <w:pPr>
        <w:pStyle w:val="Heading2"/>
        <w:spacing w:after="90" w:before="160"/>
      </w:pPr>
      <w:r>
        <w:t xml:space="preserve">A.3 Data Sources</w:t>
      </w:r>
    </w:p>
    <w:p>
      <w:pPr>
        <w:pStyle w:val="ListParagraph"/>
        <w:numPr>
          <w:ilvl w:val="0"/>
          <w:numId w:val="1"/>
        </w:numPr>
        <w:spacing w:after="55"/>
      </w:pPr>
      <w:r>
        <w:t xml:space="preserve">Equity prices and balance-sheet fundamentals: yfinance (Yahoo Finance), pulled directly for 25 of 26 companies</w:t>
      </w:r>
    </w:p>
    <w:p>
      <w:pPr>
        <w:pStyle w:val="ListParagraph"/>
        <w:numPr>
          <w:ilvl w:val="0"/>
          <w:numId w:val="1"/>
        </w:numPr>
        <w:spacing w:after="55"/>
      </w:pPr>
      <w:r>
        <w:t xml:space="preserve">General Electric's 2014-2018 historical fundamentals (required for the backtest, beyond yfinance's ~4-year free-tier lookback): pulled directly from SEC EDGAR's XBRL company-facts API</w:t>
      </w:r>
    </w:p>
    <w:p>
      <w:pPr>
        <w:pStyle w:val="ListParagraph"/>
        <w:numPr>
          <w:ilvl w:val="0"/>
          <w:numId w:val="1"/>
        </w:numPr>
        <w:spacing w:after="55"/>
      </w:pPr>
      <w:r>
        <w:t xml:space="preserve">Macro data: FRED — DTB1YR (1-year Treasury), UNRATE (unemployment), GDPC1 (real GDP), NASDAQCOM (equity benchmark), BAMLH0A0HYM2 / BAMLC0A0CM (ICE BofA High Yield / Investment Grade OAS)</w:t>
      </w:r>
    </w:p>
    <w:p>
      <w:pPr>
        <w:pStyle w:val="Heading2"/>
        <w:spacing w:after="90" w:before="160"/>
      </w:pPr>
      <w:r>
        <w:t xml:space="preserve">A.4 Company Universe</w:t>
      </w:r>
    </w:p>
    <w:p>
      <w:pPr>
        <w:spacing w:after="110"/>
        <w:jc w:val="left"/>
      </w:pPr>
      <w:r>
        <w:rPr>
          <w:b w:val="false"/>
          <w:bCs w:val="false"/>
          <w:i w:val="false"/>
          <w:iCs w:val="false"/>
        </w:rPr>
        <w:t xml:space="preserve">26 companies spanning 9 sectors (Technology, Healthcare, Consumer Staples, Consumer Discretionary, Communications, Energy, Industrials, Utilities, Materials) and the full credit-quality spectrum from investment-grade anchors (AAPL, MSFT, JNJ) to speculative-grade/distressed names (LUMN, CHTR, AAL). Illustrative rating tiers (high-grade / mid-grade / speculative) are for company-selection diversity only, not sourced from a live ratings feed.</w:t>
      </w:r>
    </w:p>
    <w:p>
      <w:pPr>
        <w:pStyle w:val="Heading1"/>
        <w:spacing w:after="90" w:before="160"/>
      </w:pPr>
      <w:r>
        <w:t xml:space="preserve">Appendix B: Known Limitations</w:t>
      </w:r>
    </w:p>
    <w:p>
      <w:pPr>
        <w:pStyle w:val="ListParagraph"/>
        <w:numPr>
          <w:ilvl w:val="0"/>
          <w:numId w:val="1"/>
        </w:numPr>
        <w:spacing w:after="55"/>
      </w:pPr>
      <w:r>
        <w:t xml:space="preserve">Risk-free rate held flat at the current 1-year Treasury yield (3.85%, FRED DTB1YR) across all horizons in the term-structure analysis; a rigorous implementation would use the Treasury yield matching each horizon's maturity.</w:t>
      </w:r>
    </w:p>
    <w:p>
      <w:pPr>
        <w:pStyle w:val="ListParagraph"/>
        <w:numPr>
          <w:ilvl w:val="0"/>
          <w:numId w:val="1"/>
        </w:numPr>
        <w:spacing w:after="55"/>
      </w:pPr>
      <w:r>
        <w:t xml:space="preserve">Term structure holds V and sigma_V fixed across horizons rather than re-solving the full Merton system at each horizon; PD convergence at long horizons is a known artifact of this simplification compounding with the base model's own long-horizon behavior.</w:t>
      </w:r>
    </w:p>
    <w:p>
      <w:pPr>
        <w:pStyle w:val="ListParagraph"/>
        <w:numPr>
          <w:ilvl w:val="0"/>
          <w:numId w:val="1"/>
        </w:numPr>
        <w:spacing w:after="55"/>
      </w:pPr>
      <w:r>
        <w:t xml:space="preserve">Stress test holds asset volatility (sigma_V) fixed when shocking equity value, rather than re-running the full iterative volatility restriction under each scenario — a tractability simplification consistent with this stage's "illustrative, not a full macro-econometric model" framing.</w:t>
      </w:r>
    </w:p>
    <w:p>
      <w:pPr>
        <w:pStyle w:val="ListParagraph"/>
        <w:numPr>
          <w:ilvl w:val="0"/>
          <w:numId w:val="1"/>
        </w:numPr>
        <w:spacing w:after="55"/>
      </w:pPr>
      <w:r>
        <w:t xml:space="preserve">Sector cyclicality multipliers (1.35x cyclical / 0.65x defensive) are a standard equity-beta stylized fact from the finance literature, not derived from this project's own price data — most of the 26 companies' price histories don't reach back to 2008, making genuine sector-beta re-estimation infeasible within this project's data.</w:t>
      </w:r>
    </w:p>
    <w:p>
      <w:pPr>
        <w:pStyle w:val="ListParagraph"/>
        <w:numPr>
          <w:ilvl w:val="0"/>
          <w:numId w:val="1"/>
        </w:numPr>
        <w:spacing w:after="55"/>
      </w:pPr>
      <w:r>
        <w:t xml:space="preserve">Two fundamentals fields required a manual patch from primary filings rather than a clean automated pull: McDonald's short-term debt (confirmed $0 — MCD's near-term maturities are reclassified as long-term debt under a supporting credit facility) and Johnson &amp; Johnson's retained earnings (sourced from a third-party XBRL aggregator since J&amp;J's own filing reports a combined retained-earnings-and-paid-in-capital line).</w:t>
      </w:r>
    </w:p>
    <w:p>
      <w:pPr>
        <w:pStyle w:val="ListParagraph"/>
        <w:numPr>
          <w:ilvl w:val="0"/>
          <w:numId w:val="1"/>
        </w:numPr>
        <w:spacing w:after="55"/>
      </w:pPr>
      <w:r>
        <w:t xml:space="preserve">FRED's ICE BofA OAS series (HY and IG spreads) were restricted to a rolling 3-year window by FRED as of April 2026 due to a licensing change with ICE Data Indices; full historical spread data back to 1996 was not available for this analysis without a paid ICE subscription.</w:t>
      </w:r>
    </w:p>
    <w:p>
      <w:pPr>
        <w:pStyle w:val="ListParagraph"/>
        <w:numPr>
          <w:ilvl w:val="0"/>
          <w:numId w:val="1"/>
        </w:numPr>
        <w:spacing w:after="55"/>
      </w:pPr>
      <w:r>
        <w:t xml:space="preserve">Implied (option-market) volatility was not incorporated as a sensitivity check against historical volatility, per the original project scope's optional Section 3.3 extension; all volatility estimates in this analysis are historical (trailing 252-day realized volatility).</w:t>
      </w:r>
    </w:p>
    <w:p>
      <w:pPr>
        <w:pStyle w:val="Heading1"/>
        <w:pageBreakBefore/>
        <w:spacing w:after="90" w:before="160"/>
      </w:pPr>
      <w:r>
        <w:t xml:space="preserve">Appendix C: Full Results Table — All 26 Companies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400"/>
        <w:gridCol w:w="650"/>
        <w:gridCol w:w="1750"/>
        <w:gridCol w:w="1500"/>
        <w:gridCol w:w="1150"/>
        <w:gridCol w:w="1150"/>
        <w:gridCol w:w="1150"/>
        <w:gridCol w:w="900"/>
        <w:gridCol w:w="1000"/>
        <w:gridCol w:w="1350"/>
      </w:tblGrid>
      <w:tr>
        <w:trPr>
          <w:tblHeader/>
        </w:trPr>
        <w:tc>
          <w:tcPr>
            <w:tcW w:type="dxa" w:w="400"/>
            <w:shd w:fill="1F1F1F" w:val="clear"/>
            <w:tcMar>
              <w:top w:type="dxa" w:w="40"/>
              <w:left w:type="dxa" w:w="80"/>
              <w:bottom w:type="dxa" w:w="40"/>
              <w:right w:type="dxa" w:w="80"/>
            </w:tcMar>
            <w:vAlign w:val="center"/>
          </w:tcPr>
          <w:p>
            <w:pPr>
              <w:spacing w:after="0"/>
              <w:jc w:val="left"/>
            </w:pPr>
            <w:r>
              <w:rPr>
                <w:b/>
                <w:bCs/>
                <w:color w:val="FFFFFF"/>
                <w:sz w:val="14"/>
                <w:szCs w:val="14"/>
              </w:rPr>
              <w:t xml:space="preserve">#</w:t>
            </w:r>
          </w:p>
        </w:tc>
        <w:tc>
          <w:tcPr>
            <w:tcW w:type="dxa" w:w="650"/>
            <w:shd w:fill="1F1F1F" w:val="clear"/>
            <w:tcMar>
              <w:top w:type="dxa" w:w="40"/>
              <w:left w:type="dxa" w:w="80"/>
              <w:bottom w:type="dxa" w:w="40"/>
              <w:right w:type="dxa" w:w="80"/>
            </w:tcMar>
            <w:vAlign w:val="center"/>
          </w:tcPr>
          <w:p>
            <w:pPr>
              <w:spacing w:after="0"/>
              <w:jc w:val="left"/>
            </w:pPr>
            <w:r>
              <w:rPr>
                <w:b/>
                <w:bCs/>
                <w:color w:val="FFFFFF"/>
                <w:sz w:val="14"/>
                <w:szCs w:val="14"/>
              </w:rPr>
              <w:t xml:space="preserve">Ticker</w:t>
            </w:r>
          </w:p>
        </w:tc>
        <w:tc>
          <w:tcPr>
            <w:tcW w:type="dxa" w:w="1750"/>
            <w:shd w:fill="1F1F1F" w:val="clear"/>
            <w:tcMar>
              <w:top w:type="dxa" w:w="40"/>
              <w:left w:type="dxa" w:w="80"/>
              <w:bottom w:type="dxa" w:w="40"/>
              <w:right w:type="dxa" w:w="80"/>
            </w:tcMar>
            <w:vAlign w:val="center"/>
          </w:tcPr>
          <w:p>
            <w:pPr>
              <w:spacing w:after="0"/>
              <w:jc w:val="left"/>
            </w:pPr>
            <w:r>
              <w:rPr>
                <w:b/>
                <w:bCs/>
                <w:color w:val="FFFFFF"/>
                <w:sz w:val="14"/>
                <w:szCs w:val="14"/>
              </w:rPr>
              <w:t xml:space="preserve">Company</w:t>
            </w:r>
          </w:p>
        </w:tc>
        <w:tc>
          <w:tcPr>
            <w:tcW w:type="dxa" w:w="1500"/>
            <w:shd w:fill="1F1F1F" w:val="clear"/>
            <w:tcMar>
              <w:top w:type="dxa" w:w="40"/>
              <w:left w:type="dxa" w:w="80"/>
              <w:bottom w:type="dxa" w:w="40"/>
              <w:right w:type="dxa" w:w="80"/>
            </w:tcMar>
            <w:vAlign w:val="center"/>
          </w:tcPr>
          <w:p>
            <w:pPr>
              <w:spacing w:after="0"/>
              <w:jc w:val="left"/>
            </w:pPr>
            <w:r>
              <w:rPr>
                <w:b/>
                <w:bCs/>
                <w:color w:val="FFFFFF"/>
                <w:sz w:val="14"/>
                <w:szCs w:val="14"/>
              </w:rPr>
              <w:t xml:space="preserve">Sector</w:t>
            </w:r>
          </w:p>
        </w:tc>
        <w:tc>
          <w:tcPr>
            <w:tcW w:type="dxa" w:w="1150"/>
            <w:shd w:fill="1F1F1F" w:val="clear"/>
            <w:tcMar>
              <w:top w:type="dxa" w:w="40"/>
              <w:left w:type="dxa" w:w="80"/>
              <w:bottom w:type="dxa" w:w="40"/>
              <w:right w:type="dxa" w:w="80"/>
            </w:tcMar>
            <w:vAlign w:val="center"/>
          </w:tcPr>
          <w:p>
            <w:pPr>
              <w:spacing w:after="0"/>
              <w:jc w:val="left"/>
            </w:pPr>
            <w:r>
              <w:rPr>
                <w:b/>
                <w:bCs/>
                <w:color w:val="FFFFFF"/>
                <w:sz w:val="14"/>
                <w:szCs w:val="14"/>
              </w:rPr>
              <w:t xml:space="preserve">Tier</w:t>
            </w:r>
          </w:p>
        </w:tc>
        <w:tc>
          <w:tcPr>
            <w:tcW w:type="dxa" w:w="1150"/>
            <w:shd w:fill="1F1F1F" w:val="clear"/>
            <w:tcMar>
              <w:top w:type="dxa" w:w="40"/>
              <w:left w:type="dxa" w:w="80"/>
              <w:bottom w:type="dxa" w:w="40"/>
              <w:right w:type="dxa" w:w="80"/>
            </w:tcMar>
            <w:vAlign w:val="center"/>
          </w:tcPr>
          <w:p>
            <w:pPr>
              <w:spacing w:after="0"/>
              <w:jc w:val="left"/>
            </w:pPr>
            <w:r>
              <w:rPr>
                <w:b/>
                <w:bCs/>
                <w:color w:val="FFFFFF"/>
                <w:sz w:val="14"/>
                <w:szCs w:val="14"/>
              </w:rPr>
              <w:t xml:space="preserve">PD (KMV)</w:t>
            </w:r>
          </w:p>
        </w:tc>
        <w:tc>
          <w:tcPr>
            <w:tcW w:type="dxa" w:w="1150"/>
            <w:shd w:fill="1F1F1F" w:val="clear"/>
            <w:tcMar>
              <w:top w:type="dxa" w:w="40"/>
              <w:left w:type="dxa" w:w="80"/>
              <w:bottom w:type="dxa" w:w="40"/>
              <w:right w:type="dxa" w:w="80"/>
            </w:tcMar>
            <w:vAlign w:val="center"/>
          </w:tcPr>
          <w:p>
            <w:pPr>
              <w:spacing w:after="0"/>
              <w:jc w:val="left"/>
            </w:pPr>
            <w:r>
              <w:rPr>
                <w:b/>
                <w:bCs/>
                <w:color w:val="FFFFFF"/>
                <w:sz w:val="14"/>
                <w:szCs w:val="14"/>
              </w:rPr>
              <w:t xml:space="preserve">PD (naive)</w:t>
            </w:r>
          </w:p>
        </w:tc>
        <w:tc>
          <w:tcPr>
            <w:tcW w:type="dxa" w:w="900"/>
            <w:shd w:fill="1F1F1F" w:val="clear"/>
            <w:tcMar>
              <w:top w:type="dxa" w:w="40"/>
              <w:left w:type="dxa" w:w="80"/>
              <w:bottom w:type="dxa" w:w="40"/>
              <w:right w:type="dxa" w:w="80"/>
            </w:tcMar>
            <w:vAlign w:val="center"/>
          </w:tcPr>
          <w:p>
            <w:pPr>
              <w:spacing w:after="0"/>
              <w:jc w:val="left"/>
            </w:pPr>
            <w:r>
              <w:rPr>
                <w:b/>
                <w:bCs/>
                <w:color w:val="FFFFFF"/>
                <w:sz w:val="14"/>
                <w:szCs w:val="14"/>
              </w:rPr>
              <w:t xml:space="preserve">Altman Z</w:t>
            </w:r>
          </w:p>
        </w:tc>
        <w:tc>
          <w:tcPr>
            <w:tcW w:type="dxa" w:w="1000"/>
            <w:shd w:fill="1F1F1F" w:val="clear"/>
            <w:tcMar>
              <w:top w:type="dxa" w:w="40"/>
              <w:left w:type="dxa" w:w="80"/>
              <w:bottom w:type="dxa" w:w="40"/>
              <w:right w:type="dxa" w:w="80"/>
            </w:tcMar>
            <w:vAlign w:val="center"/>
          </w:tcPr>
          <w:p>
            <w:pPr>
              <w:spacing w:after="0"/>
              <w:jc w:val="left"/>
            </w:pPr>
            <w:r>
              <w:rPr>
                <w:b/>
                <w:bCs/>
                <w:color w:val="FFFFFF"/>
                <w:sz w:val="14"/>
                <w:szCs w:val="14"/>
              </w:rPr>
              <w:t xml:space="preserve">Zone</w:t>
            </w:r>
          </w:p>
        </w:tc>
        <w:tc>
          <w:tcPr>
            <w:tcW w:type="dxa" w:w="1350"/>
            <w:shd w:fill="1F1F1F" w:val="clear"/>
            <w:tcMar>
              <w:top w:type="dxa" w:w="40"/>
              <w:left w:type="dxa" w:w="80"/>
              <w:bottom w:type="dxa" w:w="40"/>
              <w:right w:type="dxa" w:w="80"/>
            </w:tcMar>
            <w:vAlign w:val="center"/>
          </w:tcPr>
          <w:p>
            <w:pPr>
              <w:spacing w:after="0"/>
              <w:jc w:val="left"/>
            </w:pPr>
            <w:r>
              <w:rPr>
                <w:b/>
                <w:bCs/>
                <w:color w:val="FFFFFF"/>
                <w:sz w:val="14"/>
                <w:szCs w:val="14"/>
              </w:rPr>
              <w:t xml:space="preserve">PD (severe stress)</w:t>
            </w:r>
          </w:p>
        </w:tc>
      </w:tr>
      <w:tr>
        <w:tc>
          <w:tcPr>
            <w:tcW w:type="dxa" w:w="400"/>
            <w:tcMar>
              <w:top w:type="dxa" w:w="40"/>
              <w:left w:type="dxa" w:w="80"/>
              <w:bottom w:type="dxa" w:w="40"/>
              <w:right w:type="dxa" w:w="80"/>
            </w:tcMar>
            <w:vAlign w:val="center"/>
          </w:tcPr>
          <w:p>
            <w:pPr>
              <w:spacing w:after="0"/>
              <w:jc w:val="left"/>
            </w:pPr>
            <w:r>
              <w:rPr>
                <w:b w:val="false"/>
                <w:bCs w:val="false"/>
                <w:color w:val="000000"/>
                <w:sz w:val="14"/>
                <w:szCs w:val="14"/>
              </w:rPr>
              <w:t xml:space="preserve">1</w:t>
            </w:r>
          </w:p>
        </w:tc>
        <w:tc>
          <w:tcPr>
            <w:tcW w:type="dxa" w:w="650"/>
            <w:tcMar>
              <w:top w:type="dxa" w:w="40"/>
              <w:left w:type="dxa" w:w="80"/>
              <w:bottom w:type="dxa" w:w="40"/>
              <w:right w:type="dxa" w:w="80"/>
            </w:tcMar>
            <w:vAlign w:val="center"/>
          </w:tcPr>
          <w:p>
            <w:pPr>
              <w:spacing w:after="0"/>
              <w:jc w:val="left"/>
            </w:pPr>
            <w:r>
              <w:rPr>
                <w:b w:val="false"/>
                <w:bCs w:val="false"/>
                <w:color w:val="000000"/>
                <w:sz w:val="14"/>
                <w:szCs w:val="14"/>
              </w:rPr>
              <w:t xml:space="preserve">LUMN</w:t>
            </w:r>
          </w:p>
        </w:tc>
        <w:tc>
          <w:tcPr>
            <w:tcW w:type="dxa" w:w="1750"/>
            <w:tcMar>
              <w:top w:type="dxa" w:w="40"/>
              <w:left w:type="dxa" w:w="80"/>
              <w:bottom w:type="dxa" w:w="40"/>
              <w:right w:type="dxa" w:w="80"/>
            </w:tcMar>
            <w:vAlign w:val="center"/>
          </w:tcPr>
          <w:p>
            <w:pPr>
              <w:spacing w:after="0"/>
              <w:jc w:val="left"/>
            </w:pPr>
            <w:r>
              <w:rPr>
                <w:b w:val="false"/>
                <w:bCs w:val="false"/>
                <w:color w:val="000000"/>
                <w:sz w:val="14"/>
                <w:szCs w:val="14"/>
              </w:rPr>
              <w:t xml:space="preserve">Lumen Technologies</w:t>
            </w:r>
          </w:p>
        </w:tc>
        <w:tc>
          <w:tcPr>
            <w:tcW w:type="dxa" w:w="1500"/>
            <w:tcMar>
              <w:top w:type="dxa" w:w="40"/>
              <w:left w:type="dxa" w:w="80"/>
              <w:bottom w:type="dxa" w:w="40"/>
              <w:right w:type="dxa" w:w="80"/>
            </w:tcMar>
            <w:vAlign w:val="center"/>
          </w:tcPr>
          <w:p>
            <w:pPr>
              <w:spacing w:after="0"/>
              <w:jc w:val="left"/>
            </w:pPr>
            <w:r>
              <w:rPr>
                <w:b w:val="false"/>
                <w:bCs w:val="false"/>
                <w:color w:val="000000"/>
                <w:sz w:val="14"/>
                <w:szCs w:val="14"/>
              </w:rPr>
              <w:t xml:space="preserve">Communications</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Speculative</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11.7836%</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16.8234%</w:t>
            </w:r>
          </w:p>
        </w:tc>
        <w:tc>
          <w:tcPr>
            <w:tcW w:type="dxa" w:w="900"/>
            <w:tcMar>
              <w:top w:type="dxa" w:w="40"/>
              <w:left w:type="dxa" w:w="80"/>
              <w:bottom w:type="dxa" w:w="40"/>
              <w:right w:type="dxa" w:w="80"/>
            </w:tcMar>
            <w:vAlign w:val="center"/>
          </w:tcPr>
          <w:p>
            <w:pPr>
              <w:spacing w:after="0"/>
              <w:jc w:val="center"/>
            </w:pPr>
            <w:r>
              <w:rPr>
                <w:b w:val="false"/>
                <w:bCs w:val="false"/>
                <w:color w:val="000000"/>
                <w:sz w:val="14"/>
                <w:szCs w:val="14"/>
              </w:rPr>
              <w:t xml:space="preserve">-0.35</w:t>
            </w:r>
          </w:p>
        </w:tc>
        <w:tc>
          <w:tcPr>
            <w:tcW w:type="dxa" w:w="1000"/>
            <w:tcMar>
              <w:top w:type="dxa" w:w="40"/>
              <w:left w:type="dxa" w:w="80"/>
              <w:bottom w:type="dxa" w:w="40"/>
              <w:right w:type="dxa" w:w="80"/>
            </w:tcMar>
            <w:vAlign w:val="center"/>
          </w:tcPr>
          <w:p>
            <w:pPr>
              <w:spacing w:after="0"/>
              <w:jc w:val="center"/>
            </w:pPr>
            <w:r>
              <w:rPr>
                <w:b w:val="false"/>
                <w:bCs w:val="false"/>
                <w:color w:val="000000"/>
                <w:sz w:val="14"/>
                <w:szCs w:val="14"/>
              </w:rPr>
              <w:t xml:space="preserve">Distress</w:t>
            </w:r>
          </w:p>
        </w:tc>
        <w:tc>
          <w:tcPr>
            <w:tcW w:type="dxa" w:w="1350"/>
            <w:tcMar>
              <w:top w:type="dxa" w:w="40"/>
              <w:left w:type="dxa" w:w="80"/>
              <w:bottom w:type="dxa" w:w="40"/>
              <w:right w:type="dxa" w:w="80"/>
            </w:tcMar>
            <w:vAlign w:val="center"/>
          </w:tcPr>
          <w:p>
            <w:pPr>
              <w:spacing w:after="0"/>
              <w:jc w:val="center"/>
            </w:pPr>
            <w:r>
              <w:rPr>
                <w:b w:val="false"/>
                <w:bCs w:val="false"/>
                <w:color w:val="000000"/>
                <w:sz w:val="14"/>
                <w:szCs w:val="14"/>
              </w:rPr>
              <w:t xml:space="preserve">30.098%</w:t>
            </w:r>
          </w:p>
        </w:tc>
      </w:tr>
      <w:tr>
        <w:tc>
          <w:tcPr>
            <w:tcW w:type="dxa" w:w="400"/>
            <w:tcMar>
              <w:top w:type="dxa" w:w="40"/>
              <w:left w:type="dxa" w:w="80"/>
              <w:bottom w:type="dxa" w:w="40"/>
              <w:right w:type="dxa" w:w="80"/>
            </w:tcMar>
            <w:vAlign w:val="center"/>
          </w:tcPr>
          <w:p>
            <w:pPr>
              <w:spacing w:after="0"/>
              <w:jc w:val="left"/>
            </w:pPr>
            <w:r>
              <w:rPr>
                <w:b w:val="false"/>
                <w:bCs w:val="false"/>
                <w:color w:val="000000"/>
                <w:sz w:val="14"/>
                <w:szCs w:val="14"/>
              </w:rPr>
              <w:t xml:space="preserve">2</w:t>
            </w:r>
          </w:p>
        </w:tc>
        <w:tc>
          <w:tcPr>
            <w:tcW w:type="dxa" w:w="650"/>
            <w:tcMar>
              <w:top w:type="dxa" w:w="40"/>
              <w:left w:type="dxa" w:w="80"/>
              <w:bottom w:type="dxa" w:w="40"/>
              <w:right w:type="dxa" w:w="80"/>
            </w:tcMar>
            <w:vAlign w:val="center"/>
          </w:tcPr>
          <w:p>
            <w:pPr>
              <w:spacing w:after="0"/>
              <w:jc w:val="left"/>
            </w:pPr>
            <w:r>
              <w:rPr>
                <w:b w:val="false"/>
                <w:bCs w:val="false"/>
                <w:color w:val="000000"/>
                <w:sz w:val="14"/>
                <w:szCs w:val="14"/>
              </w:rPr>
              <w:t xml:space="preserve">CHTR</w:t>
            </w:r>
          </w:p>
        </w:tc>
        <w:tc>
          <w:tcPr>
            <w:tcW w:type="dxa" w:w="1750"/>
            <w:tcMar>
              <w:top w:type="dxa" w:w="40"/>
              <w:left w:type="dxa" w:w="80"/>
              <w:bottom w:type="dxa" w:w="40"/>
              <w:right w:type="dxa" w:w="80"/>
            </w:tcMar>
            <w:vAlign w:val="center"/>
          </w:tcPr>
          <w:p>
            <w:pPr>
              <w:spacing w:after="0"/>
              <w:jc w:val="left"/>
            </w:pPr>
            <w:r>
              <w:rPr>
                <w:b w:val="false"/>
                <w:bCs w:val="false"/>
                <w:color w:val="000000"/>
                <w:sz w:val="14"/>
                <w:szCs w:val="14"/>
              </w:rPr>
              <w:t xml:space="preserve">Charter Communications</w:t>
            </w:r>
          </w:p>
        </w:tc>
        <w:tc>
          <w:tcPr>
            <w:tcW w:type="dxa" w:w="1500"/>
            <w:tcMar>
              <w:top w:type="dxa" w:w="40"/>
              <w:left w:type="dxa" w:w="80"/>
              <w:bottom w:type="dxa" w:w="40"/>
              <w:right w:type="dxa" w:w="80"/>
            </w:tcMar>
            <w:vAlign w:val="center"/>
          </w:tcPr>
          <w:p>
            <w:pPr>
              <w:spacing w:after="0"/>
              <w:jc w:val="left"/>
            </w:pPr>
            <w:r>
              <w:rPr>
                <w:b w:val="false"/>
                <w:bCs w:val="false"/>
                <w:color w:val="000000"/>
                <w:sz w:val="14"/>
                <w:szCs w:val="14"/>
              </w:rPr>
              <w:t xml:space="preserve">Communications</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Speculative</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3.3304%</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5.1657%</w:t>
            </w:r>
          </w:p>
        </w:tc>
        <w:tc>
          <w:tcPr>
            <w:tcW w:type="dxa" w:w="900"/>
            <w:tcMar>
              <w:top w:type="dxa" w:w="40"/>
              <w:left w:type="dxa" w:w="80"/>
              <w:bottom w:type="dxa" w:w="40"/>
              <w:right w:type="dxa" w:w="80"/>
            </w:tcMar>
            <w:vAlign w:val="center"/>
          </w:tcPr>
          <w:p>
            <w:pPr>
              <w:spacing w:after="0"/>
              <w:jc w:val="center"/>
            </w:pPr>
            <w:r>
              <w:rPr>
                <w:b w:val="false"/>
                <w:bCs w:val="false"/>
                <w:color w:val="000000"/>
                <w:sz w:val="14"/>
                <w:szCs w:val="14"/>
              </w:rPr>
              <w:t xml:space="preserve">0.60</w:t>
            </w:r>
          </w:p>
        </w:tc>
        <w:tc>
          <w:tcPr>
            <w:tcW w:type="dxa" w:w="1000"/>
            <w:tcMar>
              <w:top w:type="dxa" w:w="40"/>
              <w:left w:type="dxa" w:w="80"/>
              <w:bottom w:type="dxa" w:w="40"/>
              <w:right w:type="dxa" w:w="80"/>
            </w:tcMar>
            <w:vAlign w:val="center"/>
          </w:tcPr>
          <w:p>
            <w:pPr>
              <w:spacing w:after="0"/>
              <w:jc w:val="center"/>
            </w:pPr>
            <w:r>
              <w:rPr>
                <w:b w:val="false"/>
                <w:bCs w:val="false"/>
                <w:color w:val="000000"/>
                <w:sz w:val="14"/>
                <w:szCs w:val="14"/>
              </w:rPr>
              <w:t xml:space="preserve">Distress</w:t>
            </w:r>
          </w:p>
        </w:tc>
        <w:tc>
          <w:tcPr>
            <w:tcW w:type="dxa" w:w="1350"/>
            <w:tcMar>
              <w:top w:type="dxa" w:w="40"/>
              <w:left w:type="dxa" w:w="80"/>
              <w:bottom w:type="dxa" w:w="40"/>
              <w:right w:type="dxa" w:w="80"/>
            </w:tcMar>
            <w:vAlign w:val="center"/>
          </w:tcPr>
          <w:p>
            <w:pPr>
              <w:spacing w:after="0"/>
              <w:jc w:val="center"/>
            </w:pPr>
            <w:r>
              <w:rPr>
                <w:b w:val="false"/>
                <w:bCs w:val="false"/>
                <w:color w:val="000000"/>
                <w:sz w:val="14"/>
                <w:szCs w:val="14"/>
              </w:rPr>
              <w:t xml:space="preserve">17.475%</w:t>
            </w:r>
          </w:p>
        </w:tc>
      </w:tr>
      <w:tr>
        <w:tc>
          <w:tcPr>
            <w:tcW w:type="dxa" w:w="400"/>
            <w:tcMar>
              <w:top w:type="dxa" w:w="40"/>
              <w:left w:type="dxa" w:w="80"/>
              <w:bottom w:type="dxa" w:w="40"/>
              <w:right w:type="dxa" w:w="80"/>
            </w:tcMar>
            <w:vAlign w:val="center"/>
          </w:tcPr>
          <w:p>
            <w:pPr>
              <w:spacing w:after="0"/>
              <w:jc w:val="left"/>
            </w:pPr>
            <w:r>
              <w:rPr>
                <w:b w:val="false"/>
                <w:bCs w:val="false"/>
                <w:color w:val="000000"/>
                <w:sz w:val="14"/>
                <w:szCs w:val="14"/>
              </w:rPr>
              <w:t xml:space="preserve">3</w:t>
            </w:r>
          </w:p>
        </w:tc>
        <w:tc>
          <w:tcPr>
            <w:tcW w:type="dxa" w:w="650"/>
            <w:tcMar>
              <w:top w:type="dxa" w:w="40"/>
              <w:left w:type="dxa" w:w="80"/>
              <w:bottom w:type="dxa" w:w="40"/>
              <w:right w:type="dxa" w:w="80"/>
            </w:tcMar>
            <w:vAlign w:val="center"/>
          </w:tcPr>
          <w:p>
            <w:pPr>
              <w:spacing w:after="0"/>
              <w:jc w:val="left"/>
            </w:pPr>
            <w:r>
              <w:rPr>
                <w:b w:val="false"/>
                <w:bCs w:val="false"/>
                <w:color w:val="000000"/>
                <w:sz w:val="14"/>
                <w:szCs w:val="14"/>
              </w:rPr>
              <w:t xml:space="preserve">AAL</w:t>
            </w:r>
          </w:p>
        </w:tc>
        <w:tc>
          <w:tcPr>
            <w:tcW w:type="dxa" w:w="1750"/>
            <w:tcMar>
              <w:top w:type="dxa" w:w="40"/>
              <w:left w:type="dxa" w:w="80"/>
              <w:bottom w:type="dxa" w:w="40"/>
              <w:right w:type="dxa" w:w="80"/>
            </w:tcMar>
            <w:vAlign w:val="center"/>
          </w:tcPr>
          <w:p>
            <w:pPr>
              <w:spacing w:after="0"/>
              <w:jc w:val="left"/>
            </w:pPr>
            <w:r>
              <w:rPr>
                <w:b w:val="false"/>
                <w:bCs w:val="false"/>
                <w:color w:val="000000"/>
                <w:sz w:val="14"/>
                <w:szCs w:val="14"/>
              </w:rPr>
              <w:t xml:space="preserve">American Airlines</w:t>
            </w:r>
          </w:p>
        </w:tc>
        <w:tc>
          <w:tcPr>
            <w:tcW w:type="dxa" w:w="1500"/>
            <w:tcMar>
              <w:top w:type="dxa" w:w="40"/>
              <w:left w:type="dxa" w:w="80"/>
              <w:bottom w:type="dxa" w:w="40"/>
              <w:right w:type="dxa" w:w="80"/>
            </w:tcMar>
            <w:vAlign w:val="center"/>
          </w:tcPr>
          <w:p>
            <w:pPr>
              <w:spacing w:after="0"/>
              <w:jc w:val="left"/>
            </w:pPr>
            <w:r>
              <w:rPr>
                <w:b w:val="false"/>
                <w:bCs w:val="false"/>
                <w:color w:val="000000"/>
                <w:sz w:val="14"/>
                <w:szCs w:val="14"/>
              </w:rPr>
              <w:t xml:space="preserve">Industrials</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Speculative</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0.5736%</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1.3090%</w:t>
            </w:r>
          </w:p>
        </w:tc>
        <w:tc>
          <w:tcPr>
            <w:tcW w:type="dxa" w:w="900"/>
            <w:tcMar>
              <w:top w:type="dxa" w:w="40"/>
              <w:left w:type="dxa" w:w="80"/>
              <w:bottom w:type="dxa" w:w="40"/>
              <w:right w:type="dxa" w:w="80"/>
            </w:tcMar>
            <w:vAlign w:val="center"/>
          </w:tcPr>
          <w:p>
            <w:pPr>
              <w:spacing w:after="0"/>
              <w:jc w:val="center"/>
            </w:pPr>
            <w:r>
              <w:rPr>
                <w:b w:val="false"/>
                <w:bCs w:val="false"/>
                <w:color w:val="000000"/>
                <w:sz w:val="14"/>
                <w:szCs w:val="14"/>
              </w:rPr>
              <w:t xml:space="preserve">0.68</w:t>
            </w:r>
          </w:p>
        </w:tc>
        <w:tc>
          <w:tcPr>
            <w:tcW w:type="dxa" w:w="1000"/>
            <w:tcMar>
              <w:top w:type="dxa" w:w="40"/>
              <w:left w:type="dxa" w:w="80"/>
              <w:bottom w:type="dxa" w:w="40"/>
              <w:right w:type="dxa" w:w="80"/>
            </w:tcMar>
            <w:vAlign w:val="center"/>
          </w:tcPr>
          <w:p>
            <w:pPr>
              <w:spacing w:after="0"/>
              <w:jc w:val="center"/>
            </w:pPr>
            <w:r>
              <w:rPr>
                <w:b w:val="false"/>
                <w:bCs w:val="false"/>
                <w:color w:val="000000"/>
                <w:sz w:val="14"/>
                <w:szCs w:val="14"/>
              </w:rPr>
              <w:t xml:space="preserve">Distress</w:t>
            </w:r>
          </w:p>
        </w:tc>
        <w:tc>
          <w:tcPr>
            <w:tcW w:type="dxa" w:w="1350"/>
            <w:tcMar>
              <w:top w:type="dxa" w:w="40"/>
              <w:left w:type="dxa" w:w="80"/>
              <w:bottom w:type="dxa" w:w="40"/>
              <w:right w:type="dxa" w:w="80"/>
            </w:tcMar>
            <w:vAlign w:val="center"/>
          </w:tcPr>
          <w:p>
            <w:pPr>
              <w:spacing w:after="0"/>
              <w:jc w:val="center"/>
            </w:pPr>
            <w:r>
              <w:rPr>
                <w:b w:val="false"/>
                <w:bCs w:val="false"/>
                <w:color w:val="000000"/>
                <w:sz w:val="14"/>
                <w:szCs w:val="14"/>
              </w:rPr>
              <w:t xml:space="preserve">7.844%</w:t>
            </w:r>
          </w:p>
        </w:tc>
      </w:tr>
      <w:tr>
        <w:tc>
          <w:tcPr>
            <w:tcW w:type="dxa" w:w="400"/>
            <w:tcMar>
              <w:top w:type="dxa" w:w="40"/>
              <w:left w:type="dxa" w:w="80"/>
              <w:bottom w:type="dxa" w:w="40"/>
              <w:right w:type="dxa" w:w="80"/>
            </w:tcMar>
            <w:vAlign w:val="center"/>
          </w:tcPr>
          <w:p>
            <w:pPr>
              <w:spacing w:after="0"/>
              <w:jc w:val="left"/>
            </w:pPr>
            <w:r>
              <w:rPr>
                <w:b w:val="false"/>
                <w:bCs w:val="false"/>
                <w:color w:val="000000"/>
                <w:sz w:val="14"/>
                <w:szCs w:val="14"/>
              </w:rPr>
              <w:t xml:space="preserve">4</w:t>
            </w:r>
          </w:p>
        </w:tc>
        <w:tc>
          <w:tcPr>
            <w:tcW w:type="dxa" w:w="650"/>
            <w:tcMar>
              <w:top w:type="dxa" w:w="40"/>
              <w:left w:type="dxa" w:w="80"/>
              <w:bottom w:type="dxa" w:w="40"/>
              <w:right w:type="dxa" w:w="80"/>
            </w:tcMar>
            <w:vAlign w:val="center"/>
          </w:tcPr>
          <w:p>
            <w:pPr>
              <w:spacing w:after="0"/>
              <w:jc w:val="left"/>
            </w:pPr>
            <w:r>
              <w:rPr>
                <w:b w:val="false"/>
                <w:bCs w:val="false"/>
                <w:color w:val="000000"/>
                <w:sz w:val="14"/>
                <w:szCs w:val="14"/>
              </w:rPr>
              <w:t xml:space="preserve">F</w:t>
            </w:r>
          </w:p>
        </w:tc>
        <w:tc>
          <w:tcPr>
            <w:tcW w:type="dxa" w:w="1750"/>
            <w:tcMar>
              <w:top w:type="dxa" w:w="40"/>
              <w:left w:type="dxa" w:w="80"/>
              <w:bottom w:type="dxa" w:w="40"/>
              <w:right w:type="dxa" w:w="80"/>
            </w:tcMar>
            <w:vAlign w:val="center"/>
          </w:tcPr>
          <w:p>
            <w:pPr>
              <w:spacing w:after="0"/>
              <w:jc w:val="left"/>
            </w:pPr>
            <w:r>
              <w:rPr>
                <w:b w:val="false"/>
                <w:bCs w:val="false"/>
                <w:color w:val="000000"/>
                <w:sz w:val="14"/>
                <w:szCs w:val="14"/>
              </w:rPr>
              <w:t xml:space="preserve">Ford Motor</w:t>
            </w:r>
          </w:p>
        </w:tc>
        <w:tc>
          <w:tcPr>
            <w:tcW w:type="dxa" w:w="1500"/>
            <w:tcMar>
              <w:top w:type="dxa" w:w="40"/>
              <w:left w:type="dxa" w:w="80"/>
              <w:bottom w:type="dxa" w:w="40"/>
              <w:right w:type="dxa" w:w="80"/>
            </w:tcMar>
            <w:vAlign w:val="center"/>
          </w:tcPr>
          <w:p>
            <w:pPr>
              <w:spacing w:after="0"/>
              <w:jc w:val="left"/>
            </w:pPr>
            <w:r>
              <w:rPr>
                <w:b w:val="false"/>
                <w:bCs w:val="false"/>
                <w:color w:val="000000"/>
                <w:sz w:val="14"/>
                <w:szCs w:val="14"/>
              </w:rPr>
              <w:t xml:space="preserve">Cons. Discretionary</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Speculative</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0.0318%</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0.0841%</w:t>
            </w:r>
          </w:p>
        </w:tc>
        <w:tc>
          <w:tcPr>
            <w:tcW w:type="dxa" w:w="900"/>
            <w:tcMar>
              <w:top w:type="dxa" w:w="40"/>
              <w:left w:type="dxa" w:w="80"/>
              <w:bottom w:type="dxa" w:w="40"/>
              <w:right w:type="dxa" w:w="80"/>
            </w:tcMar>
            <w:vAlign w:val="center"/>
          </w:tcPr>
          <w:p>
            <w:pPr>
              <w:spacing w:after="0"/>
              <w:jc w:val="center"/>
            </w:pPr>
            <w:r>
              <w:rPr>
                <w:b w:val="false"/>
                <w:bCs w:val="false"/>
                <w:color w:val="000000"/>
                <w:sz w:val="14"/>
                <w:szCs w:val="14"/>
              </w:rPr>
              <w:t xml:space="preserve">0.81</w:t>
            </w:r>
          </w:p>
        </w:tc>
        <w:tc>
          <w:tcPr>
            <w:tcW w:type="dxa" w:w="1000"/>
            <w:tcMar>
              <w:top w:type="dxa" w:w="40"/>
              <w:left w:type="dxa" w:w="80"/>
              <w:bottom w:type="dxa" w:w="40"/>
              <w:right w:type="dxa" w:w="80"/>
            </w:tcMar>
            <w:vAlign w:val="center"/>
          </w:tcPr>
          <w:p>
            <w:pPr>
              <w:spacing w:after="0"/>
              <w:jc w:val="center"/>
            </w:pPr>
            <w:r>
              <w:rPr>
                <w:b w:val="false"/>
                <w:bCs w:val="false"/>
                <w:color w:val="000000"/>
                <w:sz w:val="14"/>
                <w:szCs w:val="14"/>
              </w:rPr>
              <w:t xml:space="preserve">Distress</w:t>
            </w:r>
          </w:p>
        </w:tc>
        <w:tc>
          <w:tcPr>
            <w:tcW w:type="dxa" w:w="1350"/>
            <w:tcMar>
              <w:top w:type="dxa" w:w="40"/>
              <w:left w:type="dxa" w:w="80"/>
              <w:bottom w:type="dxa" w:w="40"/>
              <w:right w:type="dxa" w:w="80"/>
            </w:tcMar>
            <w:vAlign w:val="center"/>
          </w:tcPr>
          <w:p>
            <w:pPr>
              <w:spacing w:after="0"/>
              <w:jc w:val="center"/>
            </w:pPr>
            <w:r>
              <w:rPr>
                <w:b w:val="false"/>
                <w:bCs w:val="false"/>
                <w:color w:val="000000"/>
                <w:sz w:val="14"/>
                <w:szCs w:val="14"/>
              </w:rPr>
              <w:t xml:space="preserve">2.540%</w:t>
            </w:r>
          </w:p>
        </w:tc>
      </w:tr>
      <w:tr>
        <w:tc>
          <w:tcPr>
            <w:tcW w:type="dxa" w:w="400"/>
            <w:tcMar>
              <w:top w:type="dxa" w:w="40"/>
              <w:left w:type="dxa" w:w="80"/>
              <w:bottom w:type="dxa" w:w="40"/>
              <w:right w:type="dxa" w:w="80"/>
            </w:tcMar>
            <w:vAlign w:val="center"/>
          </w:tcPr>
          <w:p>
            <w:pPr>
              <w:spacing w:after="0"/>
              <w:jc w:val="left"/>
            </w:pPr>
            <w:r>
              <w:rPr>
                <w:b w:val="false"/>
                <w:bCs w:val="false"/>
                <w:color w:val="000000"/>
                <w:sz w:val="14"/>
                <w:szCs w:val="14"/>
              </w:rPr>
              <w:t xml:space="preserve">5</w:t>
            </w:r>
          </w:p>
        </w:tc>
        <w:tc>
          <w:tcPr>
            <w:tcW w:type="dxa" w:w="650"/>
            <w:tcMar>
              <w:top w:type="dxa" w:w="40"/>
              <w:left w:type="dxa" w:w="80"/>
              <w:bottom w:type="dxa" w:w="40"/>
              <w:right w:type="dxa" w:w="80"/>
            </w:tcMar>
            <w:vAlign w:val="center"/>
          </w:tcPr>
          <w:p>
            <w:pPr>
              <w:spacing w:after="0"/>
              <w:jc w:val="left"/>
            </w:pPr>
            <w:r>
              <w:rPr>
                <w:b w:val="false"/>
                <w:bCs w:val="false"/>
                <w:color w:val="000000"/>
                <w:sz w:val="14"/>
                <w:szCs w:val="14"/>
              </w:rPr>
              <w:t xml:space="preserve">CCL</w:t>
            </w:r>
          </w:p>
        </w:tc>
        <w:tc>
          <w:tcPr>
            <w:tcW w:type="dxa" w:w="1750"/>
            <w:tcMar>
              <w:top w:type="dxa" w:w="40"/>
              <w:left w:type="dxa" w:w="80"/>
              <w:bottom w:type="dxa" w:w="40"/>
              <w:right w:type="dxa" w:w="80"/>
            </w:tcMar>
            <w:vAlign w:val="center"/>
          </w:tcPr>
          <w:p>
            <w:pPr>
              <w:spacing w:after="0"/>
              <w:jc w:val="left"/>
            </w:pPr>
            <w:r>
              <w:rPr>
                <w:b w:val="false"/>
                <w:bCs w:val="false"/>
                <w:color w:val="000000"/>
                <w:sz w:val="14"/>
                <w:szCs w:val="14"/>
              </w:rPr>
              <w:t xml:space="preserve">Carnival Corp</w:t>
            </w:r>
          </w:p>
        </w:tc>
        <w:tc>
          <w:tcPr>
            <w:tcW w:type="dxa" w:w="1500"/>
            <w:tcMar>
              <w:top w:type="dxa" w:w="40"/>
              <w:left w:type="dxa" w:w="80"/>
              <w:bottom w:type="dxa" w:w="40"/>
              <w:right w:type="dxa" w:w="80"/>
            </w:tcMar>
            <w:vAlign w:val="center"/>
          </w:tcPr>
          <w:p>
            <w:pPr>
              <w:spacing w:after="0"/>
              <w:jc w:val="left"/>
            </w:pPr>
            <w:r>
              <w:rPr>
                <w:b w:val="false"/>
                <w:bCs w:val="false"/>
                <w:color w:val="000000"/>
                <w:sz w:val="14"/>
                <w:szCs w:val="14"/>
              </w:rPr>
              <w:t xml:space="preserve">Cons. Discretionary</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Speculative</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0.0287%</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0.4075%</w:t>
            </w:r>
          </w:p>
        </w:tc>
        <w:tc>
          <w:tcPr>
            <w:tcW w:type="dxa" w:w="900"/>
            <w:tcMar>
              <w:top w:type="dxa" w:w="40"/>
              <w:left w:type="dxa" w:w="80"/>
              <w:bottom w:type="dxa" w:w="40"/>
              <w:right w:type="dxa" w:w="80"/>
            </w:tcMar>
            <w:vAlign w:val="center"/>
          </w:tcPr>
          <w:p>
            <w:pPr>
              <w:spacing w:after="0"/>
              <w:jc w:val="center"/>
            </w:pPr>
            <w:r>
              <w:rPr>
                <w:b w:val="false"/>
                <w:bCs w:val="false"/>
                <w:color w:val="000000"/>
                <w:sz w:val="14"/>
                <w:szCs w:val="14"/>
              </w:rPr>
              <w:t xml:space="preserve">1.24</w:t>
            </w:r>
          </w:p>
        </w:tc>
        <w:tc>
          <w:tcPr>
            <w:tcW w:type="dxa" w:w="1000"/>
            <w:tcMar>
              <w:top w:type="dxa" w:w="40"/>
              <w:left w:type="dxa" w:w="80"/>
              <w:bottom w:type="dxa" w:w="40"/>
              <w:right w:type="dxa" w:w="80"/>
            </w:tcMar>
            <w:vAlign w:val="center"/>
          </w:tcPr>
          <w:p>
            <w:pPr>
              <w:spacing w:after="0"/>
              <w:jc w:val="center"/>
            </w:pPr>
            <w:r>
              <w:rPr>
                <w:b w:val="false"/>
                <w:bCs w:val="false"/>
                <w:color w:val="000000"/>
                <w:sz w:val="14"/>
                <w:szCs w:val="14"/>
              </w:rPr>
              <w:t xml:space="preserve">Distress</w:t>
            </w:r>
          </w:p>
        </w:tc>
        <w:tc>
          <w:tcPr>
            <w:tcW w:type="dxa" w:w="1350"/>
            <w:tcMar>
              <w:top w:type="dxa" w:w="40"/>
              <w:left w:type="dxa" w:w="80"/>
              <w:bottom w:type="dxa" w:w="40"/>
              <w:right w:type="dxa" w:w="80"/>
            </w:tcMar>
            <w:vAlign w:val="center"/>
          </w:tcPr>
          <w:p>
            <w:pPr>
              <w:spacing w:after="0"/>
              <w:jc w:val="center"/>
            </w:pPr>
            <w:r>
              <w:rPr>
                <w:b w:val="false"/>
                <w:bCs w:val="false"/>
                <w:color w:val="000000"/>
                <w:sz w:val="14"/>
                <w:szCs w:val="14"/>
              </w:rPr>
              <w:t xml:space="preserve">1.193%</w:t>
            </w:r>
          </w:p>
        </w:tc>
      </w:tr>
      <w:tr>
        <w:tc>
          <w:tcPr>
            <w:tcW w:type="dxa" w:w="400"/>
            <w:tcMar>
              <w:top w:type="dxa" w:w="40"/>
              <w:left w:type="dxa" w:w="80"/>
              <w:bottom w:type="dxa" w:w="40"/>
              <w:right w:type="dxa" w:w="80"/>
            </w:tcMar>
            <w:vAlign w:val="center"/>
          </w:tcPr>
          <w:p>
            <w:pPr>
              <w:spacing w:after="0"/>
              <w:jc w:val="left"/>
            </w:pPr>
            <w:r>
              <w:rPr>
                <w:b w:val="false"/>
                <w:bCs w:val="false"/>
                <w:color w:val="000000"/>
                <w:sz w:val="14"/>
                <w:szCs w:val="14"/>
              </w:rPr>
              <w:t xml:space="preserve">6</w:t>
            </w:r>
          </w:p>
        </w:tc>
        <w:tc>
          <w:tcPr>
            <w:tcW w:type="dxa" w:w="650"/>
            <w:tcMar>
              <w:top w:type="dxa" w:w="40"/>
              <w:left w:type="dxa" w:w="80"/>
              <w:bottom w:type="dxa" w:w="40"/>
              <w:right w:type="dxa" w:w="80"/>
            </w:tcMar>
            <w:vAlign w:val="center"/>
          </w:tcPr>
          <w:p>
            <w:pPr>
              <w:spacing w:after="0"/>
              <w:jc w:val="left"/>
            </w:pPr>
            <w:r>
              <w:rPr>
                <w:b w:val="false"/>
                <w:bCs w:val="false"/>
                <w:color w:val="000000"/>
                <w:sz w:val="14"/>
                <w:szCs w:val="14"/>
              </w:rPr>
              <w:t xml:space="preserve">RCL</w:t>
            </w:r>
          </w:p>
        </w:tc>
        <w:tc>
          <w:tcPr>
            <w:tcW w:type="dxa" w:w="1750"/>
            <w:tcMar>
              <w:top w:type="dxa" w:w="40"/>
              <w:left w:type="dxa" w:w="80"/>
              <w:bottom w:type="dxa" w:w="40"/>
              <w:right w:type="dxa" w:w="80"/>
            </w:tcMar>
            <w:vAlign w:val="center"/>
          </w:tcPr>
          <w:p>
            <w:pPr>
              <w:spacing w:after="0"/>
              <w:jc w:val="left"/>
            </w:pPr>
            <w:r>
              <w:rPr>
                <w:b w:val="false"/>
                <w:bCs w:val="false"/>
                <w:color w:val="000000"/>
                <w:sz w:val="14"/>
                <w:szCs w:val="14"/>
              </w:rPr>
              <w:t xml:space="preserve">Royal Caribbean</w:t>
            </w:r>
          </w:p>
        </w:tc>
        <w:tc>
          <w:tcPr>
            <w:tcW w:type="dxa" w:w="1500"/>
            <w:tcMar>
              <w:top w:type="dxa" w:w="40"/>
              <w:left w:type="dxa" w:w="80"/>
              <w:bottom w:type="dxa" w:w="40"/>
              <w:right w:type="dxa" w:w="80"/>
            </w:tcMar>
            <w:vAlign w:val="center"/>
          </w:tcPr>
          <w:p>
            <w:pPr>
              <w:spacing w:after="0"/>
              <w:jc w:val="left"/>
            </w:pPr>
            <w:r>
              <w:rPr>
                <w:b w:val="false"/>
                <w:bCs w:val="false"/>
                <w:color w:val="000000"/>
                <w:sz w:val="14"/>
                <w:szCs w:val="14"/>
              </w:rPr>
              <w:t xml:space="preserve">Cons. Discretionary</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Speculative</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0.0001%</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0.0134%</w:t>
            </w:r>
          </w:p>
        </w:tc>
        <w:tc>
          <w:tcPr>
            <w:tcW w:type="dxa" w:w="900"/>
            <w:tcMar>
              <w:top w:type="dxa" w:w="40"/>
              <w:left w:type="dxa" w:w="80"/>
              <w:bottom w:type="dxa" w:w="40"/>
              <w:right w:type="dxa" w:w="80"/>
            </w:tcMar>
            <w:vAlign w:val="center"/>
          </w:tcPr>
          <w:p>
            <w:pPr>
              <w:spacing w:after="0"/>
              <w:jc w:val="center"/>
            </w:pPr>
            <w:r>
              <w:rPr>
                <w:b w:val="false"/>
                <w:bCs w:val="false"/>
                <w:color w:val="000000"/>
                <w:sz w:val="14"/>
                <w:szCs w:val="14"/>
              </w:rPr>
              <w:t xml:space="preserve">2.27</w:t>
            </w:r>
          </w:p>
        </w:tc>
        <w:tc>
          <w:tcPr>
            <w:tcW w:type="dxa" w:w="1000"/>
            <w:tcMar>
              <w:top w:type="dxa" w:w="40"/>
              <w:left w:type="dxa" w:w="80"/>
              <w:bottom w:type="dxa" w:w="40"/>
              <w:right w:type="dxa" w:w="80"/>
            </w:tcMar>
            <w:vAlign w:val="center"/>
          </w:tcPr>
          <w:p>
            <w:pPr>
              <w:spacing w:after="0"/>
              <w:jc w:val="center"/>
            </w:pPr>
            <w:r>
              <w:rPr>
                <w:b w:val="false"/>
                <w:bCs w:val="false"/>
                <w:color w:val="000000"/>
                <w:sz w:val="14"/>
                <w:szCs w:val="14"/>
              </w:rPr>
              <w:t xml:space="preserve">Grey zone</w:t>
            </w:r>
          </w:p>
        </w:tc>
        <w:tc>
          <w:tcPr>
            <w:tcW w:type="dxa" w:w="1350"/>
            <w:tcMar>
              <w:top w:type="dxa" w:w="40"/>
              <w:left w:type="dxa" w:w="80"/>
              <w:bottom w:type="dxa" w:w="40"/>
              <w:right w:type="dxa" w:w="80"/>
            </w:tcMar>
            <w:vAlign w:val="center"/>
          </w:tcPr>
          <w:p>
            <w:pPr>
              <w:spacing w:after="0"/>
              <w:jc w:val="center"/>
            </w:pPr>
            <w:r>
              <w:rPr>
                <w:b w:val="false"/>
                <w:bCs w:val="false"/>
                <w:color w:val="000000"/>
                <w:sz w:val="14"/>
                <w:szCs w:val="14"/>
              </w:rPr>
              <w:t xml:space="preserve">0.021%</w:t>
            </w:r>
          </w:p>
        </w:tc>
      </w:tr>
      <w:tr>
        <w:tc>
          <w:tcPr>
            <w:tcW w:type="dxa" w:w="400"/>
            <w:tcMar>
              <w:top w:type="dxa" w:w="40"/>
              <w:left w:type="dxa" w:w="80"/>
              <w:bottom w:type="dxa" w:w="40"/>
              <w:right w:type="dxa" w:w="80"/>
            </w:tcMar>
            <w:vAlign w:val="center"/>
          </w:tcPr>
          <w:p>
            <w:pPr>
              <w:spacing w:after="0"/>
              <w:jc w:val="left"/>
            </w:pPr>
            <w:r>
              <w:rPr>
                <w:b w:val="false"/>
                <w:bCs w:val="false"/>
                <w:color w:val="000000"/>
                <w:sz w:val="14"/>
                <w:szCs w:val="14"/>
              </w:rPr>
              <w:t xml:space="preserve">7</w:t>
            </w:r>
          </w:p>
        </w:tc>
        <w:tc>
          <w:tcPr>
            <w:tcW w:type="dxa" w:w="650"/>
            <w:tcMar>
              <w:top w:type="dxa" w:w="40"/>
              <w:left w:type="dxa" w:w="80"/>
              <w:bottom w:type="dxa" w:w="40"/>
              <w:right w:type="dxa" w:w="80"/>
            </w:tcMar>
            <w:vAlign w:val="center"/>
          </w:tcPr>
          <w:p>
            <w:pPr>
              <w:spacing w:after="0"/>
              <w:jc w:val="left"/>
            </w:pPr>
            <w:r>
              <w:rPr>
                <w:b w:val="false"/>
                <w:bCs w:val="false"/>
                <w:color w:val="000000"/>
                <w:sz w:val="14"/>
                <w:szCs w:val="14"/>
              </w:rPr>
              <w:t xml:space="preserve">FCX</w:t>
            </w:r>
          </w:p>
        </w:tc>
        <w:tc>
          <w:tcPr>
            <w:tcW w:type="dxa" w:w="1750"/>
            <w:tcMar>
              <w:top w:type="dxa" w:w="40"/>
              <w:left w:type="dxa" w:w="80"/>
              <w:bottom w:type="dxa" w:w="40"/>
              <w:right w:type="dxa" w:w="80"/>
            </w:tcMar>
            <w:vAlign w:val="center"/>
          </w:tcPr>
          <w:p>
            <w:pPr>
              <w:spacing w:after="0"/>
              <w:jc w:val="left"/>
            </w:pPr>
            <w:r>
              <w:rPr>
                <w:b w:val="false"/>
                <w:bCs w:val="false"/>
                <w:color w:val="000000"/>
                <w:sz w:val="14"/>
                <w:szCs w:val="14"/>
              </w:rPr>
              <w:t xml:space="preserve">Freeport-McMoRan</w:t>
            </w:r>
          </w:p>
        </w:tc>
        <w:tc>
          <w:tcPr>
            <w:tcW w:type="dxa" w:w="1500"/>
            <w:tcMar>
              <w:top w:type="dxa" w:w="40"/>
              <w:left w:type="dxa" w:w="80"/>
              <w:bottom w:type="dxa" w:w="40"/>
              <w:right w:type="dxa" w:w="80"/>
            </w:tcMar>
            <w:vAlign w:val="center"/>
          </w:tcPr>
          <w:p>
            <w:pPr>
              <w:spacing w:after="0"/>
              <w:jc w:val="left"/>
            </w:pPr>
            <w:r>
              <w:rPr>
                <w:b w:val="false"/>
                <w:bCs w:val="false"/>
                <w:color w:val="000000"/>
                <w:sz w:val="14"/>
                <w:szCs w:val="14"/>
              </w:rPr>
              <w:t xml:space="preserve">Materials</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Speculative</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0.0023%</w:t>
            </w:r>
          </w:p>
        </w:tc>
        <w:tc>
          <w:tcPr>
            <w:tcW w:type="dxa" w:w="900"/>
            <w:tcMar>
              <w:top w:type="dxa" w:w="40"/>
              <w:left w:type="dxa" w:w="80"/>
              <w:bottom w:type="dxa" w:w="40"/>
              <w:right w:type="dxa" w:w="80"/>
            </w:tcMar>
            <w:vAlign w:val="center"/>
          </w:tcPr>
          <w:p>
            <w:pPr>
              <w:spacing w:after="0"/>
              <w:jc w:val="center"/>
            </w:pPr>
            <w:r>
              <w:rPr>
                <w:b w:val="false"/>
                <w:bCs w:val="false"/>
                <w:color w:val="000000"/>
                <w:sz w:val="14"/>
                <w:szCs w:val="14"/>
              </w:rPr>
              <w:t xml:space="preserve">3.43</w:t>
            </w:r>
          </w:p>
        </w:tc>
        <w:tc>
          <w:tcPr>
            <w:tcW w:type="dxa" w:w="1000"/>
            <w:tcMar>
              <w:top w:type="dxa" w:w="40"/>
              <w:left w:type="dxa" w:w="80"/>
              <w:bottom w:type="dxa" w:w="40"/>
              <w:right w:type="dxa" w:w="80"/>
            </w:tcMar>
            <w:vAlign w:val="center"/>
          </w:tcPr>
          <w:p>
            <w:pPr>
              <w:spacing w:after="0"/>
              <w:jc w:val="center"/>
            </w:pPr>
            <w:r>
              <w:rPr>
                <w:b w:val="false"/>
                <w:bCs w:val="false"/>
                <w:color w:val="000000"/>
                <w:sz w:val="14"/>
                <w:szCs w:val="14"/>
              </w:rPr>
              <w:t xml:space="preserve">Safe</w:t>
            </w:r>
          </w:p>
        </w:tc>
        <w:tc>
          <w:tcPr>
            <w:tcW w:type="dxa" w:w="13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r>
      <w:tr>
        <w:tc>
          <w:tcPr>
            <w:tcW w:type="dxa" w:w="400"/>
            <w:tcMar>
              <w:top w:type="dxa" w:w="40"/>
              <w:left w:type="dxa" w:w="80"/>
              <w:bottom w:type="dxa" w:w="40"/>
              <w:right w:type="dxa" w:w="80"/>
            </w:tcMar>
            <w:vAlign w:val="center"/>
          </w:tcPr>
          <w:p>
            <w:pPr>
              <w:spacing w:after="0"/>
              <w:jc w:val="left"/>
            </w:pPr>
            <w:r>
              <w:rPr>
                <w:b w:val="false"/>
                <w:bCs w:val="false"/>
                <w:color w:val="000000"/>
                <w:sz w:val="14"/>
                <w:szCs w:val="14"/>
              </w:rPr>
              <w:t xml:space="preserve">8</w:t>
            </w:r>
          </w:p>
        </w:tc>
        <w:tc>
          <w:tcPr>
            <w:tcW w:type="dxa" w:w="650"/>
            <w:tcMar>
              <w:top w:type="dxa" w:w="40"/>
              <w:left w:type="dxa" w:w="80"/>
              <w:bottom w:type="dxa" w:w="40"/>
              <w:right w:type="dxa" w:w="80"/>
            </w:tcMar>
            <w:vAlign w:val="center"/>
          </w:tcPr>
          <w:p>
            <w:pPr>
              <w:spacing w:after="0"/>
              <w:jc w:val="left"/>
            </w:pPr>
            <w:r>
              <w:rPr>
                <w:b w:val="false"/>
                <w:bCs w:val="false"/>
                <w:color w:val="000000"/>
                <w:sz w:val="14"/>
                <w:szCs w:val="14"/>
              </w:rPr>
              <w:t xml:space="preserve">OXY</w:t>
            </w:r>
          </w:p>
        </w:tc>
        <w:tc>
          <w:tcPr>
            <w:tcW w:type="dxa" w:w="1750"/>
            <w:tcMar>
              <w:top w:type="dxa" w:w="40"/>
              <w:left w:type="dxa" w:w="80"/>
              <w:bottom w:type="dxa" w:w="40"/>
              <w:right w:type="dxa" w:w="80"/>
            </w:tcMar>
            <w:vAlign w:val="center"/>
          </w:tcPr>
          <w:p>
            <w:pPr>
              <w:spacing w:after="0"/>
              <w:jc w:val="left"/>
            </w:pPr>
            <w:r>
              <w:rPr>
                <w:b w:val="false"/>
                <w:bCs w:val="false"/>
                <w:color w:val="000000"/>
                <w:sz w:val="14"/>
                <w:szCs w:val="14"/>
              </w:rPr>
              <w:t xml:space="preserve">Occidental Petroleum</w:t>
            </w:r>
          </w:p>
        </w:tc>
        <w:tc>
          <w:tcPr>
            <w:tcW w:type="dxa" w:w="1500"/>
            <w:tcMar>
              <w:top w:type="dxa" w:w="40"/>
              <w:left w:type="dxa" w:w="80"/>
              <w:bottom w:type="dxa" w:w="40"/>
              <w:right w:type="dxa" w:w="80"/>
            </w:tcMar>
            <w:vAlign w:val="center"/>
          </w:tcPr>
          <w:p>
            <w:pPr>
              <w:spacing w:after="0"/>
              <w:jc w:val="left"/>
            </w:pPr>
            <w:r>
              <w:rPr>
                <w:b w:val="false"/>
                <w:bCs w:val="false"/>
                <w:color w:val="000000"/>
                <w:sz w:val="14"/>
                <w:szCs w:val="14"/>
              </w:rPr>
              <w:t xml:space="preserve">Energy</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Speculative</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0.0004%</w:t>
            </w:r>
          </w:p>
        </w:tc>
        <w:tc>
          <w:tcPr>
            <w:tcW w:type="dxa" w:w="900"/>
            <w:tcMar>
              <w:top w:type="dxa" w:w="40"/>
              <w:left w:type="dxa" w:w="80"/>
              <w:bottom w:type="dxa" w:w="40"/>
              <w:right w:type="dxa" w:w="80"/>
            </w:tcMar>
            <w:vAlign w:val="center"/>
          </w:tcPr>
          <w:p>
            <w:pPr>
              <w:spacing w:after="0"/>
              <w:jc w:val="center"/>
            </w:pPr>
            <w:r>
              <w:rPr>
                <w:b w:val="false"/>
                <w:bCs w:val="false"/>
                <w:color w:val="000000"/>
                <w:sz w:val="14"/>
                <w:szCs w:val="14"/>
              </w:rPr>
              <w:t xml:space="preserve">1.55</w:t>
            </w:r>
          </w:p>
        </w:tc>
        <w:tc>
          <w:tcPr>
            <w:tcW w:type="dxa" w:w="1000"/>
            <w:tcMar>
              <w:top w:type="dxa" w:w="40"/>
              <w:left w:type="dxa" w:w="80"/>
              <w:bottom w:type="dxa" w:w="40"/>
              <w:right w:type="dxa" w:w="80"/>
            </w:tcMar>
            <w:vAlign w:val="center"/>
          </w:tcPr>
          <w:p>
            <w:pPr>
              <w:spacing w:after="0"/>
              <w:jc w:val="center"/>
            </w:pPr>
            <w:r>
              <w:rPr>
                <w:b w:val="false"/>
                <w:bCs w:val="false"/>
                <w:color w:val="000000"/>
                <w:sz w:val="14"/>
                <w:szCs w:val="14"/>
              </w:rPr>
              <w:t xml:space="preserve">Distress</w:t>
            </w:r>
          </w:p>
        </w:tc>
        <w:tc>
          <w:tcPr>
            <w:tcW w:type="dxa" w:w="13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r>
      <w:tr>
        <w:tc>
          <w:tcPr>
            <w:tcW w:type="dxa" w:w="400"/>
            <w:tcMar>
              <w:top w:type="dxa" w:w="40"/>
              <w:left w:type="dxa" w:w="80"/>
              <w:bottom w:type="dxa" w:w="40"/>
              <w:right w:type="dxa" w:w="80"/>
            </w:tcMar>
            <w:vAlign w:val="center"/>
          </w:tcPr>
          <w:p>
            <w:pPr>
              <w:spacing w:after="0"/>
              <w:jc w:val="left"/>
            </w:pPr>
            <w:r>
              <w:rPr>
                <w:b w:val="false"/>
                <w:bCs w:val="false"/>
                <w:color w:val="000000"/>
                <w:sz w:val="14"/>
                <w:szCs w:val="14"/>
              </w:rPr>
              <w:t xml:space="preserve">9</w:t>
            </w:r>
          </w:p>
        </w:tc>
        <w:tc>
          <w:tcPr>
            <w:tcW w:type="dxa" w:w="650"/>
            <w:tcMar>
              <w:top w:type="dxa" w:w="40"/>
              <w:left w:type="dxa" w:w="80"/>
              <w:bottom w:type="dxa" w:w="40"/>
              <w:right w:type="dxa" w:w="80"/>
            </w:tcMar>
            <w:vAlign w:val="center"/>
          </w:tcPr>
          <w:p>
            <w:pPr>
              <w:spacing w:after="0"/>
              <w:jc w:val="left"/>
            </w:pPr>
            <w:r>
              <w:rPr>
                <w:b w:val="false"/>
                <w:bCs w:val="false"/>
                <w:color w:val="000000"/>
                <w:sz w:val="14"/>
                <w:szCs w:val="14"/>
              </w:rPr>
              <w:t xml:space="preserve">KHC</w:t>
            </w:r>
          </w:p>
        </w:tc>
        <w:tc>
          <w:tcPr>
            <w:tcW w:type="dxa" w:w="1750"/>
            <w:tcMar>
              <w:top w:type="dxa" w:w="40"/>
              <w:left w:type="dxa" w:w="80"/>
              <w:bottom w:type="dxa" w:w="40"/>
              <w:right w:type="dxa" w:w="80"/>
            </w:tcMar>
            <w:vAlign w:val="center"/>
          </w:tcPr>
          <w:p>
            <w:pPr>
              <w:spacing w:after="0"/>
              <w:jc w:val="left"/>
            </w:pPr>
            <w:r>
              <w:rPr>
                <w:b w:val="false"/>
                <w:bCs w:val="false"/>
                <w:color w:val="000000"/>
                <w:sz w:val="14"/>
                <w:szCs w:val="14"/>
              </w:rPr>
              <w:t xml:space="preserve">Kraft Heinz</w:t>
            </w:r>
          </w:p>
        </w:tc>
        <w:tc>
          <w:tcPr>
            <w:tcW w:type="dxa" w:w="1500"/>
            <w:tcMar>
              <w:top w:type="dxa" w:w="40"/>
              <w:left w:type="dxa" w:w="80"/>
              <w:bottom w:type="dxa" w:w="40"/>
              <w:right w:type="dxa" w:w="80"/>
            </w:tcMar>
            <w:vAlign w:val="center"/>
          </w:tcPr>
          <w:p>
            <w:pPr>
              <w:spacing w:after="0"/>
              <w:jc w:val="left"/>
            </w:pPr>
            <w:r>
              <w:rPr>
                <w:b w:val="false"/>
                <w:bCs w:val="false"/>
                <w:color w:val="000000"/>
                <w:sz w:val="14"/>
                <w:szCs w:val="14"/>
              </w:rPr>
              <w:t xml:space="preserve">Cons. Staples</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Mid-grade</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0.0001%</w:t>
            </w:r>
          </w:p>
        </w:tc>
        <w:tc>
          <w:tcPr>
            <w:tcW w:type="dxa" w:w="900"/>
            <w:tcMar>
              <w:top w:type="dxa" w:w="40"/>
              <w:left w:type="dxa" w:w="80"/>
              <w:bottom w:type="dxa" w:w="40"/>
              <w:right w:type="dxa" w:w="80"/>
            </w:tcMar>
            <w:vAlign w:val="center"/>
          </w:tcPr>
          <w:p>
            <w:pPr>
              <w:spacing w:after="0"/>
              <w:jc w:val="center"/>
            </w:pPr>
            <w:r>
              <w:rPr>
                <w:b w:val="false"/>
                <w:bCs w:val="false"/>
                <w:color w:val="000000"/>
                <w:sz w:val="14"/>
                <w:szCs w:val="14"/>
              </w:rPr>
              <w:t xml:space="preserve">0.52</w:t>
            </w:r>
          </w:p>
        </w:tc>
        <w:tc>
          <w:tcPr>
            <w:tcW w:type="dxa" w:w="1000"/>
            <w:tcMar>
              <w:top w:type="dxa" w:w="40"/>
              <w:left w:type="dxa" w:w="80"/>
              <w:bottom w:type="dxa" w:w="40"/>
              <w:right w:type="dxa" w:w="80"/>
            </w:tcMar>
            <w:vAlign w:val="center"/>
          </w:tcPr>
          <w:p>
            <w:pPr>
              <w:spacing w:after="0"/>
              <w:jc w:val="center"/>
            </w:pPr>
            <w:r>
              <w:rPr>
                <w:b w:val="false"/>
                <w:bCs w:val="false"/>
                <w:color w:val="000000"/>
                <w:sz w:val="14"/>
                <w:szCs w:val="14"/>
              </w:rPr>
              <w:t xml:space="preserve">Distress</w:t>
            </w:r>
          </w:p>
        </w:tc>
        <w:tc>
          <w:tcPr>
            <w:tcW w:type="dxa" w:w="13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r>
      <w:tr>
        <w:tc>
          <w:tcPr>
            <w:tcW w:type="dxa" w:w="400"/>
            <w:tcMar>
              <w:top w:type="dxa" w:w="40"/>
              <w:left w:type="dxa" w:w="80"/>
              <w:bottom w:type="dxa" w:w="40"/>
              <w:right w:type="dxa" w:w="80"/>
            </w:tcMar>
            <w:vAlign w:val="center"/>
          </w:tcPr>
          <w:p>
            <w:pPr>
              <w:spacing w:after="0"/>
              <w:jc w:val="left"/>
            </w:pPr>
            <w:r>
              <w:rPr>
                <w:b w:val="false"/>
                <w:bCs w:val="false"/>
                <w:color w:val="000000"/>
                <w:sz w:val="14"/>
                <w:szCs w:val="14"/>
              </w:rPr>
              <w:t xml:space="preserve">10</w:t>
            </w:r>
          </w:p>
        </w:tc>
        <w:tc>
          <w:tcPr>
            <w:tcW w:type="dxa" w:w="650"/>
            <w:tcMar>
              <w:top w:type="dxa" w:w="40"/>
              <w:left w:type="dxa" w:w="80"/>
              <w:bottom w:type="dxa" w:w="40"/>
              <w:right w:type="dxa" w:w="80"/>
            </w:tcMar>
            <w:vAlign w:val="center"/>
          </w:tcPr>
          <w:p>
            <w:pPr>
              <w:spacing w:after="0"/>
              <w:jc w:val="left"/>
            </w:pPr>
            <w:r>
              <w:rPr>
                <w:b w:val="false"/>
                <w:bCs w:val="false"/>
                <w:color w:val="000000"/>
                <w:sz w:val="14"/>
                <w:szCs w:val="14"/>
              </w:rPr>
              <w:t xml:space="preserve">T</w:t>
            </w:r>
          </w:p>
        </w:tc>
        <w:tc>
          <w:tcPr>
            <w:tcW w:type="dxa" w:w="1750"/>
            <w:tcMar>
              <w:top w:type="dxa" w:w="40"/>
              <w:left w:type="dxa" w:w="80"/>
              <w:bottom w:type="dxa" w:w="40"/>
              <w:right w:type="dxa" w:w="80"/>
            </w:tcMar>
            <w:vAlign w:val="center"/>
          </w:tcPr>
          <w:p>
            <w:pPr>
              <w:spacing w:after="0"/>
              <w:jc w:val="left"/>
            </w:pPr>
            <w:r>
              <w:rPr>
                <w:b w:val="false"/>
                <w:bCs w:val="false"/>
                <w:color w:val="000000"/>
                <w:sz w:val="14"/>
                <w:szCs w:val="14"/>
              </w:rPr>
              <w:t xml:space="preserve">AT&amp;T</w:t>
            </w:r>
          </w:p>
        </w:tc>
        <w:tc>
          <w:tcPr>
            <w:tcW w:type="dxa" w:w="1500"/>
            <w:tcMar>
              <w:top w:type="dxa" w:w="40"/>
              <w:left w:type="dxa" w:w="80"/>
              <w:bottom w:type="dxa" w:w="40"/>
              <w:right w:type="dxa" w:w="80"/>
            </w:tcMar>
            <w:vAlign w:val="center"/>
          </w:tcPr>
          <w:p>
            <w:pPr>
              <w:spacing w:after="0"/>
              <w:jc w:val="left"/>
            </w:pPr>
            <w:r>
              <w:rPr>
                <w:b w:val="false"/>
                <w:bCs w:val="false"/>
                <w:color w:val="000000"/>
                <w:sz w:val="14"/>
                <w:szCs w:val="14"/>
              </w:rPr>
              <w:t xml:space="preserve">Communications</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Mid-grade</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c>
          <w:tcPr>
            <w:tcW w:type="dxa" w:w="900"/>
            <w:tcMar>
              <w:top w:type="dxa" w:w="40"/>
              <w:left w:type="dxa" w:w="80"/>
              <w:bottom w:type="dxa" w:w="40"/>
              <w:right w:type="dxa" w:w="80"/>
            </w:tcMar>
            <w:vAlign w:val="center"/>
          </w:tcPr>
          <w:p>
            <w:pPr>
              <w:spacing w:after="0"/>
              <w:jc w:val="center"/>
            </w:pPr>
            <w:r>
              <w:rPr>
                <w:b w:val="false"/>
                <w:bCs w:val="false"/>
                <w:color w:val="000000"/>
                <w:sz w:val="14"/>
                <w:szCs w:val="14"/>
              </w:rPr>
              <w:t xml:space="preserve">0.96</w:t>
            </w:r>
          </w:p>
        </w:tc>
        <w:tc>
          <w:tcPr>
            <w:tcW w:type="dxa" w:w="1000"/>
            <w:tcMar>
              <w:top w:type="dxa" w:w="40"/>
              <w:left w:type="dxa" w:w="80"/>
              <w:bottom w:type="dxa" w:w="40"/>
              <w:right w:type="dxa" w:w="80"/>
            </w:tcMar>
            <w:vAlign w:val="center"/>
          </w:tcPr>
          <w:p>
            <w:pPr>
              <w:spacing w:after="0"/>
              <w:jc w:val="center"/>
            </w:pPr>
            <w:r>
              <w:rPr>
                <w:b w:val="false"/>
                <w:bCs w:val="false"/>
                <w:color w:val="000000"/>
                <w:sz w:val="14"/>
                <w:szCs w:val="14"/>
              </w:rPr>
              <w:t xml:space="preserve">Distress</w:t>
            </w:r>
          </w:p>
        </w:tc>
        <w:tc>
          <w:tcPr>
            <w:tcW w:type="dxa" w:w="13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r>
      <w:tr>
        <w:tc>
          <w:tcPr>
            <w:tcW w:type="dxa" w:w="400"/>
            <w:tcMar>
              <w:top w:type="dxa" w:w="40"/>
              <w:left w:type="dxa" w:w="80"/>
              <w:bottom w:type="dxa" w:w="40"/>
              <w:right w:type="dxa" w:w="80"/>
            </w:tcMar>
            <w:vAlign w:val="center"/>
          </w:tcPr>
          <w:p>
            <w:pPr>
              <w:spacing w:after="0"/>
              <w:jc w:val="left"/>
            </w:pPr>
            <w:r>
              <w:rPr>
                <w:b w:val="false"/>
                <w:bCs w:val="false"/>
                <w:color w:val="000000"/>
                <w:sz w:val="14"/>
                <w:szCs w:val="14"/>
              </w:rPr>
              <w:t xml:space="preserve">11</w:t>
            </w:r>
          </w:p>
        </w:tc>
        <w:tc>
          <w:tcPr>
            <w:tcW w:type="dxa" w:w="650"/>
            <w:tcMar>
              <w:top w:type="dxa" w:w="40"/>
              <w:left w:type="dxa" w:w="80"/>
              <w:bottom w:type="dxa" w:w="40"/>
              <w:right w:type="dxa" w:w="80"/>
            </w:tcMar>
            <w:vAlign w:val="center"/>
          </w:tcPr>
          <w:p>
            <w:pPr>
              <w:spacing w:after="0"/>
              <w:jc w:val="left"/>
            </w:pPr>
            <w:r>
              <w:rPr>
                <w:b w:val="false"/>
                <w:bCs w:val="false"/>
                <w:color w:val="000000"/>
                <w:sz w:val="14"/>
                <w:szCs w:val="14"/>
              </w:rPr>
              <w:t xml:space="preserve">CAT</w:t>
            </w:r>
          </w:p>
        </w:tc>
        <w:tc>
          <w:tcPr>
            <w:tcW w:type="dxa" w:w="1750"/>
            <w:tcMar>
              <w:top w:type="dxa" w:w="40"/>
              <w:left w:type="dxa" w:w="80"/>
              <w:bottom w:type="dxa" w:w="40"/>
              <w:right w:type="dxa" w:w="80"/>
            </w:tcMar>
            <w:vAlign w:val="center"/>
          </w:tcPr>
          <w:p>
            <w:pPr>
              <w:spacing w:after="0"/>
              <w:jc w:val="left"/>
            </w:pPr>
            <w:r>
              <w:rPr>
                <w:b w:val="false"/>
                <w:bCs w:val="false"/>
                <w:color w:val="000000"/>
                <w:sz w:val="14"/>
                <w:szCs w:val="14"/>
              </w:rPr>
              <w:t xml:space="preserve">Caterpillar</w:t>
            </w:r>
          </w:p>
        </w:tc>
        <w:tc>
          <w:tcPr>
            <w:tcW w:type="dxa" w:w="1500"/>
            <w:tcMar>
              <w:top w:type="dxa" w:w="40"/>
              <w:left w:type="dxa" w:w="80"/>
              <w:bottom w:type="dxa" w:w="40"/>
              <w:right w:type="dxa" w:w="80"/>
            </w:tcMar>
            <w:vAlign w:val="center"/>
          </w:tcPr>
          <w:p>
            <w:pPr>
              <w:spacing w:after="0"/>
              <w:jc w:val="left"/>
            </w:pPr>
            <w:r>
              <w:rPr>
                <w:b w:val="false"/>
                <w:bCs w:val="false"/>
                <w:color w:val="000000"/>
                <w:sz w:val="14"/>
                <w:szCs w:val="14"/>
              </w:rPr>
              <w:t xml:space="preserve">Industrials</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High-grade</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c>
          <w:tcPr>
            <w:tcW w:type="dxa" w:w="900"/>
            <w:tcMar>
              <w:top w:type="dxa" w:w="40"/>
              <w:left w:type="dxa" w:w="80"/>
              <w:bottom w:type="dxa" w:w="40"/>
              <w:right w:type="dxa" w:w="80"/>
            </w:tcMar>
            <w:vAlign w:val="center"/>
          </w:tcPr>
          <w:p>
            <w:pPr>
              <w:spacing w:after="0"/>
              <w:jc w:val="center"/>
            </w:pPr>
            <w:r>
              <w:rPr>
                <w:b w:val="false"/>
                <w:bCs w:val="false"/>
                <w:color w:val="000000"/>
                <w:sz w:val="14"/>
                <w:szCs w:val="14"/>
              </w:rPr>
              <w:t xml:space="preserve">5.17</w:t>
            </w:r>
          </w:p>
        </w:tc>
        <w:tc>
          <w:tcPr>
            <w:tcW w:type="dxa" w:w="1000"/>
            <w:tcMar>
              <w:top w:type="dxa" w:w="40"/>
              <w:left w:type="dxa" w:w="80"/>
              <w:bottom w:type="dxa" w:w="40"/>
              <w:right w:type="dxa" w:w="80"/>
            </w:tcMar>
            <w:vAlign w:val="center"/>
          </w:tcPr>
          <w:p>
            <w:pPr>
              <w:spacing w:after="0"/>
              <w:jc w:val="center"/>
            </w:pPr>
            <w:r>
              <w:rPr>
                <w:b w:val="false"/>
                <w:bCs w:val="false"/>
                <w:color w:val="000000"/>
                <w:sz w:val="14"/>
                <w:szCs w:val="14"/>
              </w:rPr>
              <w:t xml:space="preserve">Safe</w:t>
            </w:r>
          </w:p>
        </w:tc>
        <w:tc>
          <w:tcPr>
            <w:tcW w:type="dxa" w:w="13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r>
      <w:tr>
        <w:tc>
          <w:tcPr>
            <w:tcW w:type="dxa" w:w="400"/>
            <w:tcMar>
              <w:top w:type="dxa" w:w="40"/>
              <w:left w:type="dxa" w:w="80"/>
              <w:bottom w:type="dxa" w:w="40"/>
              <w:right w:type="dxa" w:w="80"/>
            </w:tcMar>
            <w:vAlign w:val="center"/>
          </w:tcPr>
          <w:p>
            <w:pPr>
              <w:spacing w:after="0"/>
              <w:jc w:val="left"/>
            </w:pPr>
            <w:r>
              <w:rPr>
                <w:b w:val="false"/>
                <w:bCs w:val="false"/>
                <w:color w:val="000000"/>
                <w:sz w:val="14"/>
                <w:szCs w:val="14"/>
              </w:rPr>
              <w:t xml:space="preserve">12</w:t>
            </w:r>
          </w:p>
        </w:tc>
        <w:tc>
          <w:tcPr>
            <w:tcW w:type="dxa" w:w="650"/>
            <w:tcMar>
              <w:top w:type="dxa" w:w="40"/>
              <w:left w:type="dxa" w:w="80"/>
              <w:bottom w:type="dxa" w:w="40"/>
              <w:right w:type="dxa" w:w="80"/>
            </w:tcMar>
            <w:vAlign w:val="center"/>
          </w:tcPr>
          <w:p>
            <w:pPr>
              <w:spacing w:after="0"/>
              <w:jc w:val="left"/>
            </w:pPr>
            <w:r>
              <w:rPr>
                <w:b w:val="false"/>
                <w:bCs w:val="false"/>
                <w:color w:val="000000"/>
                <w:sz w:val="14"/>
                <w:szCs w:val="14"/>
              </w:rPr>
              <w:t xml:space="preserve">VZ</w:t>
            </w:r>
          </w:p>
        </w:tc>
        <w:tc>
          <w:tcPr>
            <w:tcW w:type="dxa" w:w="1750"/>
            <w:tcMar>
              <w:top w:type="dxa" w:w="40"/>
              <w:left w:type="dxa" w:w="80"/>
              <w:bottom w:type="dxa" w:w="40"/>
              <w:right w:type="dxa" w:w="80"/>
            </w:tcMar>
            <w:vAlign w:val="center"/>
          </w:tcPr>
          <w:p>
            <w:pPr>
              <w:spacing w:after="0"/>
              <w:jc w:val="left"/>
            </w:pPr>
            <w:r>
              <w:rPr>
                <w:b w:val="false"/>
                <w:bCs w:val="false"/>
                <w:color w:val="000000"/>
                <w:sz w:val="14"/>
                <w:szCs w:val="14"/>
              </w:rPr>
              <w:t xml:space="preserve">Verizon</w:t>
            </w:r>
          </w:p>
        </w:tc>
        <w:tc>
          <w:tcPr>
            <w:tcW w:type="dxa" w:w="1500"/>
            <w:tcMar>
              <w:top w:type="dxa" w:w="40"/>
              <w:left w:type="dxa" w:w="80"/>
              <w:bottom w:type="dxa" w:w="40"/>
              <w:right w:type="dxa" w:w="80"/>
            </w:tcMar>
            <w:vAlign w:val="center"/>
          </w:tcPr>
          <w:p>
            <w:pPr>
              <w:spacing w:after="0"/>
              <w:jc w:val="left"/>
            </w:pPr>
            <w:r>
              <w:rPr>
                <w:b w:val="false"/>
                <w:bCs w:val="false"/>
                <w:color w:val="000000"/>
                <w:sz w:val="14"/>
                <w:szCs w:val="14"/>
              </w:rPr>
              <w:t xml:space="preserve">Communications</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Mid-grade</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c>
          <w:tcPr>
            <w:tcW w:type="dxa" w:w="900"/>
            <w:tcMar>
              <w:top w:type="dxa" w:w="40"/>
              <w:left w:type="dxa" w:w="80"/>
              <w:bottom w:type="dxa" w:w="40"/>
              <w:right w:type="dxa" w:w="80"/>
            </w:tcMar>
            <w:vAlign w:val="center"/>
          </w:tcPr>
          <w:p>
            <w:pPr>
              <w:spacing w:after="0"/>
              <w:jc w:val="center"/>
            </w:pPr>
            <w:r>
              <w:rPr>
                <w:b w:val="false"/>
                <w:bCs w:val="false"/>
                <w:color w:val="000000"/>
                <w:sz w:val="14"/>
                <w:szCs w:val="14"/>
              </w:rPr>
              <w:t xml:space="preserve">1.31</w:t>
            </w:r>
          </w:p>
        </w:tc>
        <w:tc>
          <w:tcPr>
            <w:tcW w:type="dxa" w:w="1000"/>
            <w:tcMar>
              <w:top w:type="dxa" w:w="40"/>
              <w:left w:type="dxa" w:w="80"/>
              <w:bottom w:type="dxa" w:w="40"/>
              <w:right w:type="dxa" w:w="80"/>
            </w:tcMar>
            <w:vAlign w:val="center"/>
          </w:tcPr>
          <w:p>
            <w:pPr>
              <w:spacing w:after="0"/>
              <w:jc w:val="center"/>
            </w:pPr>
            <w:r>
              <w:rPr>
                <w:b w:val="false"/>
                <w:bCs w:val="false"/>
                <w:color w:val="000000"/>
                <w:sz w:val="14"/>
                <w:szCs w:val="14"/>
              </w:rPr>
              <w:t xml:space="preserve">Distress</w:t>
            </w:r>
          </w:p>
        </w:tc>
        <w:tc>
          <w:tcPr>
            <w:tcW w:type="dxa" w:w="13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r>
      <w:tr>
        <w:tc>
          <w:tcPr>
            <w:tcW w:type="dxa" w:w="400"/>
            <w:tcMar>
              <w:top w:type="dxa" w:w="40"/>
              <w:left w:type="dxa" w:w="80"/>
              <w:bottom w:type="dxa" w:w="40"/>
              <w:right w:type="dxa" w:w="80"/>
            </w:tcMar>
            <w:vAlign w:val="center"/>
          </w:tcPr>
          <w:p>
            <w:pPr>
              <w:spacing w:after="0"/>
              <w:jc w:val="left"/>
            </w:pPr>
            <w:r>
              <w:rPr>
                <w:b w:val="false"/>
                <w:bCs w:val="false"/>
                <w:color w:val="000000"/>
                <w:sz w:val="14"/>
                <w:szCs w:val="14"/>
              </w:rPr>
              <w:t xml:space="preserve">13</w:t>
            </w:r>
          </w:p>
        </w:tc>
        <w:tc>
          <w:tcPr>
            <w:tcW w:type="dxa" w:w="650"/>
            <w:tcMar>
              <w:top w:type="dxa" w:w="40"/>
              <w:left w:type="dxa" w:w="80"/>
              <w:bottom w:type="dxa" w:w="40"/>
              <w:right w:type="dxa" w:w="80"/>
            </w:tcMar>
            <w:vAlign w:val="center"/>
          </w:tcPr>
          <w:p>
            <w:pPr>
              <w:spacing w:after="0"/>
              <w:jc w:val="left"/>
            </w:pPr>
            <w:r>
              <w:rPr>
                <w:b w:val="false"/>
                <w:bCs w:val="false"/>
                <w:color w:val="000000"/>
                <w:sz w:val="14"/>
                <w:szCs w:val="14"/>
              </w:rPr>
              <w:t xml:space="preserve">NEE</w:t>
            </w:r>
          </w:p>
        </w:tc>
        <w:tc>
          <w:tcPr>
            <w:tcW w:type="dxa" w:w="1750"/>
            <w:tcMar>
              <w:top w:type="dxa" w:w="40"/>
              <w:left w:type="dxa" w:w="80"/>
              <w:bottom w:type="dxa" w:w="40"/>
              <w:right w:type="dxa" w:w="80"/>
            </w:tcMar>
            <w:vAlign w:val="center"/>
          </w:tcPr>
          <w:p>
            <w:pPr>
              <w:spacing w:after="0"/>
              <w:jc w:val="left"/>
            </w:pPr>
            <w:r>
              <w:rPr>
                <w:b w:val="false"/>
                <w:bCs w:val="false"/>
                <w:color w:val="000000"/>
                <w:sz w:val="14"/>
                <w:szCs w:val="14"/>
              </w:rPr>
              <w:t xml:space="preserve">NextEra Energy</w:t>
            </w:r>
          </w:p>
        </w:tc>
        <w:tc>
          <w:tcPr>
            <w:tcW w:type="dxa" w:w="1500"/>
            <w:tcMar>
              <w:top w:type="dxa" w:w="40"/>
              <w:left w:type="dxa" w:w="80"/>
              <w:bottom w:type="dxa" w:w="40"/>
              <w:right w:type="dxa" w:w="80"/>
            </w:tcMar>
            <w:vAlign w:val="center"/>
          </w:tcPr>
          <w:p>
            <w:pPr>
              <w:spacing w:after="0"/>
              <w:jc w:val="left"/>
            </w:pPr>
            <w:r>
              <w:rPr>
                <w:b w:val="false"/>
                <w:bCs w:val="false"/>
                <w:color w:val="000000"/>
                <w:sz w:val="14"/>
                <w:szCs w:val="14"/>
              </w:rPr>
              <w:t xml:space="preserve">Utilities</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High-grade</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c>
          <w:tcPr>
            <w:tcW w:type="dxa" w:w="900"/>
            <w:tcMar>
              <w:top w:type="dxa" w:w="40"/>
              <w:left w:type="dxa" w:w="80"/>
              <w:bottom w:type="dxa" w:w="40"/>
              <w:right w:type="dxa" w:w="80"/>
            </w:tcMar>
            <w:vAlign w:val="center"/>
          </w:tcPr>
          <w:p>
            <w:pPr>
              <w:spacing w:after="0"/>
              <w:jc w:val="center"/>
            </w:pPr>
            <w:r>
              <w:rPr>
                <w:b w:val="false"/>
                <w:bCs w:val="false"/>
                <w:color w:val="000000"/>
                <w:sz w:val="14"/>
                <w:szCs w:val="14"/>
              </w:rPr>
              <w:t xml:space="preserve">1.16</w:t>
            </w:r>
          </w:p>
        </w:tc>
        <w:tc>
          <w:tcPr>
            <w:tcW w:type="dxa" w:w="1000"/>
            <w:tcMar>
              <w:top w:type="dxa" w:w="40"/>
              <w:left w:type="dxa" w:w="80"/>
              <w:bottom w:type="dxa" w:w="40"/>
              <w:right w:type="dxa" w:w="80"/>
            </w:tcMar>
            <w:vAlign w:val="center"/>
          </w:tcPr>
          <w:p>
            <w:pPr>
              <w:spacing w:after="0"/>
              <w:jc w:val="center"/>
            </w:pPr>
            <w:r>
              <w:rPr>
                <w:b w:val="false"/>
                <w:bCs w:val="false"/>
                <w:color w:val="000000"/>
                <w:sz w:val="14"/>
                <w:szCs w:val="14"/>
              </w:rPr>
              <w:t xml:space="preserve">Distress</w:t>
            </w:r>
          </w:p>
        </w:tc>
        <w:tc>
          <w:tcPr>
            <w:tcW w:type="dxa" w:w="13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r>
      <w:tr>
        <w:tc>
          <w:tcPr>
            <w:tcW w:type="dxa" w:w="400"/>
            <w:tcMar>
              <w:top w:type="dxa" w:w="40"/>
              <w:left w:type="dxa" w:w="80"/>
              <w:bottom w:type="dxa" w:w="40"/>
              <w:right w:type="dxa" w:w="80"/>
            </w:tcMar>
            <w:vAlign w:val="center"/>
          </w:tcPr>
          <w:p>
            <w:pPr>
              <w:spacing w:after="0"/>
              <w:jc w:val="left"/>
            </w:pPr>
            <w:r>
              <w:rPr>
                <w:b w:val="false"/>
                <w:bCs w:val="false"/>
                <w:color w:val="000000"/>
                <w:sz w:val="14"/>
                <w:szCs w:val="14"/>
              </w:rPr>
              <w:t xml:space="preserve">14</w:t>
            </w:r>
          </w:p>
        </w:tc>
        <w:tc>
          <w:tcPr>
            <w:tcW w:type="dxa" w:w="650"/>
            <w:tcMar>
              <w:top w:type="dxa" w:w="40"/>
              <w:left w:type="dxa" w:w="80"/>
              <w:bottom w:type="dxa" w:w="40"/>
              <w:right w:type="dxa" w:w="80"/>
            </w:tcMar>
            <w:vAlign w:val="center"/>
          </w:tcPr>
          <w:p>
            <w:pPr>
              <w:spacing w:after="0"/>
              <w:jc w:val="left"/>
            </w:pPr>
            <w:r>
              <w:rPr>
                <w:b w:val="false"/>
                <w:bCs w:val="false"/>
                <w:color w:val="000000"/>
                <w:sz w:val="14"/>
                <w:szCs w:val="14"/>
              </w:rPr>
              <w:t xml:space="preserve">PFE</w:t>
            </w:r>
          </w:p>
        </w:tc>
        <w:tc>
          <w:tcPr>
            <w:tcW w:type="dxa" w:w="1750"/>
            <w:tcMar>
              <w:top w:type="dxa" w:w="40"/>
              <w:left w:type="dxa" w:w="80"/>
              <w:bottom w:type="dxa" w:w="40"/>
              <w:right w:type="dxa" w:w="80"/>
            </w:tcMar>
            <w:vAlign w:val="center"/>
          </w:tcPr>
          <w:p>
            <w:pPr>
              <w:spacing w:after="0"/>
              <w:jc w:val="left"/>
            </w:pPr>
            <w:r>
              <w:rPr>
                <w:b w:val="false"/>
                <w:bCs w:val="false"/>
                <w:color w:val="000000"/>
                <w:sz w:val="14"/>
                <w:szCs w:val="14"/>
              </w:rPr>
              <w:t xml:space="preserve">Pfizer</w:t>
            </w:r>
          </w:p>
        </w:tc>
        <w:tc>
          <w:tcPr>
            <w:tcW w:type="dxa" w:w="1500"/>
            <w:tcMar>
              <w:top w:type="dxa" w:w="40"/>
              <w:left w:type="dxa" w:w="80"/>
              <w:bottom w:type="dxa" w:w="40"/>
              <w:right w:type="dxa" w:w="80"/>
            </w:tcMar>
            <w:vAlign w:val="center"/>
          </w:tcPr>
          <w:p>
            <w:pPr>
              <w:spacing w:after="0"/>
              <w:jc w:val="left"/>
            </w:pPr>
            <w:r>
              <w:rPr>
                <w:b w:val="false"/>
                <w:bCs w:val="false"/>
                <w:color w:val="000000"/>
                <w:sz w:val="14"/>
                <w:szCs w:val="14"/>
              </w:rPr>
              <w:t xml:space="preserve">Healthcare</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High-grade</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c>
          <w:tcPr>
            <w:tcW w:type="dxa" w:w="900"/>
            <w:tcMar>
              <w:top w:type="dxa" w:w="40"/>
              <w:left w:type="dxa" w:w="80"/>
              <w:bottom w:type="dxa" w:w="40"/>
              <w:right w:type="dxa" w:w="80"/>
            </w:tcMar>
            <w:vAlign w:val="center"/>
          </w:tcPr>
          <w:p>
            <w:pPr>
              <w:spacing w:after="0"/>
              <w:jc w:val="center"/>
            </w:pPr>
            <w:r>
              <w:rPr>
                <w:b w:val="false"/>
                <w:bCs w:val="false"/>
                <w:color w:val="000000"/>
                <w:sz w:val="14"/>
                <w:szCs w:val="14"/>
              </w:rPr>
              <w:t xml:space="preserve">2.06</w:t>
            </w:r>
          </w:p>
        </w:tc>
        <w:tc>
          <w:tcPr>
            <w:tcW w:type="dxa" w:w="1000"/>
            <w:tcMar>
              <w:top w:type="dxa" w:w="40"/>
              <w:left w:type="dxa" w:w="80"/>
              <w:bottom w:type="dxa" w:w="40"/>
              <w:right w:type="dxa" w:w="80"/>
            </w:tcMar>
            <w:vAlign w:val="center"/>
          </w:tcPr>
          <w:p>
            <w:pPr>
              <w:spacing w:after="0"/>
              <w:jc w:val="center"/>
            </w:pPr>
            <w:r>
              <w:rPr>
                <w:b w:val="false"/>
                <w:bCs w:val="false"/>
                <w:color w:val="000000"/>
                <w:sz w:val="14"/>
                <w:szCs w:val="14"/>
              </w:rPr>
              <w:t xml:space="preserve">Grey zone</w:t>
            </w:r>
          </w:p>
        </w:tc>
        <w:tc>
          <w:tcPr>
            <w:tcW w:type="dxa" w:w="13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r>
      <w:tr>
        <w:tc>
          <w:tcPr>
            <w:tcW w:type="dxa" w:w="400"/>
            <w:tcMar>
              <w:top w:type="dxa" w:w="40"/>
              <w:left w:type="dxa" w:w="80"/>
              <w:bottom w:type="dxa" w:w="40"/>
              <w:right w:type="dxa" w:w="80"/>
            </w:tcMar>
            <w:vAlign w:val="center"/>
          </w:tcPr>
          <w:p>
            <w:pPr>
              <w:spacing w:after="0"/>
              <w:jc w:val="left"/>
            </w:pPr>
            <w:r>
              <w:rPr>
                <w:b w:val="false"/>
                <w:bCs w:val="false"/>
                <w:color w:val="000000"/>
                <w:sz w:val="14"/>
                <w:szCs w:val="14"/>
              </w:rPr>
              <w:t xml:space="preserve">15</w:t>
            </w:r>
          </w:p>
        </w:tc>
        <w:tc>
          <w:tcPr>
            <w:tcW w:type="dxa" w:w="650"/>
            <w:tcMar>
              <w:top w:type="dxa" w:w="40"/>
              <w:left w:type="dxa" w:w="80"/>
              <w:bottom w:type="dxa" w:w="40"/>
              <w:right w:type="dxa" w:w="80"/>
            </w:tcMar>
            <w:vAlign w:val="center"/>
          </w:tcPr>
          <w:p>
            <w:pPr>
              <w:spacing w:after="0"/>
              <w:jc w:val="left"/>
            </w:pPr>
            <w:r>
              <w:rPr>
                <w:b w:val="false"/>
                <w:bCs w:val="false"/>
                <w:color w:val="000000"/>
                <w:sz w:val="14"/>
                <w:szCs w:val="14"/>
              </w:rPr>
              <w:t xml:space="preserve">NUE</w:t>
            </w:r>
          </w:p>
        </w:tc>
        <w:tc>
          <w:tcPr>
            <w:tcW w:type="dxa" w:w="1750"/>
            <w:tcMar>
              <w:top w:type="dxa" w:w="40"/>
              <w:left w:type="dxa" w:w="80"/>
              <w:bottom w:type="dxa" w:w="40"/>
              <w:right w:type="dxa" w:w="80"/>
            </w:tcMar>
            <w:vAlign w:val="center"/>
          </w:tcPr>
          <w:p>
            <w:pPr>
              <w:spacing w:after="0"/>
              <w:jc w:val="left"/>
            </w:pPr>
            <w:r>
              <w:rPr>
                <w:b w:val="false"/>
                <w:bCs w:val="false"/>
                <w:color w:val="000000"/>
                <w:sz w:val="14"/>
                <w:szCs w:val="14"/>
              </w:rPr>
              <w:t xml:space="preserve">Nucor</w:t>
            </w:r>
          </w:p>
        </w:tc>
        <w:tc>
          <w:tcPr>
            <w:tcW w:type="dxa" w:w="1500"/>
            <w:tcMar>
              <w:top w:type="dxa" w:w="40"/>
              <w:left w:type="dxa" w:w="80"/>
              <w:bottom w:type="dxa" w:w="40"/>
              <w:right w:type="dxa" w:w="80"/>
            </w:tcMar>
            <w:vAlign w:val="center"/>
          </w:tcPr>
          <w:p>
            <w:pPr>
              <w:spacing w:after="0"/>
              <w:jc w:val="left"/>
            </w:pPr>
            <w:r>
              <w:rPr>
                <w:b w:val="false"/>
                <w:bCs w:val="false"/>
                <w:color w:val="000000"/>
                <w:sz w:val="14"/>
                <w:szCs w:val="14"/>
              </w:rPr>
              <w:t xml:space="preserve">Materials</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Mid-grade</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c>
          <w:tcPr>
            <w:tcW w:type="dxa" w:w="900"/>
            <w:tcMar>
              <w:top w:type="dxa" w:w="40"/>
              <w:left w:type="dxa" w:w="80"/>
              <w:bottom w:type="dxa" w:w="40"/>
              <w:right w:type="dxa" w:w="80"/>
            </w:tcMar>
            <w:vAlign w:val="center"/>
          </w:tcPr>
          <w:p>
            <w:pPr>
              <w:spacing w:after="0"/>
              <w:jc w:val="center"/>
            </w:pPr>
            <w:r>
              <w:rPr>
                <w:b w:val="false"/>
                <w:bCs w:val="false"/>
                <w:color w:val="000000"/>
                <w:sz w:val="14"/>
                <w:szCs w:val="14"/>
              </w:rPr>
              <w:t xml:space="preserve">5.26</w:t>
            </w:r>
          </w:p>
        </w:tc>
        <w:tc>
          <w:tcPr>
            <w:tcW w:type="dxa" w:w="1000"/>
            <w:tcMar>
              <w:top w:type="dxa" w:w="40"/>
              <w:left w:type="dxa" w:w="80"/>
              <w:bottom w:type="dxa" w:w="40"/>
              <w:right w:type="dxa" w:w="80"/>
            </w:tcMar>
            <w:vAlign w:val="center"/>
          </w:tcPr>
          <w:p>
            <w:pPr>
              <w:spacing w:after="0"/>
              <w:jc w:val="center"/>
            </w:pPr>
            <w:r>
              <w:rPr>
                <w:b w:val="false"/>
                <w:bCs w:val="false"/>
                <w:color w:val="000000"/>
                <w:sz w:val="14"/>
                <w:szCs w:val="14"/>
              </w:rPr>
              <w:t xml:space="preserve">Safe</w:t>
            </w:r>
          </w:p>
        </w:tc>
        <w:tc>
          <w:tcPr>
            <w:tcW w:type="dxa" w:w="13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r>
      <w:tr>
        <w:tc>
          <w:tcPr>
            <w:tcW w:type="dxa" w:w="400"/>
            <w:tcMar>
              <w:top w:type="dxa" w:w="40"/>
              <w:left w:type="dxa" w:w="80"/>
              <w:bottom w:type="dxa" w:w="40"/>
              <w:right w:type="dxa" w:w="80"/>
            </w:tcMar>
            <w:vAlign w:val="center"/>
          </w:tcPr>
          <w:p>
            <w:pPr>
              <w:spacing w:after="0"/>
              <w:jc w:val="left"/>
            </w:pPr>
            <w:r>
              <w:rPr>
                <w:b w:val="false"/>
                <w:bCs w:val="false"/>
                <w:color w:val="000000"/>
                <w:sz w:val="14"/>
                <w:szCs w:val="14"/>
              </w:rPr>
              <w:t xml:space="preserve">16</w:t>
            </w:r>
          </w:p>
        </w:tc>
        <w:tc>
          <w:tcPr>
            <w:tcW w:type="dxa" w:w="650"/>
            <w:tcMar>
              <w:top w:type="dxa" w:w="40"/>
              <w:left w:type="dxa" w:w="80"/>
              <w:bottom w:type="dxa" w:w="40"/>
              <w:right w:type="dxa" w:w="80"/>
            </w:tcMar>
            <w:vAlign w:val="center"/>
          </w:tcPr>
          <w:p>
            <w:pPr>
              <w:spacing w:after="0"/>
              <w:jc w:val="left"/>
            </w:pPr>
            <w:r>
              <w:rPr>
                <w:b w:val="false"/>
                <w:bCs w:val="false"/>
                <w:color w:val="000000"/>
                <w:sz w:val="14"/>
                <w:szCs w:val="14"/>
              </w:rPr>
              <w:t xml:space="preserve">DUK</w:t>
            </w:r>
          </w:p>
        </w:tc>
        <w:tc>
          <w:tcPr>
            <w:tcW w:type="dxa" w:w="1750"/>
            <w:tcMar>
              <w:top w:type="dxa" w:w="40"/>
              <w:left w:type="dxa" w:w="80"/>
              <w:bottom w:type="dxa" w:w="40"/>
              <w:right w:type="dxa" w:w="80"/>
            </w:tcMar>
            <w:vAlign w:val="center"/>
          </w:tcPr>
          <w:p>
            <w:pPr>
              <w:spacing w:after="0"/>
              <w:jc w:val="left"/>
            </w:pPr>
            <w:r>
              <w:rPr>
                <w:b w:val="false"/>
                <w:bCs w:val="false"/>
                <w:color w:val="000000"/>
                <w:sz w:val="14"/>
                <w:szCs w:val="14"/>
              </w:rPr>
              <w:t xml:space="preserve">Duke Energy</w:t>
            </w:r>
          </w:p>
        </w:tc>
        <w:tc>
          <w:tcPr>
            <w:tcW w:type="dxa" w:w="1500"/>
            <w:tcMar>
              <w:top w:type="dxa" w:w="40"/>
              <w:left w:type="dxa" w:w="80"/>
              <w:bottom w:type="dxa" w:w="40"/>
              <w:right w:type="dxa" w:w="80"/>
            </w:tcMar>
            <w:vAlign w:val="center"/>
          </w:tcPr>
          <w:p>
            <w:pPr>
              <w:spacing w:after="0"/>
              <w:jc w:val="left"/>
            </w:pPr>
            <w:r>
              <w:rPr>
                <w:b w:val="false"/>
                <w:bCs w:val="false"/>
                <w:color w:val="000000"/>
                <w:sz w:val="14"/>
                <w:szCs w:val="14"/>
              </w:rPr>
              <w:t xml:space="preserve">Utilities</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Mid-grade</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c>
          <w:tcPr>
            <w:tcW w:type="dxa" w:w="900"/>
            <w:tcMar>
              <w:top w:type="dxa" w:w="40"/>
              <w:left w:type="dxa" w:w="80"/>
              <w:bottom w:type="dxa" w:w="40"/>
              <w:right w:type="dxa" w:w="80"/>
            </w:tcMar>
            <w:vAlign w:val="center"/>
          </w:tcPr>
          <w:p>
            <w:pPr>
              <w:spacing w:after="0"/>
              <w:jc w:val="center"/>
            </w:pPr>
            <w:r>
              <w:rPr>
                <w:b w:val="false"/>
                <w:bCs w:val="false"/>
                <w:color w:val="000000"/>
                <w:sz w:val="14"/>
                <w:szCs w:val="14"/>
              </w:rPr>
              <w:t xml:space="preserve">0.69</w:t>
            </w:r>
          </w:p>
        </w:tc>
        <w:tc>
          <w:tcPr>
            <w:tcW w:type="dxa" w:w="1000"/>
            <w:tcMar>
              <w:top w:type="dxa" w:w="40"/>
              <w:left w:type="dxa" w:w="80"/>
              <w:bottom w:type="dxa" w:w="40"/>
              <w:right w:type="dxa" w:w="80"/>
            </w:tcMar>
            <w:vAlign w:val="center"/>
          </w:tcPr>
          <w:p>
            <w:pPr>
              <w:spacing w:after="0"/>
              <w:jc w:val="center"/>
            </w:pPr>
            <w:r>
              <w:rPr>
                <w:b w:val="false"/>
                <w:bCs w:val="false"/>
                <w:color w:val="000000"/>
                <w:sz w:val="14"/>
                <w:szCs w:val="14"/>
              </w:rPr>
              <w:t xml:space="preserve">Distress</w:t>
            </w:r>
          </w:p>
        </w:tc>
        <w:tc>
          <w:tcPr>
            <w:tcW w:type="dxa" w:w="13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r>
      <w:tr>
        <w:tc>
          <w:tcPr>
            <w:tcW w:type="dxa" w:w="400"/>
            <w:tcMar>
              <w:top w:type="dxa" w:w="40"/>
              <w:left w:type="dxa" w:w="80"/>
              <w:bottom w:type="dxa" w:w="40"/>
              <w:right w:type="dxa" w:w="80"/>
            </w:tcMar>
            <w:vAlign w:val="center"/>
          </w:tcPr>
          <w:p>
            <w:pPr>
              <w:spacing w:after="0"/>
              <w:jc w:val="left"/>
            </w:pPr>
            <w:r>
              <w:rPr>
                <w:b w:val="false"/>
                <w:bCs w:val="false"/>
                <w:color w:val="000000"/>
                <w:sz w:val="14"/>
                <w:szCs w:val="14"/>
              </w:rPr>
              <w:t xml:space="preserve">17</w:t>
            </w:r>
          </w:p>
        </w:tc>
        <w:tc>
          <w:tcPr>
            <w:tcW w:type="dxa" w:w="650"/>
            <w:tcMar>
              <w:top w:type="dxa" w:w="40"/>
              <w:left w:type="dxa" w:w="80"/>
              <w:bottom w:type="dxa" w:w="40"/>
              <w:right w:type="dxa" w:w="80"/>
            </w:tcMar>
            <w:vAlign w:val="center"/>
          </w:tcPr>
          <w:p>
            <w:pPr>
              <w:spacing w:after="0"/>
              <w:jc w:val="left"/>
            </w:pPr>
            <w:r>
              <w:rPr>
                <w:b w:val="false"/>
                <w:bCs w:val="false"/>
                <w:color w:val="000000"/>
                <w:sz w:val="14"/>
                <w:szCs w:val="14"/>
              </w:rPr>
              <w:t xml:space="preserve">HD</w:t>
            </w:r>
          </w:p>
        </w:tc>
        <w:tc>
          <w:tcPr>
            <w:tcW w:type="dxa" w:w="1750"/>
            <w:tcMar>
              <w:top w:type="dxa" w:w="40"/>
              <w:left w:type="dxa" w:w="80"/>
              <w:bottom w:type="dxa" w:w="40"/>
              <w:right w:type="dxa" w:w="80"/>
            </w:tcMar>
            <w:vAlign w:val="center"/>
          </w:tcPr>
          <w:p>
            <w:pPr>
              <w:spacing w:after="0"/>
              <w:jc w:val="left"/>
            </w:pPr>
            <w:r>
              <w:rPr>
                <w:b w:val="false"/>
                <w:bCs w:val="false"/>
                <w:color w:val="000000"/>
                <w:sz w:val="14"/>
                <w:szCs w:val="14"/>
              </w:rPr>
              <w:t xml:space="preserve">Home Depot</w:t>
            </w:r>
          </w:p>
        </w:tc>
        <w:tc>
          <w:tcPr>
            <w:tcW w:type="dxa" w:w="1500"/>
            <w:tcMar>
              <w:top w:type="dxa" w:w="40"/>
              <w:left w:type="dxa" w:w="80"/>
              <w:bottom w:type="dxa" w:w="40"/>
              <w:right w:type="dxa" w:w="80"/>
            </w:tcMar>
            <w:vAlign w:val="center"/>
          </w:tcPr>
          <w:p>
            <w:pPr>
              <w:spacing w:after="0"/>
              <w:jc w:val="left"/>
            </w:pPr>
            <w:r>
              <w:rPr>
                <w:b w:val="false"/>
                <w:bCs w:val="false"/>
                <w:color w:val="000000"/>
                <w:sz w:val="14"/>
                <w:szCs w:val="14"/>
              </w:rPr>
              <w:t xml:space="preserve">Cons. Discretionary</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High-grade</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c>
          <w:tcPr>
            <w:tcW w:type="dxa" w:w="900"/>
            <w:tcMar>
              <w:top w:type="dxa" w:w="40"/>
              <w:left w:type="dxa" w:w="80"/>
              <w:bottom w:type="dxa" w:w="40"/>
              <w:right w:type="dxa" w:w="80"/>
            </w:tcMar>
            <w:vAlign w:val="center"/>
          </w:tcPr>
          <w:p>
            <w:pPr>
              <w:spacing w:after="0"/>
              <w:jc w:val="center"/>
            </w:pPr>
            <w:r>
              <w:rPr>
                <w:b w:val="false"/>
                <w:bCs w:val="false"/>
                <w:color w:val="000000"/>
                <w:sz w:val="14"/>
                <w:szCs w:val="14"/>
              </w:rPr>
              <w:t xml:space="preserve">5.68</w:t>
            </w:r>
          </w:p>
        </w:tc>
        <w:tc>
          <w:tcPr>
            <w:tcW w:type="dxa" w:w="1000"/>
            <w:tcMar>
              <w:top w:type="dxa" w:w="40"/>
              <w:left w:type="dxa" w:w="80"/>
              <w:bottom w:type="dxa" w:w="40"/>
              <w:right w:type="dxa" w:w="80"/>
            </w:tcMar>
            <w:vAlign w:val="center"/>
          </w:tcPr>
          <w:p>
            <w:pPr>
              <w:spacing w:after="0"/>
              <w:jc w:val="center"/>
            </w:pPr>
            <w:r>
              <w:rPr>
                <w:b w:val="false"/>
                <w:bCs w:val="false"/>
                <w:color w:val="000000"/>
                <w:sz w:val="14"/>
                <w:szCs w:val="14"/>
              </w:rPr>
              <w:t xml:space="preserve">Safe</w:t>
            </w:r>
          </w:p>
        </w:tc>
        <w:tc>
          <w:tcPr>
            <w:tcW w:type="dxa" w:w="13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r>
      <w:tr>
        <w:tc>
          <w:tcPr>
            <w:tcW w:type="dxa" w:w="400"/>
            <w:tcMar>
              <w:top w:type="dxa" w:w="40"/>
              <w:left w:type="dxa" w:w="80"/>
              <w:bottom w:type="dxa" w:w="40"/>
              <w:right w:type="dxa" w:w="80"/>
            </w:tcMar>
            <w:vAlign w:val="center"/>
          </w:tcPr>
          <w:p>
            <w:pPr>
              <w:spacing w:after="0"/>
              <w:jc w:val="left"/>
            </w:pPr>
            <w:r>
              <w:rPr>
                <w:b w:val="false"/>
                <w:bCs w:val="false"/>
                <w:color w:val="000000"/>
                <w:sz w:val="14"/>
                <w:szCs w:val="14"/>
              </w:rPr>
              <w:t xml:space="preserve">18</w:t>
            </w:r>
          </w:p>
        </w:tc>
        <w:tc>
          <w:tcPr>
            <w:tcW w:type="dxa" w:w="650"/>
            <w:tcMar>
              <w:top w:type="dxa" w:w="40"/>
              <w:left w:type="dxa" w:w="80"/>
              <w:bottom w:type="dxa" w:w="40"/>
              <w:right w:type="dxa" w:w="80"/>
            </w:tcMar>
            <w:vAlign w:val="center"/>
          </w:tcPr>
          <w:p>
            <w:pPr>
              <w:spacing w:after="0"/>
              <w:jc w:val="left"/>
            </w:pPr>
            <w:r>
              <w:rPr>
                <w:b w:val="false"/>
                <w:bCs w:val="false"/>
                <w:color w:val="000000"/>
                <w:sz w:val="14"/>
                <w:szCs w:val="14"/>
              </w:rPr>
              <w:t xml:space="preserve">GE</w:t>
            </w:r>
          </w:p>
        </w:tc>
        <w:tc>
          <w:tcPr>
            <w:tcW w:type="dxa" w:w="1750"/>
            <w:tcMar>
              <w:top w:type="dxa" w:w="40"/>
              <w:left w:type="dxa" w:w="80"/>
              <w:bottom w:type="dxa" w:w="40"/>
              <w:right w:type="dxa" w:w="80"/>
            </w:tcMar>
            <w:vAlign w:val="center"/>
          </w:tcPr>
          <w:p>
            <w:pPr>
              <w:spacing w:after="0"/>
              <w:jc w:val="left"/>
            </w:pPr>
            <w:r>
              <w:rPr>
                <w:b w:val="false"/>
                <w:bCs w:val="false"/>
                <w:color w:val="000000"/>
                <w:sz w:val="14"/>
                <w:szCs w:val="14"/>
              </w:rPr>
              <w:t xml:space="preserve">General Electric</w:t>
            </w:r>
          </w:p>
        </w:tc>
        <w:tc>
          <w:tcPr>
            <w:tcW w:type="dxa" w:w="1500"/>
            <w:tcMar>
              <w:top w:type="dxa" w:w="40"/>
              <w:left w:type="dxa" w:w="80"/>
              <w:bottom w:type="dxa" w:w="40"/>
              <w:right w:type="dxa" w:w="80"/>
            </w:tcMar>
            <w:vAlign w:val="center"/>
          </w:tcPr>
          <w:p>
            <w:pPr>
              <w:spacing w:after="0"/>
              <w:jc w:val="left"/>
            </w:pPr>
            <w:r>
              <w:rPr>
                <w:b w:val="false"/>
                <w:bCs w:val="false"/>
                <w:color w:val="000000"/>
                <w:sz w:val="14"/>
                <w:szCs w:val="14"/>
              </w:rPr>
              <w:t xml:space="preserve">Industrials</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Mid-grade</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c>
          <w:tcPr>
            <w:tcW w:type="dxa" w:w="900"/>
            <w:tcMar>
              <w:top w:type="dxa" w:w="40"/>
              <w:left w:type="dxa" w:w="80"/>
              <w:bottom w:type="dxa" w:w="40"/>
              <w:right w:type="dxa" w:w="80"/>
            </w:tcMar>
            <w:vAlign w:val="center"/>
          </w:tcPr>
          <w:p>
            <w:pPr>
              <w:spacing w:after="0"/>
              <w:jc w:val="center"/>
            </w:pPr>
            <w:r>
              <w:rPr>
                <w:b w:val="false"/>
                <w:bCs w:val="false"/>
                <w:color w:val="000000"/>
                <w:sz w:val="14"/>
                <w:szCs w:val="14"/>
              </w:rPr>
              <w:t xml:space="preserve">3.53</w:t>
            </w:r>
          </w:p>
        </w:tc>
        <w:tc>
          <w:tcPr>
            <w:tcW w:type="dxa" w:w="1000"/>
            <w:tcMar>
              <w:top w:type="dxa" w:w="40"/>
              <w:left w:type="dxa" w:w="80"/>
              <w:bottom w:type="dxa" w:w="40"/>
              <w:right w:type="dxa" w:w="80"/>
            </w:tcMar>
            <w:vAlign w:val="center"/>
          </w:tcPr>
          <w:p>
            <w:pPr>
              <w:spacing w:after="0"/>
              <w:jc w:val="center"/>
            </w:pPr>
            <w:r>
              <w:rPr>
                <w:b w:val="false"/>
                <w:bCs w:val="false"/>
                <w:color w:val="000000"/>
                <w:sz w:val="14"/>
                <w:szCs w:val="14"/>
              </w:rPr>
              <w:t xml:space="preserve">Safe</w:t>
            </w:r>
          </w:p>
        </w:tc>
        <w:tc>
          <w:tcPr>
            <w:tcW w:type="dxa" w:w="13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r>
      <w:tr>
        <w:tc>
          <w:tcPr>
            <w:tcW w:type="dxa" w:w="400"/>
            <w:tcMar>
              <w:top w:type="dxa" w:w="40"/>
              <w:left w:type="dxa" w:w="80"/>
              <w:bottom w:type="dxa" w:w="40"/>
              <w:right w:type="dxa" w:w="80"/>
            </w:tcMar>
            <w:vAlign w:val="center"/>
          </w:tcPr>
          <w:p>
            <w:pPr>
              <w:spacing w:after="0"/>
              <w:jc w:val="left"/>
            </w:pPr>
            <w:r>
              <w:rPr>
                <w:b w:val="false"/>
                <w:bCs w:val="false"/>
                <w:color w:val="000000"/>
                <w:sz w:val="14"/>
                <w:szCs w:val="14"/>
              </w:rPr>
              <w:t xml:space="preserve">19</w:t>
            </w:r>
          </w:p>
        </w:tc>
        <w:tc>
          <w:tcPr>
            <w:tcW w:type="dxa" w:w="650"/>
            <w:tcMar>
              <w:top w:type="dxa" w:w="40"/>
              <w:left w:type="dxa" w:w="80"/>
              <w:bottom w:type="dxa" w:w="40"/>
              <w:right w:type="dxa" w:w="80"/>
            </w:tcMar>
            <w:vAlign w:val="center"/>
          </w:tcPr>
          <w:p>
            <w:pPr>
              <w:spacing w:after="0"/>
              <w:jc w:val="left"/>
            </w:pPr>
            <w:r>
              <w:rPr>
                <w:b w:val="false"/>
                <w:bCs w:val="false"/>
                <w:color w:val="000000"/>
                <w:sz w:val="14"/>
                <w:szCs w:val="14"/>
              </w:rPr>
              <w:t xml:space="preserve">WMT</w:t>
            </w:r>
          </w:p>
        </w:tc>
        <w:tc>
          <w:tcPr>
            <w:tcW w:type="dxa" w:w="1750"/>
            <w:tcMar>
              <w:top w:type="dxa" w:w="40"/>
              <w:left w:type="dxa" w:w="80"/>
              <w:bottom w:type="dxa" w:w="40"/>
              <w:right w:type="dxa" w:w="80"/>
            </w:tcMar>
            <w:vAlign w:val="center"/>
          </w:tcPr>
          <w:p>
            <w:pPr>
              <w:spacing w:after="0"/>
              <w:jc w:val="left"/>
            </w:pPr>
            <w:r>
              <w:rPr>
                <w:b w:val="false"/>
                <w:bCs w:val="false"/>
                <w:color w:val="000000"/>
                <w:sz w:val="14"/>
                <w:szCs w:val="14"/>
              </w:rPr>
              <w:t xml:space="preserve">Walmart</w:t>
            </w:r>
          </w:p>
        </w:tc>
        <w:tc>
          <w:tcPr>
            <w:tcW w:type="dxa" w:w="1500"/>
            <w:tcMar>
              <w:top w:type="dxa" w:w="40"/>
              <w:left w:type="dxa" w:w="80"/>
              <w:bottom w:type="dxa" w:w="40"/>
              <w:right w:type="dxa" w:w="80"/>
            </w:tcMar>
            <w:vAlign w:val="center"/>
          </w:tcPr>
          <w:p>
            <w:pPr>
              <w:spacing w:after="0"/>
              <w:jc w:val="left"/>
            </w:pPr>
            <w:r>
              <w:rPr>
                <w:b w:val="false"/>
                <w:bCs w:val="false"/>
                <w:color w:val="000000"/>
                <w:sz w:val="14"/>
                <w:szCs w:val="14"/>
              </w:rPr>
              <w:t xml:space="preserve">Cons. Staples</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High-grade</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c>
          <w:tcPr>
            <w:tcW w:type="dxa" w:w="900"/>
            <w:tcMar>
              <w:top w:type="dxa" w:w="40"/>
              <w:left w:type="dxa" w:w="80"/>
              <w:bottom w:type="dxa" w:w="40"/>
              <w:right w:type="dxa" w:w="80"/>
            </w:tcMar>
            <w:vAlign w:val="center"/>
          </w:tcPr>
          <w:p>
            <w:pPr>
              <w:spacing w:after="0"/>
              <w:jc w:val="center"/>
            </w:pPr>
            <w:r>
              <w:rPr>
                <w:b w:val="false"/>
                <w:bCs w:val="false"/>
                <w:color w:val="000000"/>
                <w:sz w:val="14"/>
                <w:szCs w:val="14"/>
              </w:rPr>
              <w:t xml:space="preserve">6.07</w:t>
            </w:r>
          </w:p>
        </w:tc>
        <w:tc>
          <w:tcPr>
            <w:tcW w:type="dxa" w:w="1000"/>
            <w:tcMar>
              <w:top w:type="dxa" w:w="40"/>
              <w:left w:type="dxa" w:w="80"/>
              <w:bottom w:type="dxa" w:w="40"/>
              <w:right w:type="dxa" w:w="80"/>
            </w:tcMar>
            <w:vAlign w:val="center"/>
          </w:tcPr>
          <w:p>
            <w:pPr>
              <w:spacing w:after="0"/>
              <w:jc w:val="center"/>
            </w:pPr>
            <w:r>
              <w:rPr>
                <w:b w:val="false"/>
                <w:bCs w:val="false"/>
                <w:color w:val="000000"/>
                <w:sz w:val="14"/>
                <w:szCs w:val="14"/>
              </w:rPr>
              <w:t xml:space="preserve">Safe</w:t>
            </w:r>
          </w:p>
        </w:tc>
        <w:tc>
          <w:tcPr>
            <w:tcW w:type="dxa" w:w="13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r>
      <w:tr>
        <w:tc>
          <w:tcPr>
            <w:tcW w:type="dxa" w:w="400"/>
            <w:tcMar>
              <w:top w:type="dxa" w:w="40"/>
              <w:left w:type="dxa" w:w="80"/>
              <w:bottom w:type="dxa" w:w="40"/>
              <w:right w:type="dxa" w:w="80"/>
            </w:tcMar>
            <w:vAlign w:val="center"/>
          </w:tcPr>
          <w:p>
            <w:pPr>
              <w:spacing w:after="0"/>
              <w:jc w:val="left"/>
            </w:pPr>
            <w:r>
              <w:rPr>
                <w:b w:val="false"/>
                <w:bCs w:val="false"/>
                <w:color w:val="000000"/>
                <w:sz w:val="14"/>
                <w:szCs w:val="14"/>
              </w:rPr>
              <w:t xml:space="preserve">20</w:t>
            </w:r>
          </w:p>
        </w:tc>
        <w:tc>
          <w:tcPr>
            <w:tcW w:type="dxa" w:w="650"/>
            <w:tcMar>
              <w:top w:type="dxa" w:w="40"/>
              <w:left w:type="dxa" w:w="80"/>
              <w:bottom w:type="dxa" w:w="40"/>
              <w:right w:type="dxa" w:w="80"/>
            </w:tcMar>
            <w:vAlign w:val="center"/>
          </w:tcPr>
          <w:p>
            <w:pPr>
              <w:spacing w:after="0"/>
              <w:jc w:val="left"/>
            </w:pPr>
            <w:r>
              <w:rPr>
                <w:b w:val="false"/>
                <w:bCs w:val="false"/>
                <w:color w:val="000000"/>
                <w:sz w:val="14"/>
                <w:szCs w:val="14"/>
              </w:rPr>
              <w:t xml:space="preserve">XOM</w:t>
            </w:r>
          </w:p>
        </w:tc>
        <w:tc>
          <w:tcPr>
            <w:tcW w:type="dxa" w:w="1750"/>
            <w:tcMar>
              <w:top w:type="dxa" w:w="40"/>
              <w:left w:type="dxa" w:w="80"/>
              <w:bottom w:type="dxa" w:w="40"/>
              <w:right w:type="dxa" w:w="80"/>
            </w:tcMar>
            <w:vAlign w:val="center"/>
          </w:tcPr>
          <w:p>
            <w:pPr>
              <w:spacing w:after="0"/>
              <w:jc w:val="left"/>
            </w:pPr>
            <w:r>
              <w:rPr>
                <w:b w:val="false"/>
                <w:bCs w:val="false"/>
                <w:color w:val="000000"/>
                <w:sz w:val="14"/>
                <w:szCs w:val="14"/>
              </w:rPr>
              <w:t xml:space="preserve">ExxonMobil</w:t>
            </w:r>
          </w:p>
        </w:tc>
        <w:tc>
          <w:tcPr>
            <w:tcW w:type="dxa" w:w="1500"/>
            <w:tcMar>
              <w:top w:type="dxa" w:w="40"/>
              <w:left w:type="dxa" w:w="80"/>
              <w:bottom w:type="dxa" w:w="40"/>
              <w:right w:type="dxa" w:w="80"/>
            </w:tcMar>
            <w:vAlign w:val="center"/>
          </w:tcPr>
          <w:p>
            <w:pPr>
              <w:spacing w:after="0"/>
              <w:jc w:val="left"/>
            </w:pPr>
            <w:r>
              <w:rPr>
                <w:b w:val="false"/>
                <w:bCs w:val="false"/>
                <w:color w:val="000000"/>
                <w:sz w:val="14"/>
                <w:szCs w:val="14"/>
              </w:rPr>
              <w:t xml:space="preserve">Energy</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High-grade</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c>
          <w:tcPr>
            <w:tcW w:type="dxa" w:w="900"/>
            <w:tcMar>
              <w:top w:type="dxa" w:w="40"/>
              <w:left w:type="dxa" w:w="80"/>
              <w:bottom w:type="dxa" w:w="40"/>
              <w:right w:type="dxa" w:w="80"/>
            </w:tcMar>
            <w:vAlign w:val="center"/>
          </w:tcPr>
          <w:p>
            <w:pPr>
              <w:spacing w:after="0"/>
              <w:jc w:val="center"/>
            </w:pPr>
            <w:r>
              <w:rPr>
                <w:b w:val="false"/>
                <w:bCs w:val="false"/>
                <w:color w:val="000000"/>
                <w:sz w:val="14"/>
                <w:szCs w:val="14"/>
              </w:rPr>
              <w:t xml:space="preserve">4.80</w:t>
            </w:r>
          </w:p>
        </w:tc>
        <w:tc>
          <w:tcPr>
            <w:tcW w:type="dxa" w:w="1000"/>
            <w:tcMar>
              <w:top w:type="dxa" w:w="40"/>
              <w:left w:type="dxa" w:w="80"/>
              <w:bottom w:type="dxa" w:w="40"/>
              <w:right w:type="dxa" w:w="80"/>
            </w:tcMar>
            <w:vAlign w:val="center"/>
          </w:tcPr>
          <w:p>
            <w:pPr>
              <w:spacing w:after="0"/>
              <w:jc w:val="center"/>
            </w:pPr>
            <w:r>
              <w:rPr>
                <w:b w:val="false"/>
                <w:bCs w:val="false"/>
                <w:color w:val="000000"/>
                <w:sz w:val="14"/>
                <w:szCs w:val="14"/>
              </w:rPr>
              <w:t xml:space="preserve">Safe</w:t>
            </w:r>
          </w:p>
        </w:tc>
        <w:tc>
          <w:tcPr>
            <w:tcW w:type="dxa" w:w="13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r>
      <w:tr>
        <w:tc>
          <w:tcPr>
            <w:tcW w:type="dxa" w:w="400"/>
            <w:tcMar>
              <w:top w:type="dxa" w:w="40"/>
              <w:left w:type="dxa" w:w="80"/>
              <w:bottom w:type="dxa" w:w="40"/>
              <w:right w:type="dxa" w:w="80"/>
            </w:tcMar>
            <w:vAlign w:val="center"/>
          </w:tcPr>
          <w:p>
            <w:pPr>
              <w:spacing w:after="0"/>
              <w:jc w:val="left"/>
            </w:pPr>
            <w:r>
              <w:rPr>
                <w:b w:val="false"/>
                <w:bCs w:val="false"/>
                <w:color w:val="000000"/>
                <w:sz w:val="14"/>
                <w:szCs w:val="14"/>
              </w:rPr>
              <w:t xml:space="preserve">21</w:t>
            </w:r>
          </w:p>
        </w:tc>
        <w:tc>
          <w:tcPr>
            <w:tcW w:type="dxa" w:w="650"/>
            <w:tcMar>
              <w:top w:type="dxa" w:w="40"/>
              <w:left w:type="dxa" w:w="80"/>
              <w:bottom w:type="dxa" w:w="40"/>
              <w:right w:type="dxa" w:w="80"/>
            </w:tcMar>
            <w:vAlign w:val="center"/>
          </w:tcPr>
          <w:p>
            <w:pPr>
              <w:spacing w:after="0"/>
              <w:jc w:val="left"/>
            </w:pPr>
            <w:r>
              <w:rPr>
                <w:b w:val="false"/>
                <w:bCs w:val="false"/>
                <w:color w:val="000000"/>
                <w:sz w:val="14"/>
                <w:szCs w:val="14"/>
              </w:rPr>
              <w:t xml:space="preserve">MCD</w:t>
            </w:r>
          </w:p>
        </w:tc>
        <w:tc>
          <w:tcPr>
            <w:tcW w:type="dxa" w:w="1750"/>
            <w:tcMar>
              <w:top w:type="dxa" w:w="40"/>
              <w:left w:type="dxa" w:w="80"/>
              <w:bottom w:type="dxa" w:w="40"/>
              <w:right w:type="dxa" w:w="80"/>
            </w:tcMar>
            <w:vAlign w:val="center"/>
          </w:tcPr>
          <w:p>
            <w:pPr>
              <w:spacing w:after="0"/>
              <w:jc w:val="left"/>
            </w:pPr>
            <w:r>
              <w:rPr>
                <w:b w:val="false"/>
                <w:bCs w:val="false"/>
                <w:color w:val="000000"/>
                <w:sz w:val="14"/>
                <w:szCs w:val="14"/>
              </w:rPr>
              <w:t xml:space="preserve">McDonald's</w:t>
            </w:r>
          </w:p>
        </w:tc>
        <w:tc>
          <w:tcPr>
            <w:tcW w:type="dxa" w:w="1500"/>
            <w:tcMar>
              <w:top w:type="dxa" w:w="40"/>
              <w:left w:type="dxa" w:w="80"/>
              <w:bottom w:type="dxa" w:w="40"/>
              <w:right w:type="dxa" w:w="80"/>
            </w:tcMar>
            <w:vAlign w:val="center"/>
          </w:tcPr>
          <w:p>
            <w:pPr>
              <w:spacing w:after="0"/>
              <w:jc w:val="left"/>
            </w:pPr>
            <w:r>
              <w:rPr>
                <w:b w:val="false"/>
                <w:bCs w:val="false"/>
                <w:color w:val="000000"/>
                <w:sz w:val="14"/>
                <w:szCs w:val="14"/>
              </w:rPr>
              <w:t xml:space="preserve">Cons. Discretionary</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High-grade</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c>
          <w:tcPr>
            <w:tcW w:type="dxa" w:w="900"/>
            <w:tcMar>
              <w:top w:type="dxa" w:w="40"/>
              <w:left w:type="dxa" w:w="80"/>
              <w:bottom w:type="dxa" w:w="40"/>
              <w:right w:type="dxa" w:w="80"/>
            </w:tcMar>
            <w:vAlign w:val="center"/>
          </w:tcPr>
          <w:p>
            <w:pPr>
              <w:spacing w:after="0"/>
              <w:jc w:val="center"/>
            </w:pPr>
            <w:r>
              <w:rPr>
                <w:b w:val="false"/>
                <w:bCs w:val="false"/>
                <w:color w:val="000000"/>
                <w:sz w:val="14"/>
                <w:szCs w:val="14"/>
              </w:rPr>
              <w:t xml:space="preserve">4.67</w:t>
            </w:r>
          </w:p>
        </w:tc>
        <w:tc>
          <w:tcPr>
            <w:tcW w:type="dxa" w:w="1000"/>
            <w:tcMar>
              <w:top w:type="dxa" w:w="40"/>
              <w:left w:type="dxa" w:w="80"/>
              <w:bottom w:type="dxa" w:w="40"/>
              <w:right w:type="dxa" w:w="80"/>
            </w:tcMar>
            <w:vAlign w:val="center"/>
          </w:tcPr>
          <w:p>
            <w:pPr>
              <w:spacing w:after="0"/>
              <w:jc w:val="center"/>
            </w:pPr>
            <w:r>
              <w:rPr>
                <w:b w:val="false"/>
                <w:bCs w:val="false"/>
                <w:color w:val="000000"/>
                <w:sz w:val="14"/>
                <w:szCs w:val="14"/>
              </w:rPr>
              <w:t xml:space="preserve">Safe</w:t>
            </w:r>
          </w:p>
        </w:tc>
        <w:tc>
          <w:tcPr>
            <w:tcW w:type="dxa" w:w="13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r>
      <w:tr>
        <w:tc>
          <w:tcPr>
            <w:tcW w:type="dxa" w:w="400"/>
            <w:tcMar>
              <w:top w:type="dxa" w:w="40"/>
              <w:left w:type="dxa" w:w="80"/>
              <w:bottom w:type="dxa" w:w="40"/>
              <w:right w:type="dxa" w:w="80"/>
            </w:tcMar>
            <w:vAlign w:val="center"/>
          </w:tcPr>
          <w:p>
            <w:pPr>
              <w:spacing w:after="0"/>
              <w:jc w:val="left"/>
            </w:pPr>
            <w:r>
              <w:rPr>
                <w:b w:val="false"/>
                <w:bCs w:val="false"/>
                <w:color w:val="000000"/>
                <w:sz w:val="14"/>
                <w:szCs w:val="14"/>
              </w:rPr>
              <w:t xml:space="preserve">22</w:t>
            </w:r>
          </w:p>
        </w:tc>
        <w:tc>
          <w:tcPr>
            <w:tcW w:type="dxa" w:w="650"/>
            <w:tcMar>
              <w:top w:type="dxa" w:w="40"/>
              <w:left w:type="dxa" w:w="80"/>
              <w:bottom w:type="dxa" w:w="40"/>
              <w:right w:type="dxa" w:w="80"/>
            </w:tcMar>
            <w:vAlign w:val="center"/>
          </w:tcPr>
          <w:p>
            <w:pPr>
              <w:spacing w:after="0"/>
              <w:jc w:val="left"/>
            </w:pPr>
            <w:r>
              <w:rPr>
                <w:b w:val="false"/>
                <w:bCs w:val="false"/>
                <w:color w:val="000000"/>
                <w:sz w:val="14"/>
                <w:szCs w:val="14"/>
              </w:rPr>
              <w:t xml:space="preserve">PG</w:t>
            </w:r>
          </w:p>
        </w:tc>
        <w:tc>
          <w:tcPr>
            <w:tcW w:type="dxa" w:w="1750"/>
            <w:tcMar>
              <w:top w:type="dxa" w:w="40"/>
              <w:left w:type="dxa" w:w="80"/>
              <w:bottom w:type="dxa" w:w="40"/>
              <w:right w:type="dxa" w:w="80"/>
            </w:tcMar>
            <w:vAlign w:val="center"/>
          </w:tcPr>
          <w:p>
            <w:pPr>
              <w:spacing w:after="0"/>
              <w:jc w:val="left"/>
            </w:pPr>
            <w:r>
              <w:rPr>
                <w:b w:val="false"/>
                <w:bCs w:val="false"/>
                <w:color w:val="000000"/>
                <w:sz w:val="14"/>
                <w:szCs w:val="14"/>
              </w:rPr>
              <w:t xml:space="preserve">Procter &amp; Gamble</w:t>
            </w:r>
          </w:p>
        </w:tc>
        <w:tc>
          <w:tcPr>
            <w:tcW w:type="dxa" w:w="1500"/>
            <w:tcMar>
              <w:top w:type="dxa" w:w="40"/>
              <w:left w:type="dxa" w:w="80"/>
              <w:bottom w:type="dxa" w:w="40"/>
              <w:right w:type="dxa" w:w="80"/>
            </w:tcMar>
            <w:vAlign w:val="center"/>
          </w:tcPr>
          <w:p>
            <w:pPr>
              <w:spacing w:after="0"/>
              <w:jc w:val="left"/>
            </w:pPr>
            <w:r>
              <w:rPr>
                <w:b w:val="false"/>
                <w:bCs w:val="false"/>
                <w:color w:val="000000"/>
                <w:sz w:val="14"/>
                <w:szCs w:val="14"/>
              </w:rPr>
              <w:t xml:space="preserve">Cons. Staples</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High-grade</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c>
          <w:tcPr>
            <w:tcW w:type="dxa" w:w="900"/>
            <w:tcMar>
              <w:top w:type="dxa" w:w="40"/>
              <w:left w:type="dxa" w:w="80"/>
              <w:bottom w:type="dxa" w:w="40"/>
              <w:right w:type="dxa" w:w="80"/>
            </w:tcMar>
            <w:vAlign w:val="center"/>
          </w:tcPr>
          <w:p>
            <w:pPr>
              <w:spacing w:after="0"/>
              <w:jc w:val="center"/>
            </w:pPr>
            <w:r>
              <w:rPr>
                <w:b w:val="false"/>
                <w:bCs w:val="false"/>
                <w:color w:val="000000"/>
                <w:sz w:val="14"/>
                <w:szCs w:val="14"/>
              </w:rPr>
              <w:t xml:space="preserve">5.42</w:t>
            </w:r>
          </w:p>
        </w:tc>
        <w:tc>
          <w:tcPr>
            <w:tcW w:type="dxa" w:w="1000"/>
            <w:tcMar>
              <w:top w:type="dxa" w:w="40"/>
              <w:left w:type="dxa" w:w="80"/>
              <w:bottom w:type="dxa" w:w="40"/>
              <w:right w:type="dxa" w:w="80"/>
            </w:tcMar>
            <w:vAlign w:val="center"/>
          </w:tcPr>
          <w:p>
            <w:pPr>
              <w:spacing w:after="0"/>
              <w:jc w:val="center"/>
            </w:pPr>
            <w:r>
              <w:rPr>
                <w:b w:val="false"/>
                <w:bCs w:val="false"/>
                <w:color w:val="000000"/>
                <w:sz w:val="14"/>
                <w:szCs w:val="14"/>
              </w:rPr>
              <w:t xml:space="preserve">Safe</w:t>
            </w:r>
          </w:p>
        </w:tc>
        <w:tc>
          <w:tcPr>
            <w:tcW w:type="dxa" w:w="13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r>
      <w:tr>
        <w:tc>
          <w:tcPr>
            <w:tcW w:type="dxa" w:w="400"/>
            <w:tcMar>
              <w:top w:type="dxa" w:w="40"/>
              <w:left w:type="dxa" w:w="80"/>
              <w:bottom w:type="dxa" w:w="40"/>
              <w:right w:type="dxa" w:w="80"/>
            </w:tcMar>
            <w:vAlign w:val="center"/>
          </w:tcPr>
          <w:p>
            <w:pPr>
              <w:spacing w:after="0"/>
              <w:jc w:val="left"/>
            </w:pPr>
            <w:r>
              <w:rPr>
                <w:b w:val="false"/>
                <w:bCs w:val="false"/>
                <w:color w:val="000000"/>
                <w:sz w:val="14"/>
                <w:szCs w:val="14"/>
              </w:rPr>
              <w:t xml:space="preserve">23</w:t>
            </w:r>
          </w:p>
        </w:tc>
        <w:tc>
          <w:tcPr>
            <w:tcW w:type="dxa" w:w="650"/>
            <w:tcMar>
              <w:top w:type="dxa" w:w="40"/>
              <w:left w:type="dxa" w:w="80"/>
              <w:bottom w:type="dxa" w:w="40"/>
              <w:right w:type="dxa" w:w="80"/>
            </w:tcMar>
            <w:vAlign w:val="center"/>
          </w:tcPr>
          <w:p>
            <w:pPr>
              <w:spacing w:after="0"/>
              <w:jc w:val="left"/>
            </w:pPr>
            <w:r>
              <w:rPr>
                <w:b w:val="false"/>
                <w:bCs w:val="false"/>
                <w:color w:val="000000"/>
                <w:sz w:val="14"/>
                <w:szCs w:val="14"/>
              </w:rPr>
              <w:t xml:space="preserve">MSFT</w:t>
            </w:r>
          </w:p>
        </w:tc>
        <w:tc>
          <w:tcPr>
            <w:tcW w:type="dxa" w:w="1750"/>
            <w:tcMar>
              <w:top w:type="dxa" w:w="40"/>
              <w:left w:type="dxa" w:w="80"/>
              <w:bottom w:type="dxa" w:w="40"/>
              <w:right w:type="dxa" w:w="80"/>
            </w:tcMar>
            <w:vAlign w:val="center"/>
          </w:tcPr>
          <w:p>
            <w:pPr>
              <w:spacing w:after="0"/>
              <w:jc w:val="left"/>
            </w:pPr>
            <w:r>
              <w:rPr>
                <w:b w:val="false"/>
                <w:bCs w:val="false"/>
                <w:color w:val="000000"/>
                <w:sz w:val="14"/>
                <w:szCs w:val="14"/>
              </w:rPr>
              <w:t xml:space="preserve">Microsoft</w:t>
            </w:r>
          </w:p>
        </w:tc>
        <w:tc>
          <w:tcPr>
            <w:tcW w:type="dxa" w:w="1500"/>
            <w:tcMar>
              <w:top w:type="dxa" w:w="40"/>
              <w:left w:type="dxa" w:w="80"/>
              <w:bottom w:type="dxa" w:w="40"/>
              <w:right w:type="dxa" w:w="80"/>
            </w:tcMar>
            <w:vAlign w:val="center"/>
          </w:tcPr>
          <w:p>
            <w:pPr>
              <w:spacing w:after="0"/>
              <w:jc w:val="left"/>
            </w:pPr>
            <w:r>
              <w:rPr>
                <w:b w:val="false"/>
                <w:bCs w:val="false"/>
                <w:color w:val="000000"/>
                <w:sz w:val="14"/>
                <w:szCs w:val="14"/>
              </w:rPr>
              <w:t xml:space="preserve">Technology</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High-grade</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c>
          <w:tcPr>
            <w:tcW w:type="dxa" w:w="900"/>
            <w:tcMar>
              <w:top w:type="dxa" w:w="40"/>
              <w:left w:type="dxa" w:w="80"/>
              <w:bottom w:type="dxa" w:w="40"/>
              <w:right w:type="dxa" w:w="80"/>
            </w:tcMar>
            <w:vAlign w:val="center"/>
          </w:tcPr>
          <w:p>
            <w:pPr>
              <w:spacing w:after="0"/>
              <w:jc w:val="center"/>
            </w:pPr>
            <w:r>
              <w:rPr>
                <w:b w:val="false"/>
                <w:bCs w:val="false"/>
                <w:color w:val="000000"/>
                <w:sz w:val="14"/>
                <w:szCs w:val="14"/>
              </w:rPr>
              <w:t xml:space="preserve">8.65</w:t>
            </w:r>
          </w:p>
        </w:tc>
        <w:tc>
          <w:tcPr>
            <w:tcW w:type="dxa" w:w="1000"/>
            <w:tcMar>
              <w:top w:type="dxa" w:w="40"/>
              <w:left w:type="dxa" w:w="80"/>
              <w:bottom w:type="dxa" w:w="40"/>
              <w:right w:type="dxa" w:w="80"/>
            </w:tcMar>
            <w:vAlign w:val="center"/>
          </w:tcPr>
          <w:p>
            <w:pPr>
              <w:spacing w:after="0"/>
              <w:jc w:val="center"/>
            </w:pPr>
            <w:r>
              <w:rPr>
                <w:b w:val="false"/>
                <w:bCs w:val="false"/>
                <w:color w:val="000000"/>
                <w:sz w:val="14"/>
                <w:szCs w:val="14"/>
              </w:rPr>
              <w:t xml:space="preserve">Safe</w:t>
            </w:r>
          </w:p>
        </w:tc>
        <w:tc>
          <w:tcPr>
            <w:tcW w:type="dxa" w:w="13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r>
      <w:tr>
        <w:tc>
          <w:tcPr>
            <w:tcW w:type="dxa" w:w="400"/>
            <w:tcMar>
              <w:top w:type="dxa" w:w="40"/>
              <w:left w:type="dxa" w:w="80"/>
              <w:bottom w:type="dxa" w:w="40"/>
              <w:right w:type="dxa" w:w="80"/>
            </w:tcMar>
            <w:vAlign w:val="center"/>
          </w:tcPr>
          <w:p>
            <w:pPr>
              <w:spacing w:after="0"/>
              <w:jc w:val="left"/>
            </w:pPr>
            <w:r>
              <w:rPr>
                <w:b w:val="false"/>
                <w:bCs w:val="false"/>
                <w:color w:val="000000"/>
                <w:sz w:val="14"/>
                <w:szCs w:val="14"/>
              </w:rPr>
              <w:t xml:space="preserve">24</w:t>
            </w:r>
          </w:p>
        </w:tc>
        <w:tc>
          <w:tcPr>
            <w:tcW w:type="dxa" w:w="650"/>
            <w:tcMar>
              <w:top w:type="dxa" w:w="40"/>
              <w:left w:type="dxa" w:w="80"/>
              <w:bottom w:type="dxa" w:w="40"/>
              <w:right w:type="dxa" w:w="80"/>
            </w:tcMar>
            <w:vAlign w:val="center"/>
          </w:tcPr>
          <w:p>
            <w:pPr>
              <w:spacing w:after="0"/>
              <w:jc w:val="left"/>
            </w:pPr>
            <w:r>
              <w:rPr>
                <w:b w:val="false"/>
                <w:bCs w:val="false"/>
                <w:color w:val="000000"/>
                <w:sz w:val="14"/>
                <w:szCs w:val="14"/>
              </w:rPr>
              <w:t xml:space="preserve">KO</w:t>
            </w:r>
          </w:p>
        </w:tc>
        <w:tc>
          <w:tcPr>
            <w:tcW w:type="dxa" w:w="1750"/>
            <w:tcMar>
              <w:top w:type="dxa" w:w="40"/>
              <w:left w:type="dxa" w:w="80"/>
              <w:bottom w:type="dxa" w:w="40"/>
              <w:right w:type="dxa" w:w="80"/>
            </w:tcMar>
            <w:vAlign w:val="center"/>
          </w:tcPr>
          <w:p>
            <w:pPr>
              <w:spacing w:after="0"/>
              <w:jc w:val="left"/>
            </w:pPr>
            <w:r>
              <w:rPr>
                <w:b w:val="false"/>
                <w:bCs w:val="false"/>
                <w:color w:val="000000"/>
                <w:sz w:val="14"/>
                <w:szCs w:val="14"/>
              </w:rPr>
              <w:t xml:space="preserve">Coca-Cola</w:t>
            </w:r>
          </w:p>
        </w:tc>
        <w:tc>
          <w:tcPr>
            <w:tcW w:type="dxa" w:w="1500"/>
            <w:tcMar>
              <w:top w:type="dxa" w:w="40"/>
              <w:left w:type="dxa" w:w="80"/>
              <w:bottom w:type="dxa" w:w="40"/>
              <w:right w:type="dxa" w:w="80"/>
            </w:tcMar>
            <w:vAlign w:val="center"/>
          </w:tcPr>
          <w:p>
            <w:pPr>
              <w:spacing w:after="0"/>
              <w:jc w:val="left"/>
            </w:pPr>
            <w:r>
              <w:rPr>
                <w:b w:val="false"/>
                <w:bCs w:val="false"/>
                <w:color w:val="000000"/>
                <w:sz w:val="14"/>
                <w:szCs w:val="14"/>
              </w:rPr>
              <w:t xml:space="preserve">Cons. Staples</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High-grade</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c>
          <w:tcPr>
            <w:tcW w:type="dxa" w:w="900"/>
            <w:tcMar>
              <w:top w:type="dxa" w:w="40"/>
              <w:left w:type="dxa" w:w="80"/>
              <w:bottom w:type="dxa" w:w="40"/>
              <w:right w:type="dxa" w:w="80"/>
            </w:tcMar>
            <w:vAlign w:val="center"/>
          </w:tcPr>
          <w:p>
            <w:pPr>
              <w:spacing w:after="0"/>
              <w:jc w:val="center"/>
            </w:pPr>
            <w:r>
              <w:rPr>
                <w:b w:val="false"/>
                <w:bCs w:val="false"/>
                <w:color w:val="000000"/>
                <w:sz w:val="14"/>
                <w:szCs w:val="14"/>
              </w:rPr>
              <w:t xml:space="preserve">5.53</w:t>
            </w:r>
          </w:p>
        </w:tc>
        <w:tc>
          <w:tcPr>
            <w:tcW w:type="dxa" w:w="1000"/>
            <w:tcMar>
              <w:top w:type="dxa" w:w="40"/>
              <w:left w:type="dxa" w:w="80"/>
              <w:bottom w:type="dxa" w:w="40"/>
              <w:right w:type="dxa" w:w="80"/>
            </w:tcMar>
            <w:vAlign w:val="center"/>
          </w:tcPr>
          <w:p>
            <w:pPr>
              <w:spacing w:after="0"/>
              <w:jc w:val="center"/>
            </w:pPr>
            <w:r>
              <w:rPr>
                <w:b w:val="false"/>
                <w:bCs w:val="false"/>
                <w:color w:val="000000"/>
                <w:sz w:val="14"/>
                <w:szCs w:val="14"/>
              </w:rPr>
              <w:t xml:space="preserve">Safe</w:t>
            </w:r>
          </w:p>
        </w:tc>
        <w:tc>
          <w:tcPr>
            <w:tcW w:type="dxa" w:w="13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r>
      <w:tr>
        <w:tc>
          <w:tcPr>
            <w:tcW w:type="dxa" w:w="400"/>
            <w:tcMar>
              <w:top w:type="dxa" w:w="40"/>
              <w:left w:type="dxa" w:w="80"/>
              <w:bottom w:type="dxa" w:w="40"/>
              <w:right w:type="dxa" w:w="80"/>
            </w:tcMar>
            <w:vAlign w:val="center"/>
          </w:tcPr>
          <w:p>
            <w:pPr>
              <w:spacing w:after="0"/>
              <w:jc w:val="left"/>
            </w:pPr>
            <w:r>
              <w:rPr>
                <w:b w:val="false"/>
                <w:bCs w:val="false"/>
                <w:color w:val="000000"/>
                <w:sz w:val="14"/>
                <w:szCs w:val="14"/>
              </w:rPr>
              <w:t xml:space="preserve">25</w:t>
            </w:r>
          </w:p>
        </w:tc>
        <w:tc>
          <w:tcPr>
            <w:tcW w:type="dxa" w:w="650"/>
            <w:tcMar>
              <w:top w:type="dxa" w:w="40"/>
              <w:left w:type="dxa" w:w="80"/>
              <w:bottom w:type="dxa" w:w="40"/>
              <w:right w:type="dxa" w:w="80"/>
            </w:tcMar>
            <w:vAlign w:val="center"/>
          </w:tcPr>
          <w:p>
            <w:pPr>
              <w:spacing w:after="0"/>
              <w:jc w:val="left"/>
            </w:pPr>
            <w:r>
              <w:rPr>
                <w:b w:val="false"/>
                <w:bCs w:val="false"/>
                <w:color w:val="000000"/>
                <w:sz w:val="14"/>
                <w:szCs w:val="14"/>
              </w:rPr>
              <w:t xml:space="preserve">AAPL</w:t>
            </w:r>
          </w:p>
        </w:tc>
        <w:tc>
          <w:tcPr>
            <w:tcW w:type="dxa" w:w="1750"/>
            <w:tcMar>
              <w:top w:type="dxa" w:w="40"/>
              <w:left w:type="dxa" w:w="80"/>
              <w:bottom w:type="dxa" w:w="40"/>
              <w:right w:type="dxa" w:w="80"/>
            </w:tcMar>
            <w:vAlign w:val="center"/>
          </w:tcPr>
          <w:p>
            <w:pPr>
              <w:spacing w:after="0"/>
              <w:jc w:val="left"/>
            </w:pPr>
            <w:r>
              <w:rPr>
                <w:b w:val="false"/>
                <w:bCs w:val="false"/>
                <w:color w:val="000000"/>
                <w:sz w:val="14"/>
                <w:szCs w:val="14"/>
              </w:rPr>
              <w:t xml:space="preserve">Apple</w:t>
            </w:r>
          </w:p>
        </w:tc>
        <w:tc>
          <w:tcPr>
            <w:tcW w:type="dxa" w:w="1500"/>
            <w:tcMar>
              <w:top w:type="dxa" w:w="40"/>
              <w:left w:type="dxa" w:w="80"/>
              <w:bottom w:type="dxa" w:w="40"/>
              <w:right w:type="dxa" w:w="80"/>
            </w:tcMar>
            <w:vAlign w:val="center"/>
          </w:tcPr>
          <w:p>
            <w:pPr>
              <w:spacing w:after="0"/>
              <w:jc w:val="left"/>
            </w:pPr>
            <w:r>
              <w:rPr>
                <w:b w:val="false"/>
                <w:bCs w:val="false"/>
                <w:color w:val="000000"/>
                <w:sz w:val="14"/>
                <w:szCs w:val="14"/>
              </w:rPr>
              <w:t xml:space="preserve">Technology</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High-grade</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c>
          <w:tcPr>
            <w:tcW w:type="dxa" w:w="900"/>
            <w:tcMar>
              <w:top w:type="dxa" w:w="40"/>
              <w:left w:type="dxa" w:w="80"/>
              <w:bottom w:type="dxa" w:w="40"/>
              <w:right w:type="dxa" w:w="80"/>
            </w:tcMar>
            <w:vAlign w:val="center"/>
          </w:tcPr>
          <w:p>
            <w:pPr>
              <w:spacing w:after="0"/>
              <w:jc w:val="center"/>
            </w:pPr>
            <w:r>
              <w:rPr>
                <w:b w:val="false"/>
                <w:bCs w:val="false"/>
                <w:color w:val="000000"/>
                <w:sz w:val="14"/>
                <w:szCs w:val="14"/>
              </w:rPr>
              <w:t xml:space="preserve">11.75</w:t>
            </w:r>
          </w:p>
        </w:tc>
        <w:tc>
          <w:tcPr>
            <w:tcW w:type="dxa" w:w="1000"/>
            <w:tcMar>
              <w:top w:type="dxa" w:w="40"/>
              <w:left w:type="dxa" w:w="80"/>
              <w:bottom w:type="dxa" w:w="40"/>
              <w:right w:type="dxa" w:w="80"/>
            </w:tcMar>
            <w:vAlign w:val="center"/>
          </w:tcPr>
          <w:p>
            <w:pPr>
              <w:spacing w:after="0"/>
              <w:jc w:val="center"/>
            </w:pPr>
            <w:r>
              <w:rPr>
                <w:b w:val="false"/>
                <w:bCs w:val="false"/>
                <w:color w:val="000000"/>
                <w:sz w:val="14"/>
                <w:szCs w:val="14"/>
              </w:rPr>
              <w:t xml:space="preserve">Safe</w:t>
            </w:r>
          </w:p>
        </w:tc>
        <w:tc>
          <w:tcPr>
            <w:tcW w:type="dxa" w:w="13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r>
      <w:tr>
        <w:tc>
          <w:tcPr>
            <w:tcW w:type="dxa" w:w="400"/>
            <w:tcMar>
              <w:top w:type="dxa" w:w="40"/>
              <w:left w:type="dxa" w:w="80"/>
              <w:bottom w:type="dxa" w:w="40"/>
              <w:right w:type="dxa" w:w="80"/>
            </w:tcMar>
            <w:vAlign w:val="center"/>
          </w:tcPr>
          <w:p>
            <w:pPr>
              <w:spacing w:after="0"/>
              <w:jc w:val="left"/>
            </w:pPr>
            <w:r>
              <w:rPr>
                <w:b w:val="false"/>
                <w:bCs w:val="false"/>
                <w:color w:val="000000"/>
                <w:sz w:val="14"/>
                <w:szCs w:val="14"/>
              </w:rPr>
              <w:t xml:space="preserve">26</w:t>
            </w:r>
          </w:p>
        </w:tc>
        <w:tc>
          <w:tcPr>
            <w:tcW w:type="dxa" w:w="650"/>
            <w:tcMar>
              <w:top w:type="dxa" w:w="40"/>
              <w:left w:type="dxa" w:w="80"/>
              <w:bottom w:type="dxa" w:w="40"/>
              <w:right w:type="dxa" w:w="80"/>
            </w:tcMar>
            <w:vAlign w:val="center"/>
          </w:tcPr>
          <w:p>
            <w:pPr>
              <w:spacing w:after="0"/>
              <w:jc w:val="left"/>
            </w:pPr>
            <w:r>
              <w:rPr>
                <w:b w:val="false"/>
                <w:bCs w:val="false"/>
                <w:color w:val="000000"/>
                <w:sz w:val="14"/>
                <w:szCs w:val="14"/>
              </w:rPr>
              <w:t xml:space="preserve">JNJ</w:t>
            </w:r>
          </w:p>
        </w:tc>
        <w:tc>
          <w:tcPr>
            <w:tcW w:type="dxa" w:w="1750"/>
            <w:tcMar>
              <w:top w:type="dxa" w:w="40"/>
              <w:left w:type="dxa" w:w="80"/>
              <w:bottom w:type="dxa" w:w="40"/>
              <w:right w:type="dxa" w:w="80"/>
            </w:tcMar>
            <w:vAlign w:val="center"/>
          </w:tcPr>
          <w:p>
            <w:pPr>
              <w:spacing w:after="0"/>
              <w:jc w:val="left"/>
            </w:pPr>
            <w:r>
              <w:rPr>
                <w:b w:val="false"/>
                <w:bCs w:val="false"/>
                <w:color w:val="000000"/>
                <w:sz w:val="14"/>
                <w:szCs w:val="14"/>
              </w:rPr>
              <w:t xml:space="preserve">Johnson &amp; Johnson</w:t>
            </w:r>
          </w:p>
        </w:tc>
        <w:tc>
          <w:tcPr>
            <w:tcW w:type="dxa" w:w="1500"/>
            <w:tcMar>
              <w:top w:type="dxa" w:w="40"/>
              <w:left w:type="dxa" w:w="80"/>
              <w:bottom w:type="dxa" w:w="40"/>
              <w:right w:type="dxa" w:w="80"/>
            </w:tcMar>
            <w:vAlign w:val="center"/>
          </w:tcPr>
          <w:p>
            <w:pPr>
              <w:spacing w:after="0"/>
              <w:jc w:val="left"/>
            </w:pPr>
            <w:r>
              <w:rPr>
                <w:b w:val="false"/>
                <w:bCs w:val="false"/>
                <w:color w:val="000000"/>
                <w:sz w:val="14"/>
                <w:szCs w:val="14"/>
              </w:rPr>
              <w:t xml:space="preserve">Healthcare</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High-grade</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c>
          <w:tcPr>
            <w:tcW w:type="dxa" w:w="11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c>
          <w:tcPr>
            <w:tcW w:type="dxa" w:w="900"/>
            <w:tcMar>
              <w:top w:type="dxa" w:w="40"/>
              <w:left w:type="dxa" w:w="80"/>
              <w:bottom w:type="dxa" w:w="40"/>
              <w:right w:type="dxa" w:w="80"/>
            </w:tcMar>
            <w:vAlign w:val="center"/>
          </w:tcPr>
          <w:p>
            <w:pPr>
              <w:spacing w:after="0"/>
              <w:jc w:val="center"/>
            </w:pPr>
            <w:r>
              <w:rPr>
                <w:b w:val="false"/>
                <w:bCs w:val="false"/>
                <w:color w:val="000000"/>
                <w:sz w:val="14"/>
                <w:szCs w:val="14"/>
              </w:rPr>
              <w:t xml:space="preserve">5.50</w:t>
            </w:r>
          </w:p>
        </w:tc>
        <w:tc>
          <w:tcPr>
            <w:tcW w:type="dxa" w:w="1000"/>
            <w:tcMar>
              <w:top w:type="dxa" w:w="40"/>
              <w:left w:type="dxa" w:w="80"/>
              <w:bottom w:type="dxa" w:w="40"/>
              <w:right w:type="dxa" w:w="80"/>
            </w:tcMar>
            <w:vAlign w:val="center"/>
          </w:tcPr>
          <w:p>
            <w:pPr>
              <w:spacing w:after="0"/>
              <w:jc w:val="center"/>
            </w:pPr>
            <w:r>
              <w:rPr>
                <w:b w:val="false"/>
                <w:bCs w:val="false"/>
                <w:color w:val="000000"/>
                <w:sz w:val="14"/>
                <w:szCs w:val="14"/>
              </w:rPr>
              <w:t xml:space="preserve">Safe</w:t>
            </w:r>
          </w:p>
        </w:tc>
        <w:tc>
          <w:tcPr>
            <w:tcW w:type="dxa" w:w="1350"/>
            <w:tcMar>
              <w:top w:type="dxa" w:w="40"/>
              <w:left w:type="dxa" w:w="80"/>
              <w:bottom w:type="dxa" w:w="40"/>
              <w:right w:type="dxa" w:w="80"/>
            </w:tcMar>
            <w:vAlign w:val="center"/>
          </w:tcPr>
          <w:p>
            <w:pPr>
              <w:spacing w:after="0"/>
              <w:jc w:val="center"/>
            </w:pPr>
            <w:r>
              <w:rPr>
                <w:b w:val="false"/>
                <w:bCs w:val="false"/>
                <w:color w:val="000000"/>
                <w:sz w:val="14"/>
                <w:szCs w:val="14"/>
              </w:rPr>
              <w:t xml:space="preserve">~0%</w:t>
            </w:r>
          </w:p>
        </w:tc>
      </w:tr>
    </w:tbl>
    <w:p>
      <w:pPr>
        <w:spacing w:after="240"/>
        <w:jc w:val="center"/>
      </w:pPr>
      <w:r>
        <w:rPr>
          <w:i/>
          <w:iCs/>
          <w:color w:val="555555"/>
          <w:sz w:val="18"/>
          <w:szCs w:val="18"/>
        </w:rPr>
        <w:t xml:space="preserve">PD columns show Merton implied 1-year PD under both default-point conventions, plus implied PD under the severely-adverse stress scenario. "~0%" denotes PD below 0.01% (values are non-zero but not meaningfully distinguishable from zero at this precision for memo purposes; see data/processed/master_risk_table.csv for full-precision figures).</w:t>
      </w:r>
    </w:p>
    <w:sectPr>
      <w:headerReference w:type="default" r:id="rId7"/>
      <w:footerReference w:type="default" r:id="rId8"/>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88888"/>
        <w:sz w:val="16"/>
        <w:szCs w:val="16"/>
      </w:rPr>
      <w:t xml:space="preserve">CONFIDENTIAL — CREDIT RISK COMMITTEE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40" w:before="280"/>
    </w:pPr>
    <w:rPr>
      <w:b/>
      <w:bCs/>
      <w:color w:val="1F1F1F"/>
      <w:sz w:val="30"/>
      <w:szCs w:val="30"/>
    </w:rPr>
  </w:style>
  <w:style w:type="paragraph" w:styleId="Heading2">
    <w:name w:val="Heading 2"/>
    <w:basedOn w:val="Normal"/>
    <w:next w:val="Normal"/>
    <w:pPr>
      <w:spacing w:after="100" w:before="220"/>
    </w:pPr>
    <w:rPr>
      <w:b/>
      <w:bCs/>
      <w:color w:val="8B0000"/>
      <w:sz w:val="25"/>
      <w:szCs w:val="25"/>
    </w:rPr>
  </w:style>
  <w:style w:type="paragraph" w:styleId="Heading3">
    <w:name w:val="Heading 3"/>
    <w:basedOn w:val="Normal"/>
    <w:next w:val="Normal"/>
    <w:pPr>
      <w:spacing w:after="80" w:before="160"/>
    </w:pPr>
    <w:rPr>
      <w:b/>
      <w:b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cd15d5f41e9ee56b3e807ed3fd676dc0f621333.png"/><Relationship Id="rId10" Type="http://schemas.openxmlformats.org/officeDocument/2006/relationships/image" Target="media/35c99b6f5427dc60b15a9dabee6a549944c47cc1.png"/><Relationship Id="rId11" Type="http://schemas.openxmlformats.org/officeDocument/2006/relationships/image" Target="media/14bb403dceda1942d9798f011d1c5980ff6b47bf.png"/><Relationship Id="rId12" Type="http://schemas.openxmlformats.org/officeDocument/2006/relationships/image" Target="media/f1d0c8fb171eac9736841115f883f0cc91f68fe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2026-08-26T09:19:33.100Z</dcterms:created>
  <dcterms:modified xsi:type="dcterms:W3CDTF">2026-08-26T09:19:33.115Z</dcterms:modified>
</cp:coreProperties>
</file>

<file path=docProps/custom.xml><?xml version="1.0" encoding="utf-8"?>
<Properties xmlns="http://schemas.openxmlformats.org/officeDocument/2006/custom-properties" xmlns:vt="http://schemas.openxmlformats.org/officeDocument/2006/docPropsVTypes"/>
</file>