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Bdr>
          <w:bottom w:val="single" w:sz="30" w:space="0" w:color="000000"/>
        </w:pBdr>
      </w:pPr>
    </w:p>
    <w:p>
      <w:pPr>
        <w:spacing w:before="80" w:after="160" w:line="276" w:lineRule="auto"/>
        <w:jc w:val="center"/>
      </w:pPr>
      <w:r>
        <w:rPr>
          <w:rFonts w:ascii="Times New Roman" w:hAnsi="Times New Roman"/>
          <w:b/>
          <w:color w:val="000000"/>
          <w:sz w:val="33"/>
        </w:rPr>
        <w:t>OrbitReady: A Source-Linked Pre-Review Copilot for Spacecraft Debris-Mitigation Evidence</w:t>
      </w:r>
    </w:p>
    <w:p>
      <w:pPr>
        <w:spacing w:before="0" w:after="240"/>
        <w:pBdr>
          <w:top w:val="single" w:sz="8" w:space="0" w:color="000000"/>
        </w:pBdr>
      </w:pPr>
    </w:p>
    <w:p>
      <w:pPr>
        <w:spacing w:before="0" w:after="40"/>
        <w:jc w:val="center"/>
      </w:pPr>
      <w:r>
        <w:rPr>
          <w:rFonts w:ascii="Times New Roman" w:hAnsi="Times New Roman"/>
          <w:b/>
          <w:sz w:val="19"/>
        </w:rPr>
        <w:t>Narayan Kumar Jha</w:t>
      </w:r>
      <w:r>
        <w:rPr>
          <w:rFonts w:ascii="Times New Roman" w:hAnsi="Times New Roman"/>
          <w:sz w:val="16"/>
          <w:vertAlign w:val="superscript"/>
        </w:rPr>
        <w:t>1</w:t>
      </w:r>
      <w:r>
        <w:t xml:space="preserve">, </w:t>
      </w:r>
      <w:r>
        <w:rPr>
          <w:rFonts w:ascii="Times New Roman" w:hAnsi="Times New Roman"/>
          <w:b/>
          <w:sz w:val="19"/>
        </w:rPr>
        <w:t>Aditya Kumar Sharma</w:t>
      </w:r>
      <w:r>
        <w:rPr>
          <w:rFonts w:ascii="Times New Roman" w:hAnsi="Times New Roman"/>
          <w:sz w:val="16"/>
          <w:vertAlign w:val="superscript"/>
        </w:rPr>
        <w:t>2</w:t>
      </w:r>
      <w:r>
        <w:t xml:space="preserve">, </w:t>
      </w:r>
      <w:r>
        <w:rPr>
          <w:rFonts w:ascii="Times New Roman" w:hAnsi="Times New Roman"/>
          <w:b/>
          <w:sz w:val="19"/>
        </w:rPr>
        <w:t>Roshan Kumar Singh</w:t>
      </w:r>
      <w:r>
        <w:rPr>
          <w:rFonts w:ascii="Times New Roman" w:hAnsi="Times New Roman"/>
          <w:sz w:val="16"/>
          <w:vertAlign w:val="superscript"/>
        </w:rPr>
        <w:t>3</w:t>
      </w:r>
    </w:p>
    <w:p>
      <w:pPr>
        <w:spacing w:before="0" w:after="40"/>
        <w:jc w:val="center"/>
      </w:pPr>
      <w:r>
        <w:rPr>
          <w:rFonts w:ascii="Times New Roman" w:hAnsi="Times New Roman"/>
          <w:color w:val="000000"/>
          <w:sz w:val="18"/>
        </w:rPr>
        <w:t>1TwinForge Builder · Core AI/ML      2TwinForge Builder · Flight Dynamics      3TwinForge Builder · Systems Architecture</w:t>
      </w:r>
    </w:p>
    <w:p>
      <w:pPr>
        <w:spacing w:before="0" w:after="40"/>
        <w:jc w:val="center"/>
      </w:pPr>
      <w:r>
        <w:rPr>
          <w:rFonts w:ascii="Times New Roman" w:hAnsi="Times New Roman"/>
          <w:color w:val="2D3748"/>
          <w:sz w:val="17"/>
        </w:rPr>
        <w:t>Team TwinForge (Team of 3) · Selected Wave 3 Finalist (Project ID: 4afc0da9-895d-4727-befa-772166bd5dd9)</w:t>
        <w:br/>
        <w:t>Indian Institute of Technology (IIT) Guwahati · 24–25 October 2026</w:t>
        <w:br/>
      </w:r>
      <w:r>
        <w:rPr>
          <w:rFonts w:ascii="Courier New" w:hAnsi="Courier New"/>
          <w:color w:val="1A365D"/>
          <w:sz w:val="17"/>
          <w:u w:val="single"/>
        </w:rPr>
        <w:t>https://hackyard.org/build2026/result</w:t>
      </w:r>
    </w:p>
    <w:p>
      <w:pPr>
        <w:keepNext/>
        <w:spacing w:before="200" w:after="100"/>
        <w:jc w:val="center"/>
      </w:pPr>
      <w:r>
        <w:rPr>
          <w:rFonts w:ascii="Times New Roman" w:hAnsi="Times New Roman"/>
          <w:b/>
          <w:color w:val="000000"/>
          <w:sz w:val="22"/>
        </w:rPr>
        <w:t>Abstract</w:t>
      </w:r>
    </w:p>
    <w:p>
      <w:pPr>
        <w:spacing w:before="0" w:after="240" w:line="269" w:lineRule="auto"/>
        <w:ind w:left="720" w:right="720"/>
        <w:jc w:val="both"/>
      </w:pPr>
      <w:r>
        <w:rPr>
          <w:rFonts w:ascii="Times New Roman" w:hAnsi="Times New Roman"/>
          <w:sz w:val="18"/>
        </w:rPr>
        <w:t>Small-spacecraft teams must assemble mission parameters, disposal evidence, passivation evidence, and jurisdiction-specific guidance before expert or regulatory review. These facts are often distributed across mechanical drawings, propulsion data sheets, and spreadsheets. We present OrbitReady (incorporating the OrbitScore evidence-prioritization heuristics), a prototype source-linked pre-review copilot that extracts or accepts mission facts, applies versioned deterministic rule fixtures, identifies missing evidence, compares a controlled counterfactual, and exports a cited review packet. The prototype separates document assistance from rule evaluation and requires qualified human review for critical findings. Demonstrations use labeled synthetic mission profiles and public guidance. OrbitReady is not an official regulator, certification tool, orbital collision-prediction system, operator-facing conjunction-alert service, or replacement for NASA Debris Assessment Software (DAS). The prototype’s readiness index is an engineering prioritization heuristic, not an empirical safety probability.</w:t>
      </w:r>
    </w:p>
    <w:p>
      <w:pPr>
        <w:keepNext/>
        <w:spacing w:before="280" w:after="80"/>
        <w:jc w:val="left"/>
      </w:pPr>
      <w:r>
        <w:rPr>
          <w:rFonts w:ascii="Times New Roman" w:hAnsi="Times New Roman"/>
          <w:b/>
          <w:color w:val="000000"/>
          <w:sz w:val="23"/>
        </w:rPr>
        <w:t>1  Introduction &amp; The Orbital Congestion Challenge</w:t>
      </w:r>
    </w:p>
    <w:p>
      <w:pPr>
        <w:spacing w:before="0" w:after="60" w:line="264" w:lineRule="auto"/>
        <w:jc w:val="both"/>
      </w:pPr>
      <w:r>
        <w:rPr>
          <w:rFonts w:ascii="Times New Roman" w:hAnsi="Times New Roman"/>
          <w:color w:val="000000"/>
          <w:sz w:val="19"/>
        </w:rPr>
        <w:t>The operational environment of Low Earth Orbit (LEO, defined as the orbital shell below 2,000 km altitude) is experiencing an unprecedented structural transformation. Over the past five years, the operational satellite population has increased substantially, driven primarily by commercial constellations deployed in dense orbital shells between 500 km and 1,200 km. Concurrently, the tracked catalog maintained by the U.S. Space Force 18th Space Defense Squadron (18 SDS) encompasses over 36,000 debris objects larger than 10 cm, while statistical models developed by NASA and the European Space Agency (ESA) estimate a large background population of untracked fragments that pose impact hazards to operational space systems.</w:t>
      </w:r>
    </w:p>
    <w:p>
      <w:pPr>
        <w:spacing w:before="0" w:after="60" w:line="264" w:lineRule="auto"/>
        <w:ind w:firstLine="360"/>
        <w:jc w:val="both"/>
      </w:pPr>
      <w:r>
        <w:rPr>
          <w:rFonts w:ascii="Times New Roman" w:hAnsi="Times New Roman"/>
          <w:color w:val="000000"/>
          <w:sz w:val="19"/>
        </w:rPr>
        <w:t>The theoretical foundation of orbital runaway collision cascades was first formalized by Kessler and Cour-Palais (1978), demonstrating that as the spatial density of satellites increases, random hypervelocity mutual collisions generate fragments at a rate exceeding atmospheric drag removal, eventually creating an exponential, self-sustaining debris belt [1]. In a subsequent treatise, Kessler (1991) investigated collisional cascading and population growth limits in LEO, showing that dense altitude bands face critical long-term population thresholds [2]. Modern empirical modeling by Liou and Johnson (2006) utilized NASA’s LEGEND evolutionary model to examine long-term debris-environment risk and evaluate the modeled effectiveness of various mitigation scenarios [3].</w:t>
      </w:r>
    </w:p>
    <w:p>
      <w:pPr>
        <w:spacing w:before="0" w:after="60" w:line="264" w:lineRule="auto"/>
        <w:ind w:firstLine="360"/>
        <w:jc w:val="both"/>
      </w:pPr>
      <w:r>
        <w:rPr>
          <w:rFonts w:ascii="Times New Roman" w:hAnsi="Times New Roman"/>
          <w:color w:val="000000"/>
          <w:sz w:val="19"/>
        </w:rPr>
        <w:t>To address near-Earth orbital sustainability, international regulatory bodies and space agencies publish distinct debris mitigation rules and guidance. Most notably, the U.S. Federal Communications Commission (FCC) adopted Report and Order 22-74 in September 2022, legally mandating that space stations ending their mission in or passing through LEO below 2,000 km must complete disposal via atmospheric reentry within five years when planning uncontrolled atmospheric disposal, within the FCC's licensing and U.S. market-access scope [4]. In parallel, NASA NPR 8715.6E and NASA Technical Standard NASA-STD-8719.14C specify program and project requirements for NASA missions, including accidental explosion passivation (Req 4.4-2), collision with large objects (Req 4.5-1: P_coll &lt; 0.001), post-mission disposal reliability (Req 4.6-4: P_pmd &gt;= 0.90), and uncontrolled atmospheric reentry human casualty risk (Req 4.7-1: E_c &lt; 10^-4, alongside a 15 J kinetic energy threshold for potentially hazardous debris fragments) [5, 6]. Across Europe, ESA’s Space Debris Mitigation Requirements (ESSB-ST-U-007) and ISO 24113:2023 define project and consensus standards, while ISRO’s initiative document outlines India’s 2030 sustainability pledge [7, 8, 39].</w:t>
      </w:r>
    </w:p>
    <w:p>
      <w:pPr>
        <w:spacing w:before="0" w:after="60" w:line="264" w:lineRule="auto"/>
        <w:ind w:firstLine="360"/>
        <w:jc w:val="both"/>
      </w:pPr>
      <w:r>
        <w:rPr>
          <w:rFonts w:ascii="Times New Roman" w:hAnsi="Times New Roman"/>
          <w:color w:val="000000"/>
          <w:sz w:val="19"/>
        </w:rPr>
        <w:t>Core Principle &amp; Safety Boundary: OrbitReady is a source-linked pre-review and evidence-prioritization prototype. It is not an official certification authority, regulatory body, NASA DAS replacement, orbital collision prediction system, or operational conjunction alert tool. It is designed solely as an engineering pre-screening assistant.</w:t>
      </w:r>
    </w:p>
    <w:p>
      <w:pPr>
        <w:keepNext/>
        <w:spacing w:before="280" w:after="80"/>
        <w:jc w:val="left"/>
      </w:pPr>
      <w:r>
        <w:rPr>
          <w:rFonts w:ascii="Times New Roman" w:hAnsi="Times New Roman"/>
          <w:b/>
          <w:color w:val="000000"/>
          <w:sz w:val="23"/>
        </w:rPr>
        <w:t>2  Problem Archaeology: The Operator Bottleneck</w:t>
      </w:r>
    </w:p>
    <w:p>
      <w:pPr>
        <w:spacing w:before="0" w:after="60" w:line="264" w:lineRule="auto"/>
        <w:jc w:val="both"/>
      </w:pPr>
      <w:r>
        <w:rPr>
          <w:rFonts w:ascii="Times New Roman" w:hAnsi="Times New Roman"/>
          <w:color w:val="000000"/>
          <w:sz w:val="19"/>
        </w:rPr>
        <w:t>While global space agencies and well-funded constellation prime contractors maintain dedicated departments for regulatory affairs and orbital safety, emerging small satellite operators, commercial NewSpace startups, and university CubeSat teams face an acute pre-review bottleneck. These operators represent a rapidly growing segment of LEO launches, yet they are structurally ill-equipped to navigate complex, multi-jurisdictional compliance evidence workflows.</w:t>
      </w:r>
    </w:p>
    <w:p>
      <w:pPr>
        <w:keepNext/>
        <w:spacing w:before="200" w:after="60"/>
        <w:jc w:val="left"/>
      </w:pPr>
      <w:r>
        <w:rPr>
          <w:rFonts w:ascii="Times New Roman" w:hAnsi="Times New Roman"/>
          <w:b/>
          <w:color w:val="000000"/>
          <w:sz w:val="20"/>
        </w:rPr>
        <w:t>2.1  Current Workflow &amp; Tooling Fragmentation</w:t>
      </w:r>
    </w:p>
    <w:p>
      <w:pPr>
        <w:spacing w:before="0" w:after="60" w:line="264" w:lineRule="auto"/>
        <w:jc w:val="both"/>
      </w:pPr>
      <w:r>
        <w:rPr>
          <w:rFonts w:ascii="Times New Roman" w:hAnsi="Times New Roman"/>
          <w:color w:val="000000"/>
          <w:sz w:val="19"/>
        </w:rPr>
        <w:t>Today, preparing an Orbital Debris Assessment Report (ODAR) or an End-of-Mission Plan (EOMP) requires operators to manually extract parameters from mechanical CAD drawings, propulsion data sheets, and orbital ephemerides, manually inputting these values into desktop software tools such as NASA’s Debris Assessment Software (DAS 3.2) or ESA’s Debris Risk Assessment and Mitigation Analysis (DRAMA 3.0) [9, 10]. Both tools serve as specialized desktop calculation suites rather than modern API-integrated CI/CD pre-screening assistants. Meanwhile, commercial SSA platforms focus on live on-orbit tracking and space traffic management rather than pre-licensing evidence assembly [11, 12].</w:t>
      </w:r>
    </w:p>
    <w:p>
      <w:pPr>
        <w:keepNext/>
        <w:spacing w:before="200" w:after="60"/>
        <w:jc w:val="left"/>
      </w:pPr>
      <w:r>
        <w:rPr>
          <w:rFonts w:ascii="Times New Roman" w:hAnsi="Times New Roman"/>
          <w:b/>
          <w:color w:val="000000"/>
          <w:sz w:val="20"/>
        </w:rPr>
        <w:t>2.2  Anatomy of Pre-Review Evidence Gaps</w:t>
      </w:r>
    </w:p>
    <w:p>
      <w:pPr>
        <w:spacing w:before="0" w:after="60" w:line="264" w:lineRule="auto"/>
        <w:jc w:val="both"/>
      </w:pPr>
      <w:r>
        <w:rPr>
          <w:rFonts w:ascii="Times New Roman" w:hAnsi="Times New Roman"/>
          <w:color w:val="000000"/>
          <w:sz w:val="19"/>
        </w:rPr>
        <w:t>Our field review of small satellite licensing filings identifies four recurrent evidence gaps: (1) Lifetime Calculation Ambiguities, where inaccurate ballistic coefficient assumptions lead to post-mission lifetimes exceeding statutory targets; (2) Passivation Deficits, failing to document depletion, venting, or isolation plans that prevent qualifying debris-producing explosions under NASA Req 4.4-2 [13, 14]; (3) Conjunction Screening Gaps in crowded orbital regimes; and (4) Reentry Casualty Area Uncertainty, neglecting aerothermal demise analysis for high-melting-point materials that survive atmospheric reentry.</w:t>
      </w:r>
    </w:p>
    <w:p>
      <w:pPr>
        <w:keepNext/>
        <w:spacing w:before="280" w:after="80"/>
        <w:jc w:val="left"/>
      </w:pPr>
      <w:r>
        <w:rPr>
          <w:rFonts w:ascii="Times New Roman" w:hAnsi="Times New Roman"/>
          <w:b/>
          <w:color w:val="000000"/>
          <w:sz w:val="23"/>
        </w:rPr>
        <w:t>3  Statutory Guidance &amp; Standards Synthesis</w:t>
      </w:r>
    </w:p>
    <w:p>
      <w:pPr>
        <w:spacing w:before="0" w:after="60" w:line="264" w:lineRule="auto"/>
        <w:jc w:val="both"/>
      </w:pPr>
      <w:r>
        <w:rPr>
          <w:rFonts w:ascii="Times New Roman" w:hAnsi="Times New Roman"/>
          <w:color w:val="000000"/>
          <w:sz w:val="19"/>
        </w:rPr>
        <w:t>To ensure technical precision and prevent jurisdictional overreach, OrbitReady synthesizes primary debris-mitigation standards into versioned rule profiles. Table 1 summarizes the primary statutory mandates and explicit engineering limits referenced within the OrbitReady evaluation fixtures.</w:t>
      </w:r>
    </w:p>
    <w:p>
      <w:pPr>
        <w:keepNext/>
        <w:spacing w:before="160" w:after="60"/>
        <w:jc w:val="left"/>
      </w:pPr>
      <w:r>
        <w:rPr>
          <w:rFonts w:ascii="Times New Roman" w:hAnsi="Times New Roman"/>
          <w:color w:val="000000"/>
          <w:sz w:val="17"/>
        </w:rPr>
        <w:t>Table 1: Debris mitigation statutory standards, agency requirements, and voluntary guidance referenced by OrbitReady.</w:t>
      </w:r>
    </w:p>
    <w:tbl>
      <w:tblPr>
        <w:tblW w:type="auto" w:w="0"/>
        <w:jc w:val="center"/>
        <w:tblLayout w:type="fixed"/>
        <w:tblLook w:firstColumn="1" w:firstRow="1" w:lastColumn="0" w:lastRow="0" w:noHBand="0" w:noVBand="1" w:val="04A0"/>
        <w:tblBorders>
          <w:top w:val="single" w:sz="10" w:space="0" w:color="000000"/>
          <w:left w:val="none"/>
          <w:bottom w:val="single" w:sz="10" w:space="0" w:color="000000"/>
          <w:right w:val="none"/>
          <w:insideH w:val="none"/>
          <w:insideV w:val="none"/>
        </w:tblBorders>
      </w:tblPr>
      <w:tblGrid>
        <w:gridCol w:w="3960"/>
        <w:gridCol w:w="3960"/>
      </w:tblGrid>
      <w:tr>
        <w:tc>
          <w:tcPr>
            <w:tcW w:type="dxa" w:w="3024"/>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Authority &amp; Standard</w:t>
            </w:r>
          </w:p>
        </w:tc>
        <w:tc>
          <w:tcPr>
            <w:tcW w:type="dxa" w:w="4896"/>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Specific Scope &amp; Quantitative Engineering Threshold</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FCC R&amp;O 22-74 (2022)</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5-Year disposal rule for LEO satellites (&lt;2,000 km) planning uncontrolled atmospheric reentry; FCC licensing &amp; U.S. market access scope.</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NASA-STD-8719.14C Req 4.3</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Debris released during normal operations: Object-time product &lt; 100 object-years for fragments &gt; 1 mm in LEO.</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NASA-STD-8719.14C Req 4.4-2</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Accidental explosion: Design &amp; plan to deplete, disconnect, or control stored energy to prevent qualifying debris-producing explosion.</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NASA-STD-8719.14C Req 4.5-1</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NASA project requirement: Probability &lt; 0.001 for accidental collision with space objects &gt; 10 cm over mission orbital lifetime.</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NASA-STD-8719.14C Req 4.6-4</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Post-mission disposal reliability: Probability of successful post-mission disposal &gt;= 0.90 at end of mission.</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NASA-STD-8719.14C Req 4.7-1</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Human casualty risk: E_c &lt; 10^-4 (1:10,000) for uncontrolled atmospheric entry; 15 J kinetic energy hazard threshold.</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ISO 24113:2023</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International voluntary consensus standard: Space systems debris mitigation requirements and conditional disposal targets.</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ESA ESSB-ST-U-007 (2023)</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ESA space debris mitigation requirements for ESA projects; distinct from the voluntary Zero Debris Charter 2030 pledge.</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U.S. Gov. ODMSP (2019)</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U.S. Government Orbital Debris Mitigation Standard Practices; non-binding federal baseline guidance.</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FAA Part 450 (2023 NPRM)</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Notice of Proposed Rulemaking (RIN 2120-AK81): Proposed launch stage disposal requirements; draft regulatory status.</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ISRO DFSM (2024)</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India’s Intent on Debris-Free Space Missions — Explained: Institutional initiative and forward-looking sustainability pledge.</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NIST AI 100-1 (AI RMF)</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Trustworthy AI Risk Management Framework: Guidelines for explainability, data integrity, and human governance.</w:t>
            </w:r>
          </w:p>
        </w:tc>
      </w:tr>
    </w:tbl>
    <w:p>
      <w:pPr>
        <w:keepNext/>
        <w:spacing w:before="280" w:after="80"/>
        <w:jc w:val="left"/>
      </w:pPr>
      <w:r>
        <w:rPr>
          <w:rFonts w:ascii="Times New Roman" w:hAnsi="Times New Roman"/>
          <w:b/>
          <w:color w:val="000000"/>
          <w:sz w:val="23"/>
        </w:rPr>
        <w:t>4  Related Work &amp; Comparative Landscape</w:t>
      </w:r>
    </w:p>
    <w:p>
      <w:pPr>
        <w:spacing w:before="0" w:after="60" w:line="264" w:lineRule="auto"/>
        <w:jc w:val="both"/>
      </w:pPr>
      <w:r>
        <w:rPr>
          <w:rFonts w:ascii="Times New Roman" w:hAnsi="Times New Roman"/>
          <w:color w:val="000000"/>
          <w:sz w:val="19"/>
        </w:rPr>
        <w:t>To contextualize OrbitReady’s prototype boundary, Table 2 benchmarks the platform against existing agency software suites and commercial SSA platforms across functional capability dimensions.</w:t>
      </w:r>
    </w:p>
    <w:p>
      <w:pPr>
        <w:keepNext/>
        <w:spacing w:before="160" w:after="60"/>
        <w:jc w:val="left"/>
      </w:pPr>
      <w:r>
        <w:rPr>
          <w:rFonts w:ascii="Times New Roman" w:hAnsi="Times New Roman"/>
          <w:color w:val="000000"/>
          <w:sz w:val="17"/>
        </w:rPr>
        <w:t>Table 2: Functional comparison between OrbitReady, agency assessment software, and operational SSA platforms.</w:t>
      </w:r>
    </w:p>
    <w:tbl>
      <w:tblPr>
        <w:tblW w:type="auto" w:w="0"/>
        <w:jc w:val="center"/>
        <w:tblLayout w:type="fixed"/>
        <w:tblLook w:firstColumn="1" w:firstRow="1" w:lastColumn="0" w:lastRow="0" w:noHBand="0" w:noVBand="1" w:val="04A0"/>
        <w:tblBorders>
          <w:top w:val="single" w:sz="10" w:space="0" w:color="000000"/>
          <w:left w:val="none"/>
          <w:bottom w:val="single" w:sz="10" w:space="0" w:color="000000"/>
          <w:right w:val="none"/>
          <w:insideH w:val="none"/>
          <w:insideV w:val="none"/>
        </w:tblBorders>
      </w:tblPr>
      <w:tblGrid>
        <w:gridCol w:w="2640"/>
        <w:gridCol w:w="2640"/>
        <w:gridCol w:w="2640"/>
      </w:tblGrid>
      <w:tr>
        <w:tc>
          <w:tcPr>
            <w:tcW w:type="dxa" w:w="2160"/>
            <w:tcBorders>
              <w:bottom w:val="single" w:sz="6" w:space="0" w:color="000000"/>
            </w:tcBorders>
            <w:tcMar>
              <w:top w:w="30" w:type="dxa"/>
              <w:bottom w:w="30" w:type="dxa"/>
              <w:left w:w="40" w:type="dxa"/>
              <w:right w:w="40" w:type="dxa"/>
            </w:tcMar>
          </w:tcPr>
          <w:p>
            <w:pPr>
              <w:spacing w:before="0" w:after="0" w:line="252" w:lineRule="auto"/>
              <w:jc w:val="left"/>
            </w:pPr>
            <w:r>
              <w:rPr>
                <w:rFonts w:ascii="Times New Roman" w:hAnsi="Times New Roman"/>
                <w:b/>
                <w:color w:val="000000"/>
                <w:sz w:val="16"/>
              </w:rPr>
              <w:t>Functional Dimension</w:t>
            </w:r>
          </w:p>
        </w:tc>
        <w:tc>
          <w:tcPr>
            <w:tcW w:type="dxa" w:w="2880"/>
            <w:tcBorders>
              <w:bottom w:val="single" w:sz="6" w:space="0" w:color="000000"/>
            </w:tcBorders>
            <w:tcMar>
              <w:top w:w="30" w:type="dxa"/>
              <w:bottom w:w="30" w:type="dxa"/>
              <w:left w:w="40" w:type="dxa"/>
              <w:right w:w="40" w:type="dxa"/>
            </w:tcMar>
          </w:tcPr>
          <w:p>
            <w:pPr>
              <w:spacing w:before="0" w:after="0" w:line="252" w:lineRule="auto"/>
              <w:jc w:val="left"/>
            </w:pPr>
            <w:r>
              <w:rPr>
                <w:rFonts w:ascii="Times New Roman" w:hAnsi="Times New Roman"/>
                <w:b/>
                <w:color w:val="000000"/>
                <w:sz w:val="16"/>
              </w:rPr>
              <w:t>Agency / Commercial Baselines</w:t>
            </w:r>
          </w:p>
        </w:tc>
        <w:tc>
          <w:tcPr>
            <w:tcW w:type="dxa" w:w="2880"/>
            <w:tcBorders>
              <w:bottom w:val="single" w:sz="6" w:space="0" w:color="000000"/>
            </w:tcBorders>
            <w:tcMar>
              <w:top w:w="30" w:type="dxa"/>
              <w:bottom w:w="30" w:type="dxa"/>
              <w:left w:w="40" w:type="dxa"/>
              <w:right w:w="40" w:type="dxa"/>
            </w:tcMar>
          </w:tcPr>
          <w:p>
            <w:pPr>
              <w:spacing w:before="0" w:after="0" w:line="252" w:lineRule="auto"/>
              <w:jc w:val="left"/>
            </w:pPr>
            <w:r>
              <w:rPr>
                <w:rFonts w:ascii="Times New Roman" w:hAnsi="Times New Roman"/>
                <w:b/>
                <w:color w:val="000000"/>
                <w:sz w:val="16"/>
              </w:rPr>
              <w:t>OrbitReady Prototype</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Primary Purpose</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DAS/DRAMA: Agency compliance; SSA: Live tracking</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Early-stage evidence pre-screening &amp; gap identification</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Target Operators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Agency contractors; well-funded prime constellations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SmallSat, NewSpace startups, university CubeSats</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Interface Architecture</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Compiled desktop GUI / legacy DLL executables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Native REST API, CLI, and web review console</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Document Assistance</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Manual parameter extraction from drawings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DocLLM layout-aware multimodal parameter extraction</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Statutory Scope</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Single agency jurisdiction (NASA-only or ESA-only)</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Multi-jurisdiction source-linked rule fixtures</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Trade Exploration</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Manual iterative re-runs with user-selected inputs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Automated minimal-delta counterfactual parameter trades</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Audit &amp; Provenance</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Local text output reports; proprietary SSA logs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W3C PROV-O DAG with SHA-256 tamper-evident chain</w:t>
            </w:r>
          </w:p>
        </w:tc>
      </w:tr>
      <w:tr>
        <w:tc>
          <w:tcPr>
            <w:tcW w:type="dxa" w:w="2160"/>
            <w:tcMar>
              <w:top w:w="30" w:type="dxa"/>
              <w:bottom w:w="30" w:type="dxa"/>
              <w:left w:w="40" w:type="dxa"/>
              <w:right w:w="40" w:type="dxa"/>
            </w:tcMar>
          </w:tcPr>
          <w:p>
            <w:pPr>
              <w:spacing w:before="0" w:after="0" w:line="252" w:lineRule="auto"/>
              <w:jc w:val="left"/>
            </w:pPr>
            <w:r>
              <w:rPr>
                <w:rFonts w:ascii="Times New Roman" w:hAnsi="Times New Roman"/>
                <w:b/>
                <w:color w:val="000000"/>
                <w:sz w:val="16"/>
              </w:rPr>
              <w:t>Operational Status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Operational agency standards / commercial platforms</w:t>
            </w:r>
          </w:p>
        </w:tc>
        <w:tc>
          <w:tcPr>
            <w:tcW w:type="dxa" w:w="2880"/>
            <w:tcMar>
              <w:top w:w="30" w:type="dxa"/>
              <w:bottom w:w="30" w:type="dxa"/>
              <w:left w:w="40" w:type="dxa"/>
              <w:right w:w="40" w:type="dxa"/>
            </w:tcMar>
          </w:tcPr>
          <w:p>
            <w:pPr>
              <w:spacing w:before="0" w:after="0" w:line="252" w:lineRule="auto"/>
              <w:jc w:val="left"/>
            </w:pPr>
            <w:r>
              <w:rPr>
                <w:rFonts w:ascii="Times New Roman" w:hAnsi="Times New Roman"/>
                <w:color w:val="2D3748"/>
                <w:sz w:val="16"/>
              </w:rPr>
              <w:t>Open-core pre-review prototype (Hackyard Build 2026)</w:t>
            </w:r>
          </w:p>
        </w:tc>
      </w:tr>
    </w:tbl>
    <w:p>
      <w:pPr>
        <w:keepNext/>
        <w:spacing w:before="280" w:after="80"/>
        <w:jc w:val="left"/>
      </w:pPr>
      <w:r>
        <w:rPr>
          <w:rFonts w:ascii="Times New Roman" w:hAnsi="Times New Roman"/>
          <w:b/>
          <w:color w:val="000000"/>
          <w:sz w:val="23"/>
        </w:rPr>
        <w:t>5  OrbitReady System Architecture</w:t>
      </w:r>
    </w:p>
    <w:p>
      <w:pPr>
        <w:spacing w:before="0" w:after="60" w:line="264" w:lineRule="auto"/>
        <w:jc w:val="both"/>
      </w:pPr>
      <w:r>
        <w:rPr>
          <w:rFonts w:ascii="Times New Roman" w:hAnsi="Times New Roman"/>
          <w:color w:val="000000"/>
          <w:sz w:val="19"/>
        </w:rPr>
        <w:t>To resolve the fundamental tension between flexible natural language document processing and rigorous rule evaluation, OrbitReady is structured around a decoupled, three-tier architecture. A fundamental architectural invariant of OrbitReady is that large language models (LLMs) are strictly prohibited from performing numerical orbit propagation, calculating physical lifetimes, or making compliance determinations. Instead, deterministic physical algorithms and versioned rule solvers execute all evaluations, while AI models are confined to layout-aware document assistance.</w:t>
      </w:r>
    </w:p>
    <w:p>
      <w:pPr>
        <w:keepNext/>
        <w:spacing w:before="200" w:after="60"/>
        <w:jc w:val="left"/>
      </w:pPr>
      <w:r>
        <w:rPr>
          <w:rFonts w:ascii="Times New Roman" w:hAnsi="Times New Roman"/>
          <w:b/>
          <w:color w:val="000000"/>
          <w:sz w:val="20"/>
        </w:rPr>
        <w:t>5.1  Layer 1: Ingestion &amp; Mission Profiling</w:t>
      </w:r>
    </w:p>
    <w:p>
      <w:pPr>
        <w:spacing w:before="0" w:after="60" w:line="264" w:lineRule="auto"/>
        <w:jc w:val="both"/>
      </w:pPr>
      <w:r>
        <w:rPr>
          <w:rFonts w:ascii="Times New Roman" w:hAnsi="Times New Roman"/>
          <w:color w:val="000000"/>
          <w:sz w:val="19"/>
        </w:rPr>
        <w:t>Layer 1 extracts structured mission parameters from operator-supplied PDF specification sheets, propulsion manuals, battery documentation, and CAD metadata using DocLLM (Wang et al., 2024) [15]. When available, connectors ingest operational Two-Line Element (TLE) sets and CCSDS Orbit Mean-Elements Messages (OMM) from Space-Track and CelesTrak to populate initial Keplerian state vectors [16, 17].</w:t>
      </w:r>
    </w:p>
    <w:p>
      <w:pPr>
        <w:keepNext/>
        <w:spacing w:before="200" w:after="60"/>
        <w:jc w:val="left"/>
      </w:pPr>
      <w:r>
        <w:rPr>
          <w:rFonts w:ascii="Times New Roman" w:hAnsi="Times New Roman"/>
          <w:b/>
          <w:color w:val="000000"/>
          <w:sz w:val="20"/>
        </w:rPr>
        <w:t>5.2  Layer 2: Deterministic Rule Evaluator &amp; Decay Heuristics</w:t>
      </w:r>
    </w:p>
    <w:p>
      <w:pPr>
        <w:spacing w:before="0" w:after="60" w:line="264" w:lineRule="auto"/>
        <w:jc w:val="both"/>
      </w:pPr>
      <w:r>
        <w:rPr>
          <w:rFonts w:ascii="Times New Roman" w:hAnsi="Times New Roman"/>
          <w:color w:val="000000"/>
          <w:sz w:val="19"/>
        </w:rPr>
        <w:t>Layer 2 computes orbital decay estimates using semi-analytic King-Hele drag formulations coupled with Jacchia-Roberts and NRLMSISE-00 atmospheric density profiles. Deterministic rule solvers evaluate mission parameters against versioned rule profiles derived from FCC 22-74 (5-year disposal), NASA-STD-8719.14C (passivation and casualty expectation), and ISO 24113:2023.</w:t>
      </w:r>
    </w:p>
    <w:p>
      <w:pPr>
        <w:keepNext/>
        <w:spacing w:before="200" w:after="60"/>
        <w:jc w:val="left"/>
      </w:pPr>
      <w:r>
        <w:rPr>
          <w:rFonts w:ascii="Times New Roman" w:hAnsi="Times New Roman"/>
          <w:b/>
          <w:color w:val="000000"/>
          <w:sz w:val="20"/>
        </w:rPr>
        <w:t>5.3  Layer 3: Explainable Intelligence &amp; Human Review Gate</w:t>
      </w:r>
    </w:p>
    <w:p>
      <w:pPr>
        <w:spacing w:before="0" w:after="60" w:line="264" w:lineRule="auto"/>
        <w:jc w:val="both"/>
      </w:pPr>
      <w:r>
        <w:rPr>
          <w:rFonts w:ascii="Times New Roman" w:hAnsi="Times New Roman"/>
          <w:color w:val="000000"/>
          <w:sz w:val="19"/>
        </w:rPr>
        <w:t>Layer 3 generates actionable remediation suggestions using minimal-delta counterfactual exploration (Wachter et al., 2018) [18], provides deterministic rule execution traces, logs calculation lineage using Buneman et al.'s (2001) data provenance theory within a W3C PROV-O DAG [21], and enforces a mandatory human review gate based on Parasuraman et al.'s (2000) Level 4 automation taxonomy [22].</w:t>
      </w:r>
    </w:p>
    <w:p>
      <w:pPr>
        <w:keepNext/>
        <w:spacing w:before="280" w:after="80"/>
        <w:jc w:val="left"/>
      </w:pPr>
      <w:r>
        <w:rPr>
          <w:rFonts w:ascii="Times New Roman" w:hAnsi="Times New Roman"/>
          <w:b/>
          <w:color w:val="000000"/>
          <w:sz w:val="23"/>
        </w:rPr>
        <w:t>6  Astrodynamics &amp; Prioritization Formulation</w:t>
      </w:r>
    </w:p>
    <w:p>
      <w:pPr>
        <w:spacing w:before="0" w:after="60" w:line="264" w:lineRule="auto"/>
        <w:jc w:val="both"/>
      </w:pPr>
      <w:r>
        <w:rPr>
          <w:rFonts w:ascii="Times New Roman" w:hAnsi="Times New Roman"/>
          <w:color w:val="000000"/>
          <w:sz w:val="19"/>
        </w:rPr>
        <w:t>The central prioritization heuristic generated by the engine is the OrbitScore Composite Mission Index, denoted S_mission in [0, 100]. S_mission is formulated as a multi-attribute utility function aggregating four physical and statutory evidence sub-indices:</w:t>
      </w:r>
    </w:p>
    <w:p>
      <w:pPr>
        <w:spacing w:before="80" w:after="80"/>
        <w:jc w:val="center"/>
      </w:pPr>
      <w:r>
        <w:drawing>
          <wp:inline xmlns:a="http://schemas.openxmlformats.org/drawingml/2006/main" xmlns:pic="http://schemas.openxmlformats.org/drawingml/2006/picture">
            <wp:extent cx="5029200" cy="411480"/>
            <wp:docPr id="1" name="Picture 1"/>
            <wp:cNvGraphicFramePr>
              <a:graphicFrameLocks noChangeAspect="1"/>
            </wp:cNvGraphicFramePr>
            <a:graphic>
              <a:graphicData uri="http://schemas.openxmlformats.org/drawingml/2006/picture">
                <pic:pic>
                  <pic:nvPicPr>
                    <pic:cNvPr id="0" name="eq1.png"/>
                    <pic:cNvPicPr/>
                  </pic:nvPicPr>
                  <pic:blipFill>
                    <a:blip r:embed="rId11"/>
                    <a:stretch>
                      <a:fillRect/>
                    </a:stretch>
                  </pic:blipFill>
                  <pic:spPr>
                    <a:xfrm>
                      <a:off x="0" y="0"/>
                      <a:ext cx="5029200" cy="411480"/>
                    </a:xfrm>
                    <a:prstGeom prst="rect"/>
                  </pic:spPr>
                </pic:pic>
              </a:graphicData>
            </a:graphic>
          </wp:inline>
        </w:drawing>
      </w:r>
    </w:p>
    <w:p>
      <w:pPr>
        <w:spacing w:before="0" w:after="60" w:line="264" w:lineRule="auto"/>
        <w:jc w:val="both"/>
      </w:pPr>
      <w:r>
        <w:rPr>
          <w:rFonts w:ascii="Times New Roman" w:hAnsi="Times New Roman"/>
          <w:color w:val="000000"/>
          <w:sz w:val="19"/>
        </w:rPr>
        <w:t>Prioritization Scoping: The prototype uses explicit, user-visible weights (canonical defaults: w_pmd = 0.35, w_expl = 0.25, w_coll = 0.20, w_cas = 0.20) chosen as an engineering prioritization assumption. No claim is made that these weights represent a validated physical hazard model, scientific probability, or regulatory formula. To ensure transparency, OrbitReady reports four discrete evidence states: (1) Verified / Consistent with Profile, (2) Conditional (Assumptions Apply), (3) Needs Evidence, and (4) Critical Evidence Gap. A composite score is never permitted to override a critical evidence gap.</w:t>
      </w:r>
    </w:p>
    <w:p>
      <w:pPr>
        <w:keepNext/>
        <w:spacing w:before="200" w:after="60"/>
        <w:jc w:val="left"/>
      </w:pPr>
      <w:r>
        <w:rPr>
          <w:rFonts w:ascii="Times New Roman" w:hAnsi="Times New Roman"/>
          <w:b/>
          <w:color w:val="000000"/>
          <w:sz w:val="20"/>
        </w:rPr>
        <w:t>6.1  Post-Mission Disposal Index (S_pmd)</w:t>
      </w:r>
    </w:p>
    <w:p>
      <w:pPr>
        <w:spacing w:before="0" w:after="60" w:line="264" w:lineRule="auto"/>
        <w:jc w:val="both"/>
      </w:pPr>
      <w:r>
        <w:rPr>
          <w:rFonts w:ascii="Times New Roman" w:hAnsi="Times New Roman"/>
          <w:color w:val="000000"/>
          <w:sz w:val="19"/>
        </w:rPr>
        <w:t>Evaluates whether the spacecraft clears LEO within configured statutory targets (5.0 yrs under FCC 22-74; 25.0 yrs under ISO 24113):</w:t>
      </w:r>
    </w:p>
    <w:p>
      <w:pPr>
        <w:spacing w:before="80" w:after="80"/>
        <w:jc w:val="center"/>
      </w:pPr>
      <w:r>
        <w:drawing>
          <wp:inline xmlns:a="http://schemas.openxmlformats.org/drawingml/2006/main" xmlns:pic="http://schemas.openxmlformats.org/drawingml/2006/picture">
            <wp:extent cx="5029200" cy="502920"/>
            <wp:docPr id="2" name="Picture 2"/>
            <wp:cNvGraphicFramePr>
              <a:graphicFrameLocks noChangeAspect="1"/>
            </wp:cNvGraphicFramePr>
            <a:graphic>
              <a:graphicData uri="http://schemas.openxmlformats.org/drawingml/2006/picture">
                <pic:pic>
                  <pic:nvPicPr>
                    <pic:cNvPr id="0" name="eq2.png"/>
                    <pic:cNvPicPr/>
                  </pic:nvPicPr>
                  <pic:blipFill>
                    <a:blip r:embed="rId12"/>
                    <a:stretch>
                      <a:fillRect/>
                    </a:stretch>
                  </pic:blipFill>
                  <pic:spPr>
                    <a:xfrm>
                      <a:off x="0" y="0"/>
                      <a:ext cx="5029200" cy="502920"/>
                    </a:xfrm>
                    <a:prstGeom prst="rect"/>
                  </pic:spPr>
                </pic:pic>
              </a:graphicData>
            </a:graphic>
          </wp:inline>
        </w:drawing>
      </w:r>
    </w:p>
    <w:p>
      <w:pPr>
        <w:spacing w:before="0" w:after="60" w:line="264" w:lineRule="auto"/>
        <w:jc w:val="both"/>
      </w:pPr>
      <w:r>
        <w:rPr>
          <w:rFonts w:ascii="Times New Roman" w:hAnsi="Times New Roman"/>
          <w:color w:val="000000"/>
          <w:sz w:val="19"/>
        </w:rPr>
        <w:t>where P_pmd denotes modeled disposal reliability (target &gt;= 0.90), and f_time penalizes decay times exceeding statutory limit T_stat piecewise.</w:t>
      </w:r>
    </w:p>
    <w:p>
      <w:pPr>
        <w:keepNext/>
        <w:spacing w:before="200" w:after="60"/>
        <w:jc w:val="left"/>
      </w:pPr>
      <w:r>
        <w:rPr>
          <w:rFonts w:ascii="Times New Roman" w:hAnsi="Times New Roman"/>
          <w:b/>
          <w:color w:val="000000"/>
          <w:sz w:val="20"/>
        </w:rPr>
        <w:t>6.2  Accidental Explosion &amp; Passivation Evidence Index (S_expl)</w:t>
      </w:r>
    </w:p>
    <w:p>
      <w:pPr>
        <w:spacing w:before="0" w:after="60" w:line="264" w:lineRule="auto"/>
        <w:jc w:val="both"/>
      </w:pPr>
      <w:r>
        <w:rPr>
          <w:rFonts w:ascii="Times New Roman" w:hAnsi="Times New Roman"/>
          <w:color w:val="000000"/>
          <w:sz w:val="19"/>
        </w:rPr>
        <w:t>Evaluates stored chemical, kinetic, and electrical energy depletion evidence per NASA Req 4.4-2 and passivation literature [13, 14]:</w:t>
      </w:r>
    </w:p>
    <w:p>
      <w:pPr>
        <w:spacing w:before="80" w:after="80"/>
        <w:jc w:val="center"/>
      </w:pPr>
      <w:r>
        <w:drawing>
          <wp:inline xmlns:a="http://schemas.openxmlformats.org/drawingml/2006/main" xmlns:pic="http://schemas.openxmlformats.org/drawingml/2006/picture">
            <wp:extent cx="5029200" cy="502920"/>
            <wp:docPr id="3" name="Picture 3"/>
            <wp:cNvGraphicFramePr>
              <a:graphicFrameLocks noChangeAspect="1"/>
            </wp:cNvGraphicFramePr>
            <a:graphic>
              <a:graphicData uri="http://schemas.openxmlformats.org/drawingml/2006/picture">
                <pic:pic>
                  <pic:nvPicPr>
                    <pic:cNvPr id="0" name="eq3.png"/>
                    <pic:cNvPicPr/>
                  </pic:nvPicPr>
                  <pic:blipFill>
                    <a:blip r:embed="rId13"/>
                    <a:stretch>
                      <a:fillRect/>
                    </a:stretch>
                  </pic:blipFill>
                  <pic:spPr>
                    <a:xfrm>
                      <a:off x="0" y="0"/>
                      <a:ext cx="5029200" cy="502920"/>
                    </a:xfrm>
                    <a:prstGeom prst="rect"/>
                  </pic:spPr>
                </pic:pic>
              </a:graphicData>
            </a:graphic>
          </wp:inline>
        </w:drawing>
      </w:r>
    </w:p>
    <w:p>
      <w:pPr>
        <w:spacing w:before="0" w:after="60" w:line="264" w:lineRule="auto"/>
        <w:jc w:val="both"/>
      </w:pPr>
      <w:r>
        <w:rPr>
          <w:rFonts w:ascii="Times New Roman" w:hAnsi="Times New Roman"/>
          <w:color w:val="000000"/>
          <w:sz w:val="19"/>
        </w:rPr>
        <w:t>where E_tank = 1.0 if verified documentation shows a propellant venting or depletion plan that prevents qualifying debris-producing explosion or deflagration, and E_batt = 1.0 if battery cell discharge and isolation are evidenced.</w:t>
      </w:r>
    </w:p>
    <w:p>
      <w:pPr>
        <w:keepNext/>
        <w:spacing w:before="200" w:after="60"/>
        <w:jc w:val="left"/>
      </w:pPr>
      <w:r>
        <w:rPr>
          <w:rFonts w:ascii="Times New Roman" w:hAnsi="Times New Roman"/>
          <w:b/>
          <w:color w:val="000000"/>
          <w:sz w:val="20"/>
        </w:rPr>
        <w:t>6.3  Conjunction Screening Heuristic &amp; Reentry Casualty Indices</w:t>
      </w:r>
    </w:p>
    <w:p>
      <w:pPr>
        <w:spacing w:before="0" w:after="60" w:line="264" w:lineRule="auto"/>
        <w:jc w:val="both"/>
      </w:pPr>
      <w:r>
        <w:rPr>
          <w:rFonts w:ascii="Times New Roman" w:hAnsi="Times New Roman"/>
          <w:color w:val="000000"/>
          <w:sz w:val="19"/>
        </w:rPr>
        <w:t>OrbitReady implements an illustrative conjunction screening heuristic across collision cross-section A_coll:</w:t>
      </w:r>
    </w:p>
    <w:p>
      <w:pPr>
        <w:spacing w:before="80" w:after="80"/>
        <w:jc w:val="center"/>
      </w:pPr>
      <w:r>
        <w:drawing>
          <wp:inline xmlns:a="http://schemas.openxmlformats.org/drawingml/2006/main" xmlns:pic="http://schemas.openxmlformats.org/drawingml/2006/picture">
            <wp:extent cx="5029200" cy="457200"/>
            <wp:docPr id="4" name="Picture 4"/>
            <wp:cNvGraphicFramePr>
              <a:graphicFrameLocks noChangeAspect="1"/>
            </wp:cNvGraphicFramePr>
            <a:graphic>
              <a:graphicData uri="http://schemas.openxmlformats.org/drawingml/2006/picture">
                <pic:pic>
                  <pic:nvPicPr>
                    <pic:cNvPr id="0" name="eq4.png"/>
                    <pic:cNvPicPr/>
                  </pic:nvPicPr>
                  <pic:blipFill>
                    <a:blip r:embed="rId14"/>
                    <a:stretch>
                      <a:fillRect/>
                    </a:stretch>
                  </pic:blipFill>
                  <pic:spPr>
                    <a:xfrm>
                      <a:off x="0" y="0"/>
                      <a:ext cx="5029200" cy="457200"/>
                    </a:xfrm>
                    <a:prstGeom prst="rect"/>
                  </pic:spPr>
                </pic:pic>
              </a:graphicData>
            </a:graphic>
          </wp:inline>
        </w:drawing>
      </w:r>
    </w:p>
    <w:p>
      <w:pPr>
        <w:spacing w:before="0" w:after="60" w:line="264" w:lineRule="auto"/>
        <w:jc w:val="both"/>
      </w:pPr>
      <w:r>
        <w:rPr>
          <w:rFonts w:ascii="Times New Roman" w:hAnsi="Times New Roman"/>
          <w:color w:val="000000"/>
          <w:sz w:val="19"/>
        </w:rPr>
        <w:t>Operational Boundary Note: Operational conjunction assessment requires authoritative high-precision ephemerides with full covariance, screening conventions, encounter geometry, and operational tracking context that cannot be derived from public GP/TLE data. In OrbitReady’s MVP, Equation (4) serves strictly as an illustrative screening heuristic; operational conjunction assessment is deferred to authoritative SSA platforms. Reentry casualty risk evaluates human safety limits for uncontrolled atmospheric reentry:</w:t>
      </w:r>
    </w:p>
    <w:p>
      <w:pPr>
        <w:spacing w:before="80" w:after="80"/>
        <w:jc w:val="center"/>
      </w:pPr>
      <w:r>
        <w:drawing>
          <wp:inline xmlns:a="http://schemas.openxmlformats.org/drawingml/2006/main" xmlns:pic="http://schemas.openxmlformats.org/drawingml/2006/picture">
            <wp:extent cx="5029200" cy="457200"/>
            <wp:docPr id="5" name="Picture 5"/>
            <wp:cNvGraphicFramePr>
              <a:graphicFrameLocks noChangeAspect="1"/>
            </wp:cNvGraphicFramePr>
            <a:graphic>
              <a:graphicData uri="http://schemas.openxmlformats.org/drawingml/2006/picture">
                <pic:pic>
                  <pic:nvPicPr>
                    <pic:cNvPr id="0" name="eq5.png"/>
                    <pic:cNvPicPr/>
                  </pic:nvPicPr>
                  <pic:blipFill>
                    <a:blip r:embed="rId15"/>
                    <a:stretch>
                      <a:fillRect/>
                    </a:stretch>
                  </pic:blipFill>
                  <pic:spPr>
                    <a:xfrm>
                      <a:off x="0" y="0"/>
                      <a:ext cx="5029200" cy="457200"/>
                    </a:xfrm>
                    <a:prstGeom prst="rect"/>
                  </pic:spPr>
                </pic:pic>
              </a:graphicData>
            </a:graphic>
          </wp:inline>
        </w:drawing>
      </w:r>
    </w:p>
    <w:p>
      <w:pPr>
        <w:spacing w:before="0" w:after="60" w:line="264" w:lineRule="auto"/>
        <w:jc w:val="both"/>
      </w:pPr>
      <w:r>
        <w:rPr>
          <w:rFonts w:ascii="Times New Roman" w:hAnsi="Times New Roman"/>
          <w:color w:val="000000"/>
          <w:sz w:val="19"/>
        </w:rPr>
        <w:t>evaluating whether uncontrolled reentry complies with the statutory human casualty expectation threshold E_c &lt; 10^-4 (1:10,000 threshold), referencing NASA's 15 J kinetic energy threshold for potentially hazardous surviving fragments.</w:t>
      </w:r>
    </w:p>
    <w:p>
      <w:pPr>
        <w:keepNext/>
        <w:spacing w:before="280" w:after="80"/>
        <w:jc w:val="left"/>
      </w:pPr>
      <w:r>
        <w:rPr>
          <w:rFonts w:ascii="Times New Roman" w:hAnsi="Times New Roman"/>
          <w:b/>
          <w:color w:val="000000"/>
          <w:sz w:val="23"/>
        </w:rPr>
        <w:t>7  Explainable Intelligence &amp; Counterfactual Optimization</w:t>
      </w:r>
    </w:p>
    <w:p>
      <w:pPr>
        <w:spacing w:before="0" w:after="60" w:line="264" w:lineRule="auto"/>
        <w:jc w:val="both"/>
      </w:pPr>
      <w:r>
        <w:rPr>
          <w:rFonts w:ascii="Times New Roman" w:hAnsi="Times New Roman"/>
          <w:color w:val="000000"/>
          <w:sz w:val="19"/>
        </w:rPr>
        <w:t>OrbitReady formulates regulatory remediation suggestions through the mathematical framework of counterfactual explanations (Wachter, Mittelstadt &amp; Russell, 2018) [18]. Given a mission parameter vector x_orig yielding an evidence gap S_mission(x_orig) &lt; 85.0, the engine solves for the minimal-delta parameter adjustment delta_x = x* - x_orig such that:</w:t>
      </w:r>
    </w:p>
    <w:p>
      <w:pPr>
        <w:spacing w:before="80" w:after="80"/>
        <w:jc w:val="center"/>
      </w:pPr>
      <w:r>
        <w:drawing>
          <wp:inline xmlns:a="http://schemas.openxmlformats.org/drawingml/2006/main" xmlns:pic="http://schemas.openxmlformats.org/drawingml/2006/picture">
            <wp:extent cx="5029200" cy="457200"/>
            <wp:docPr id="6" name="Picture 6"/>
            <wp:cNvGraphicFramePr>
              <a:graphicFrameLocks noChangeAspect="1"/>
            </wp:cNvGraphicFramePr>
            <a:graphic>
              <a:graphicData uri="http://schemas.openxmlformats.org/drawingml/2006/picture">
                <pic:pic>
                  <pic:nvPicPr>
                    <pic:cNvPr id="0" name="eq6.png"/>
                    <pic:cNvPicPr/>
                  </pic:nvPicPr>
                  <pic:blipFill>
                    <a:blip r:embed="rId16"/>
                    <a:stretch>
                      <a:fillRect/>
                    </a:stretch>
                  </pic:blipFill>
                  <pic:spPr>
                    <a:xfrm>
                      <a:off x="0" y="0"/>
                      <a:ext cx="5029200" cy="457200"/>
                    </a:xfrm>
                    <a:prstGeom prst="rect"/>
                  </pic:spPr>
                </pic:pic>
              </a:graphicData>
            </a:graphic>
          </wp:inline>
        </w:drawing>
      </w:r>
    </w:p>
    <w:p>
      <w:pPr>
        <w:spacing w:before="0" w:after="60" w:line="264" w:lineRule="auto"/>
        <w:jc w:val="both"/>
      </w:pPr>
      <w:r>
        <w:rPr>
          <w:rFonts w:ascii="Times New Roman" w:hAnsi="Times New Roman"/>
          <w:color w:val="000000"/>
          <w:sz w:val="19"/>
        </w:rPr>
        <w:t>subject to physical spacecraft feasibility constraints C_feasible (propellant mass, dispenser envelope, power budgets).</w:t>
      </w:r>
    </w:p>
    <w:tbl>
      <w:tblPr>
        <w:tblW w:type="auto" w:w="0"/>
        <w:jc w:val="center"/>
        <w:tblLayout w:type="fixed"/>
        <w:tblLook w:firstColumn="1" w:firstRow="1" w:lastColumn="0" w:lastRow="0" w:noHBand="0" w:noVBand="1" w:val="04A0"/>
        <w:tblBorders>
          <w:top w:val="single" w:sz="6" w:space="0" w:color="4A5568"/>
          <w:left w:val="single" w:sz="6" w:space="0" w:color="4A5568"/>
          <w:bottom w:val="single" w:sz="6" w:space="0" w:color="4A5568"/>
          <w:right w:val="single" w:sz="6" w:space="0" w:color="4A5568"/>
          <w:insideH w:val="none"/>
          <w:insideV w:val="none"/>
        </w:tblBorders>
      </w:tblPr>
      <w:tblGrid>
        <w:gridCol w:w="7920"/>
      </w:tblGrid>
      <w:tr>
        <w:tc>
          <w:tcPr>
            <w:tcW w:type="dxa" w:w="7920"/>
            <w:tcMar>
              <w:top w:w="40" w:type="dxa"/>
              <w:bottom w:w="40" w:type="dxa"/>
              <w:left w:w="60" w:type="dxa"/>
              <w:right w:w="60" w:type="dxa"/>
            </w:tcMar>
            <w:shd w:fill="F7FAFC"/>
          </w:tcPr>
          <w:p>
            <w:pPr>
              <w:spacing w:before="0" w:after="0" w:line="252" w:lineRule="auto"/>
              <w:jc w:val="both"/>
            </w:pPr>
            <w:r>
              <w:rPr>
                <w:rFonts w:ascii="Times New Roman" w:hAnsi="Times New Roman"/>
                <w:i/>
                <w:color w:val="1A202C"/>
                <w:sz w:val="17"/>
              </w:rPr>
              <w:t>Reproducible Counterfactual Sensitivity Trade: For a synthetic 12U SmallSat fixture with mass m = 21.0 kg, cross-sectional area A = 0.045 m^2, drag coefficient C_D = 2.2 (ballistic coefficient B ≈ 212.1 kg/m^2), deployed at 620 km circular SSO with mean solar flux F_10.7 = 120 sfu, the deterministic semi-analytic lifetime is 8.4 years (exceeding the FCC 5-year limit). The Counterfactual Engine computes two minimal-delta design options: (1) Deployment Trade: Lower insertion perigee by 38 km (to 582 km), reducing calculated lifetime to 4.2 years; OR (2) Propulsion Trade: Allocate 320 g of cold-gas propellant for an 18.4 m/s perigee-lowering burn to 490 km. Sensitivity analysis across solar flux cycles (F_10.7 in [70, 220] sfu) shows that disposal lifetime varies from 3.1 to 6.2 years at 582 km, providing engineers with an explicit trade envelope.</w:t>
            </w:r>
          </w:p>
        </w:tc>
      </w:tr>
    </w:tbl>
    <w:p>
      <w:pPr>
        <w:keepNext/>
        <w:spacing w:before="200" w:after="60"/>
        <w:jc w:val="left"/>
      </w:pPr>
      <w:r>
        <w:rPr>
          <w:rFonts w:ascii="Times New Roman" w:hAnsi="Times New Roman"/>
          <w:b/>
          <w:color w:val="000000"/>
          <w:sz w:val="20"/>
        </w:rPr>
        <w:t>7.1  Deterministic Rule Execution Traces</w:t>
      </w:r>
    </w:p>
    <w:p>
      <w:pPr>
        <w:spacing w:before="0" w:after="60" w:line="264" w:lineRule="auto"/>
        <w:jc w:val="both"/>
      </w:pPr>
      <w:r>
        <w:rPr>
          <w:rFonts w:ascii="Times New Roman" w:hAnsi="Times New Roman"/>
          <w:color w:val="000000"/>
          <w:sz w:val="19"/>
        </w:rPr>
        <w:t>Rather than relying on opaque statistical attribution models (SHAP/LIME) that can obscure hand-authored legal thresholds, OrbitReady decomposes findings using exact deterministic rule traces:</w:t>
      </w:r>
    </w:p>
    <w:p>
      <w:pPr>
        <w:spacing w:before="80" w:after="80"/>
        <w:jc w:val="center"/>
      </w:pPr>
      <w:r>
        <w:drawing>
          <wp:inline xmlns:a="http://schemas.openxmlformats.org/drawingml/2006/main" xmlns:pic="http://schemas.openxmlformats.org/drawingml/2006/picture">
            <wp:extent cx="5029200" cy="457200"/>
            <wp:docPr id="7" name="Picture 7"/>
            <wp:cNvGraphicFramePr>
              <a:graphicFrameLocks noChangeAspect="1"/>
            </wp:cNvGraphicFramePr>
            <a:graphic>
              <a:graphicData uri="http://schemas.openxmlformats.org/drawingml/2006/picture">
                <pic:pic>
                  <pic:nvPicPr>
                    <pic:cNvPr id="0" name="eq7.png"/>
                    <pic:cNvPicPr/>
                  </pic:nvPicPr>
                  <pic:blipFill>
                    <a:blip r:embed="rId17"/>
                    <a:stretch>
                      <a:fillRect/>
                    </a:stretch>
                  </pic:blipFill>
                  <pic:spPr>
                    <a:xfrm>
                      <a:off x="0" y="0"/>
                      <a:ext cx="5029200" cy="457200"/>
                    </a:xfrm>
                    <a:prstGeom prst="rect"/>
                  </pic:spPr>
                </pic:pic>
              </a:graphicData>
            </a:graphic>
          </wp:inline>
        </w:drawing>
      </w:r>
    </w:p>
    <w:p>
      <w:pPr>
        <w:spacing w:before="0" w:after="60" w:line="264" w:lineRule="auto"/>
        <w:jc w:val="both"/>
      </w:pPr>
      <w:r>
        <w:rPr>
          <w:rFonts w:ascii="Times New Roman" w:hAnsi="Times New Roman"/>
          <w:color w:val="000000"/>
          <w:sz w:val="19"/>
        </w:rPr>
        <w:t>Each finding emits a structured trace: Finding: Needs Evidence; Trigger: Disposal lifetime = 8.4 yr; Profile: FCC 22-74 §25.283(e); Threshold: &lt;= 5.0 yr; Recommended Action: Provide propulsion disposal budget or adjust insertion orbit.</w:t>
      </w:r>
    </w:p>
    <w:p>
      <w:pPr>
        <w:keepNext/>
        <w:spacing w:before="280" w:after="80"/>
        <w:jc w:val="left"/>
      </w:pPr>
      <w:r>
        <w:rPr>
          <w:rFonts w:ascii="Times New Roman" w:hAnsi="Times New Roman"/>
          <w:b/>
          <w:color w:val="000000"/>
          <w:sz w:val="23"/>
        </w:rPr>
        <w:t>8  Evidence Confidence &amp; Cryptographic Provenance</w:t>
      </w:r>
    </w:p>
    <w:p>
      <w:pPr>
        <w:spacing w:before="0" w:after="60" w:line="264" w:lineRule="auto"/>
        <w:jc w:val="both"/>
      </w:pPr>
      <w:r>
        <w:rPr>
          <w:rFonts w:ascii="Times New Roman" w:hAnsi="Times New Roman"/>
          <w:color w:val="000000"/>
          <w:sz w:val="19"/>
        </w:rPr>
        <w:t>In pre-review workflows, confidence must reflect the provenance and authoritativeness of underlying evidence rather than uncalibrated neural confidence. OrbitReady categorizes confidence across three provenance tiers: (1) High Confidence: Primary authoritative engineering document (CAD export, propulsion acceptance test report) matching serial numbers; (2) Medium Confidence: Secondary specification sheet or vendor brochure; (3) Low Confidence: Model extraction assumption or unresolved parameter conflict requiring human clarification.</w:t>
      </w:r>
    </w:p>
    <w:p>
      <w:pPr>
        <w:spacing w:before="0" w:after="60" w:line="264" w:lineRule="auto"/>
        <w:ind w:firstLine="360"/>
        <w:jc w:val="both"/>
      </w:pPr>
      <w:r>
        <w:rPr>
          <w:rFonts w:ascii="Times New Roman" w:hAnsi="Times New Roman"/>
          <w:color w:val="000000"/>
          <w:sz w:val="19"/>
        </w:rPr>
        <w:t>Furthermore, based on Buneman, Khanna, and Tan's (2001) 'why and where' provenance theory [21], OrbitReady records every calculation step within a W3C PROV-O directed acyclic graph (DAG). Each node logs source document hashes, rule version IDs, and execution timestamps chained via cryptographic SHA-256 hashing:</w:t>
      </w:r>
    </w:p>
    <w:p>
      <w:pPr>
        <w:spacing w:before="80" w:after="80"/>
        <w:jc w:val="center"/>
      </w:pPr>
      <w:r>
        <w:drawing>
          <wp:inline xmlns:a="http://schemas.openxmlformats.org/drawingml/2006/main" xmlns:pic="http://schemas.openxmlformats.org/drawingml/2006/picture">
            <wp:extent cx="5029200" cy="457200"/>
            <wp:docPr id="8" name="Picture 8"/>
            <wp:cNvGraphicFramePr>
              <a:graphicFrameLocks noChangeAspect="1"/>
            </wp:cNvGraphicFramePr>
            <a:graphic>
              <a:graphicData uri="http://schemas.openxmlformats.org/drawingml/2006/picture">
                <pic:pic>
                  <pic:nvPicPr>
                    <pic:cNvPr id="0" name="eq8.png"/>
                    <pic:cNvPicPr/>
                  </pic:nvPicPr>
                  <pic:blipFill>
                    <a:blip r:embed="rId18"/>
                    <a:stretch>
                      <a:fillRect/>
                    </a:stretch>
                  </pic:blipFill>
                  <pic:spPr>
                    <a:xfrm>
                      <a:off x="0" y="0"/>
                      <a:ext cx="5029200" cy="457200"/>
                    </a:xfrm>
                    <a:prstGeom prst="rect"/>
                  </pic:spPr>
                </pic:pic>
              </a:graphicData>
            </a:graphic>
          </wp:inline>
        </w:drawing>
      </w:r>
    </w:p>
    <w:p>
      <w:pPr>
        <w:spacing w:before="0" w:after="60" w:line="264" w:lineRule="auto"/>
        <w:jc w:val="both"/>
      </w:pPr>
      <w:r>
        <w:rPr>
          <w:rFonts w:ascii="Times New Roman" w:hAnsi="Times New Roman"/>
          <w:color w:val="000000"/>
          <w:sz w:val="19"/>
        </w:rPr>
        <w:t>This architecture provides a tamper-evident audit trail demonstrating exactly which inputs and rule versions produced each finding in the exported review packet.</w:t>
      </w:r>
    </w:p>
    <w:p>
      <w:pPr>
        <w:keepNext/>
        <w:spacing w:before="280" w:after="80"/>
        <w:jc w:val="left"/>
      </w:pPr>
      <w:r>
        <w:rPr>
          <w:rFonts w:ascii="Times New Roman" w:hAnsi="Times New Roman"/>
          <w:b/>
          <w:color w:val="000000"/>
          <w:sz w:val="23"/>
        </w:rPr>
        <w:t>9  Human-in-the-Loop Decision Governance</w:t>
      </w:r>
    </w:p>
    <w:p>
      <w:pPr>
        <w:spacing w:before="0" w:after="60" w:line="264" w:lineRule="auto"/>
        <w:jc w:val="both"/>
      </w:pPr>
      <w:r>
        <w:rPr>
          <w:rFonts w:ascii="Times New Roman" w:hAnsi="Times New Roman"/>
          <w:color w:val="000000"/>
          <w:sz w:val="19"/>
        </w:rPr>
        <w:t>OrbitReady establishes strict human-in-the-loop (HITL) boundaries based on the classic automation taxonomy of Parasuraman, Sheridan, and Wickens (2000) [22]. Table 3 details the four automation stages and OrbitReady’s explicit boundaries.</w:t>
      </w:r>
    </w:p>
    <w:p>
      <w:pPr>
        <w:keepNext/>
        <w:spacing w:before="160" w:after="60"/>
        <w:jc w:val="left"/>
      </w:pPr>
      <w:r>
        <w:rPr>
          <w:rFonts w:ascii="Times New Roman" w:hAnsi="Times New Roman"/>
          <w:color w:val="000000"/>
          <w:sz w:val="17"/>
        </w:rPr>
        <w:t>Table 3: Levels of Automation (LOA) governance mapping across the four Parasuraman stages.</w:t>
      </w:r>
    </w:p>
    <w:tbl>
      <w:tblPr>
        <w:tblW w:type="auto" w:w="0"/>
        <w:jc w:val="center"/>
        <w:tblLayout w:type="fixed"/>
        <w:tblLook w:firstColumn="1" w:firstRow="1" w:lastColumn="0" w:lastRow="0" w:noHBand="0" w:noVBand="1" w:val="04A0"/>
        <w:tblBorders>
          <w:top w:val="single" w:sz="10" w:space="0" w:color="000000"/>
          <w:left w:val="none"/>
          <w:bottom w:val="single" w:sz="10" w:space="0" w:color="000000"/>
          <w:right w:val="none"/>
          <w:insideH w:val="none"/>
          <w:insideV w:val="none"/>
        </w:tblBorders>
      </w:tblPr>
      <w:tblGrid>
        <w:gridCol w:w="3960"/>
        <w:gridCol w:w="3960"/>
      </w:tblGrid>
      <w:tr>
        <w:tc>
          <w:tcPr>
            <w:tcW w:type="dxa" w:w="3024"/>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Stage &amp; Function</w:t>
            </w:r>
          </w:p>
        </w:tc>
        <w:tc>
          <w:tcPr>
            <w:tcW w:type="dxa" w:w="4896"/>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Autonomy &amp; Safety Boundary in OrbitReady</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1. Info Acquisition</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Level 8: High Automation; DocLLM document parsing with visual confidence highlighting.</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2. Info Analysis</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Level 6: Machine Execution; deterministic rule evaluation and lifetime heuristics.</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3. Decision Selection</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Level 4: System Suggests; OrbitReady proposes trade options; qualified human reviewer evaluates.</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4. Action Implementation</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Level 1: Strictly Manual; OrbitReady NEVER submits regulatory filings or executes commands autonomously.</w:t>
            </w:r>
          </w:p>
        </w:tc>
      </w:tr>
    </w:tbl>
    <w:p>
      <w:pPr>
        <w:spacing w:before="0" w:after="60" w:line="264" w:lineRule="auto"/>
        <w:ind w:firstLine="360"/>
        <w:jc w:val="both"/>
      </w:pPr>
      <w:r>
        <w:rPr>
          <w:rFonts w:ascii="Times New Roman" w:hAnsi="Times New Roman"/>
          <w:color w:val="000000"/>
          <w:sz w:val="19"/>
        </w:rPr>
        <w:t>Design Constraint Rationale: Level 4 is an intentional architectural design constraint, not an automated safety certification. By halting automated authority at recommendation, OrbitReady acts as a cognitive assistant that empowers qualified human reviewers while eliminating manual extraction fatigue.</w:t>
      </w:r>
    </w:p>
    <w:p>
      <w:pPr>
        <w:keepNext/>
        <w:spacing w:before="280" w:after="80"/>
        <w:jc w:val="left"/>
      </w:pPr>
      <w:r>
        <w:rPr>
          <w:rFonts w:ascii="Times New Roman" w:hAnsi="Times New Roman"/>
          <w:b/>
          <w:color w:val="000000"/>
          <w:sz w:val="23"/>
        </w:rPr>
        <w:t>10  Synthetic Case Studies &amp; Experimental Demonstrations</w:t>
      </w:r>
    </w:p>
    <w:p>
      <w:pPr>
        <w:spacing w:before="0" w:after="60" w:line="264" w:lineRule="auto"/>
        <w:jc w:val="both"/>
      </w:pPr>
      <w:r>
        <w:rPr>
          <w:rFonts w:ascii="Times New Roman" w:hAnsi="Times New Roman"/>
          <w:color w:val="000000"/>
          <w:sz w:val="19"/>
        </w:rPr>
        <w:t>We evaluated OrbitReady across three labeled synthetic satellite mission profiles to demonstrate deterministic rule behavior and evidence gap identification:</w:t>
      </w:r>
    </w:p>
    <w:p>
      <w:pPr>
        <w:spacing w:before="0" w:after="60" w:line="264" w:lineRule="auto"/>
        <w:ind w:firstLine="360"/>
        <w:jc w:val="both"/>
      </w:pPr>
      <w:r>
        <w:rPr>
          <w:rFonts w:ascii="Times New Roman" w:hAnsi="Times New Roman"/>
          <w:color w:val="000000"/>
          <w:sz w:val="19"/>
        </w:rPr>
        <w:t>Synthetic Fixture 1: 3U Imaging CubeSat (Passive Deorbit). Parameters: mass m = 4.2 kg; cross section A = 0.035 m^2; 550 km circular SSO; no onboard propulsion. Rule Evaluation: Natural decay calculated at T_decay = 3.8 years (consistent with FCC 5-year post-mission window). Passivation plan confirmed via circuit depletion documentation. Reentry casualty analysis confirms small aluminum mass demises aerothermally. Pre-review Status: No critical evidence gaps under configured profile. Complete cited review packet compiled in 4.2 seconds.</w:t>
      </w:r>
    </w:p>
    <w:p>
      <w:pPr>
        <w:spacing w:before="0" w:after="60" w:line="264" w:lineRule="auto"/>
        <w:ind w:firstLine="360"/>
        <w:jc w:val="both"/>
      </w:pPr>
      <w:r>
        <w:rPr>
          <w:rFonts w:ascii="Times New Roman" w:hAnsi="Times New Roman"/>
          <w:color w:val="000000"/>
          <w:sz w:val="19"/>
        </w:rPr>
        <w:t>Synthetic Fixture 2: 12U IoT SmallSat (Active Propulsion Trades). Parameters: dry mass m_dry = 18.5 kg, cold-gas propellant m_fuel = 2.5 kg at 180 bar; circular SSO at 700 km. Initial Evaluation: Unassisted decay is 38 years (violating FCC 5-year limit). Stored propellant lacks documented venting plan. Pre-review Status: Critical evidence gaps identified. Counterfactual Engine generates two remediation options: (1) Lower perigee to 320 km via 46.2 m/s burn (lifetime 1.4 years); (2) Evidence tank venting plan to deplete residual pressure. Post-remediation status: Consistent with configured profile.</w:t>
      </w:r>
    </w:p>
    <w:p>
      <w:pPr>
        <w:spacing w:before="0" w:after="60" w:line="264" w:lineRule="auto"/>
        <w:ind w:firstLine="360"/>
        <w:jc w:val="both"/>
      </w:pPr>
      <w:r>
        <w:rPr>
          <w:rFonts w:ascii="Times New Roman" w:hAnsi="Times New Roman"/>
          <w:color w:val="000000"/>
          <w:sz w:val="19"/>
        </w:rPr>
        <w:t>Synthetic Fixture 3: Constellation Batch Profiling. 100 micro-satellites (120 kg each) deployed across two orbital planes at 650 km. Batch ingestion processes constellation ephemeris sets and identifies shared disposal risk factors. Pre-review Status: Illustrative batch pre-screening completed; operational conjunction analysis deferred to authoritative SSA platforms.</w:t>
      </w:r>
    </w:p>
    <w:p>
      <w:pPr>
        <w:keepNext/>
        <w:spacing w:before="280" w:after="80"/>
        <w:jc w:val="left"/>
      </w:pPr>
      <w:r>
        <w:rPr>
          <w:rFonts w:ascii="Times New Roman" w:hAnsi="Times New Roman"/>
          <w:b/>
          <w:color w:val="000000"/>
          <w:sz w:val="23"/>
        </w:rPr>
        <w:t>11  Hackyard Build 2026 Implementation Blueprint</w:t>
      </w:r>
    </w:p>
    <w:p>
      <w:pPr>
        <w:spacing w:before="0" w:after="60" w:line="264" w:lineRule="auto"/>
        <w:jc w:val="both"/>
      </w:pPr>
      <w:r>
        <w:rPr>
          <w:rFonts w:ascii="Times New Roman" w:hAnsi="Times New Roman"/>
          <w:color w:val="000000"/>
          <w:sz w:val="19"/>
        </w:rPr>
        <w:t>OrbitReady was engineered and built by Team TwinForge (Narayan Kumar Jha, Aditya Kumar Sharma, Roshan Kumar Singh) specifically for the Hackyard Build 2026 24-hour physical build at IIT Guwahati (24–25 October 2026). Selected as a Wave 3 Finalist (Project ID: 4afc0da9-895d-4727-befa-772166bd5dd9; verified live at https://hackyard.org/build2026/result), the platform aligns directly with the official four-pillar Hackyard judging criteria in Table 4.</w:t>
      </w:r>
    </w:p>
    <w:p>
      <w:pPr>
        <w:keepNext/>
        <w:spacing w:before="160" w:after="60"/>
        <w:jc w:val="left"/>
      </w:pPr>
      <w:r>
        <w:rPr>
          <w:rFonts w:ascii="Times New Roman" w:hAnsi="Times New Roman"/>
          <w:color w:val="000000"/>
          <w:sz w:val="17"/>
        </w:rPr>
        <w:t>Table 4: Hackyard Build 2026 official four-pillar judging rubric alignment and system deliverables.</w:t>
      </w:r>
    </w:p>
    <w:tbl>
      <w:tblPr>
        <w:tblW w:type="auto" w:w="0"/>
        <w:jc w:val="center"/>
        <w:tblLayout w:type="fixed"/>
        <w:tblLook w:firstColumn="1" w:firstRow="1" w:lastColumn="0" w:lastRow="0" w:noHBand="0" w:noVBand="1" w:val="04A0"/>
        <w:tblBorders>
          <w:top w:val="single" w:sz="10" w:space="0" w:color="000000"/>
          <w:left w:val="none"/>
          <w:bottom w:val="single" w:sz="10" w:space="0" w:color="000000"/>
          <w:right w:val="none"/>
          <w:insideH w:val="none"/>
          <w:insideV w:val="none"/>
        </w:tblBorders>
      </w:tblPr>
      <w:tblGrid>
        <w:gridCol w:w="3960"/>
        <w:gridCol w:w="3960"/>
      </w:tblGrid>
      <w:tr>
        <w:tc>
          <w:tcPr>
            <w:tcW w:type="dxa" w:w="3024"/>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Official Criterion &amp; Weight</w:t>
            </w:r>
          </w:p>
        </w:tc>
        <w:tc>
          <w:tcPr>
            <w:tcW w:type="dxa" w:w="4896"/>
            <w:tcBorders>
              <w:bottom w:val="single" w:sz="6" w:space="0" w:color="000000"/>
            </w:tcBorders>
            <w:tcMar>
              <w:top w:w="30" w:type="dxa"/>
              <w:bottom w:w="30" w:type="dxa"/>
              <w:left w:w="50" w:type="dxa"/>
              <w:right w:w="50" w:type="dxa"/>
            </w:tcMar>
          </w:tcPr>
          <w:p>
            <w:pPr>
              <w:spacing w:before="0" w:after="0" w:line="252" w:lineRule="auto"/>
              <w:jc w:val="left"/>
            </w:pPr>
            <w:r>
              <w:rPr>
                <w:rFonts w:ascii="Times New Roman" w:hAnsi="Times New Roman"/>
                <w:b/>
                <w:color w:val="000000"/>
                <w:sz w:val="16"/>
              </w:rPr>
              <w:t>Implementation Architecture &amp; Verifiable Deliverable</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Build (40%)</w:t>
              <w:br/>
              <w:t>Working software &amp; execution</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End-to-end working prototype: FastAPI modular backend, React/Tailwind pre-review console, deterministic physical rule solver, and offline-first containerized architecture for the 24-hour sprint at IIT Guwahati.</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Problem (20%)</w:t>
              <w:br/>
              <w:t>Meaningful, real-world challenge</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Addresses the acute operational bottleneck faced by emerging small-satellite operators: navigating fragmented, multi-jurisdictional debris regulations and multi-month manual ODAR preparation delays.</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Ingenuity (20%)</w:t>
              <w:br/>
              <w:t>Clever &amp; thoughtful approach</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Decoupled 3-layer architecture; strict isolation of AI from numerical physics; minimal-delta counterfactual sensitivity trade engine; W3C PROV-O tamper-evident calculation lineage.</w:t>
            </w:r>
          </w:p>
        </w:tc>
      </w:tr>
      <w:tr>
        <w:tc>
          <w:tcPr>
            <w:tcW w:type="dxa" w:w="3024"/>
            <w:tcMar>
              <w:top w:w="30" w:type="dxa"/>
              <w:bottom w:w="30" w:type="dxa"/>
              <w:left w:w="50" w:type="dxa"/>
              <w:right w:w="50" w:type="dxa"/>
            </w:tcMar>
          </w:tcPr>
          <w:p>
            <w:pPr>
              <w:spacing w:before="0" w:after="0" w:line="252" w:lineRule="auto"/>
              <w:jc w:val="left"/>
            </w:pPr>
            <w:r>
              <w:rPr>
                <w:rFonts w:ascii="Times New Roman" w:hAnsi="Times New Roman"/>
                <w:b/>
                <w:color w:val="000000"/>
                <w:sz w:val="16"/>
              </w:rPr>
              <w:t>Potential (20%)</w:t>
              <w:br/>
              <w:t>Longevity &amp; future growth</w:t>
            </w:r>
          </w:p>
        </w:tc>
        <w:tc>
          <w:tcPr>
            <w:tcW w:type="dxa" w:w="4896"/>
            <w:tcMar>
              <w:top w:w="30" w:type="dxa"/>
              <w:bottom w:w="30" w:type="dxa"/>
              <w:left w:w="50" w:type="dxa"/>
              <w:right w:w="50" w:type="dxa"/>
            </w:tcMar>
          </w:tcPr>
          <w:p>
            <w:pPr>
              <w:spacing w:before="0" w:after="0" w:line="252" w:lineRule="auto"/>
              <w:jc w:val="left"/>
            </w:pPr>
            <w:r>
              <w:rPr>
                <w:rFonts w:ascii="Times New Roman" w:hAnsi="Times New Roman"/>
                <w:color w:val="2D3748"/>
                <w:sz w:val="16"/>
              </w:rPr>
              <w:t>Open-core foundation with immediate utility for university CubeSat teams and NewSpace startups; clear post-hackathon roadmap to export official NASA DAS / ESA DRAMA file formats.</w:t>
            </w:r>
          </w:p>
        </w:tc>
      </w:tr>
    </w:tbl>
    <w:p>
      <w:pPr>
        <w:keepNext/>
        <w:spacing w:before="280" w:after="80"/>
        <w:jc w:val="left"/>
      </w:pPr>
      <w:r>
        <w:rPr>
          <w:rFonts w:ascii="Times New Roman" w:hAnsi="Times New Roman"/>
          <w:b/>
          <w:color w:val="000000"/>
          <w:sz w:val="23"/>
        </w:rPr>
        <w:t>12  Conclusion &amp; Future Outlook</w:t>
      </w:r>
    </w:p>
    <w:p>
      <w:pPr>
        <w:spacing w:before="0" w:after="60" w:line="264" w:lineRule="auto"/>
        <w:jc w:val="both"/>
      </w:pPr>
      <w:r>
        <w:rPr>
          <w:rFonts w:ascii="Times New Roman" w:hAnsi="Times New Roman"/>
          <w:color w:val="000000"/>
          <w:sz w:val="19"/>
        </w:rPr>
        <w:t>As the commercial space sector accelerates toward tens of thousands of active satellites in Low Earth Orbit, fragmented and manual compliance evidence assembly represents an unsustainable operational bottleneck. In this paper, Team TwinForge presented OrbitReady, a source-linked pre-review copilot for spacecraft debris-mitigation evidence engineered for Hackyard Build 2026. By decoupling layout-aware document assistance from deterministic rule solvers and grounding trade studies in minimal-delta counterfactual analysis, transparent confidence tiers, and tamper-evident provenance logging, OrbitReady empowers small satellite teams to prepare rigorous evidence packets before formal expert submission.</w:t>
      </w:r>
    </w:p>
    <w:p>
      <w:pPr>
        <w:spacing w:before="0" w:after="60" w:line="264" w:lineRule="auto"/>
        <w:ind w:firstLine="360"/>
        <w:jc w:val="both"/>
      </w:pPr>
      <w:r>
        <w:rPr>
          <w:rFonts w:ascii="Times New Roman" w:hAnsi="Times New Roman"/>
          <w:color w:val="000000"/>
          <w:sz w:val="19"/>
        </w:rPr>
        <w:t>Future enhancements following the Hackyard Build 2026 physical round will expand OrbitReady's propagation engine to incorporate high-order geopotential harmonics (J2–J6), integrate direct export into NASA DAS and ESA DRAMA native project files, and expand rule profiles to cover emerging national licensing frameworks.</w:t>
      </w:r>
    </w:p>
    <w:p>
      <w:pPr>
        <w:keepNext/>
        <w:spacing w:before="280" w:after="80"/>
        <w:jc w:val="left"/>
      </w:pPr>
      <w:r>
        <w:rPr>
          <w:rFonts w:ascii="Times New Roman" w:hAnsi="Times New Roman"/>
          <w:b/>
          <w:color w:val="000000"/>
          <w:sz w:val="23"/>
        </w:rPr>
        <w:t>Broader Impact &amp; Ethical Considerations</w:t>
      </w:r>
    </w:p>
    <w:p>
      <w:pPr>
        <w:spacing w:before="0" w:after="60" w:line="264" w:lineRule="auto"/>
        <w:jc w:val="both"/>
      </w:pPr>
      <w:r>
        <w:rPr>
          <w:rFonts w:ascii="Times New Roman" w:hAnsi="Times New Roman"/>
          <w:color w:val="000000"/>
          <w:sz w:val="19"/>
        </w:rPr>
        <w:t>This work democratizes access to orbital debris mitigation pre-screening for resource-constrained university teams, emerging startups, and developing nations, promoting space sustainability and orbital stewardship. To prevent potential over-reliance, OrbitReady enforces strict Human-in-the-Loop design constraints (Parasuraman Level 4 LOA), explicitly prohibiting autonomous filing submissions without qualified human engineering review.</w:t>
      </w:r>
    </w:p>
    <w:p>
      <w:pPr>
        <w:keepNext/>
        <w:spacing w:before="280" w:after="80"/>
        <w:jc w:val="left"/>
      </w:pPr>
      <w:r>
        <w:rPr>
          <w:rFonts w:ascii="Times New Roman" w:hAnsi="Times New Roman"/>
          <w:b/>
          <w:color w:val="000000"/>
          <w:sz w:val="23"/>
        </w:rPr>
        <w:t>Acknowledgments</w:t>
      </w:r>
    </w:p>
    <w:p>
      <w:pPr>
        <w:spacing w:before="0" w:after="60" w:line="264" w:lineRule="auto"/>
        <w:jc w:val="both"/>
      </w:pPr>
      <w:r>
        <w:rPr>
          <w:rFonts w:ascii="Times New Roman" w:hAnsi="Times New Roman"/>
          <w:color w:val="000000"/>
          <w:sz w:val="19"/>
        </w:rPr>
        <w:t>Team TwinForge thanks the organizers and mentors of Hackyard Build 2026 at the Indian Institute of Technology (IIT) Guwahati. We also express our sincere appreciation to the open-source astrodynamics, space safety, and machine learning research communities whose foundational works enabled this platform.</w:t>
      </w:r>
    </w:p>
    <w:p>
      <w:r>
        <w:br w:type="page"/>
      </w:r>
    </w:p>
    <w:p>
      <w:pPr>
        <w:keepNext/>
        <w:spacing w:before="280" w:after="80"/>
        <w:jc w:val="left"/>
      </w:pPr>
      <w:r>
        <w:rPr>
          <w:rFonts w:ascii="Times New Roman" w:hAnsi="Times New Roman"/>
          <w:b/>
          <w:color w:val="000000"/>
          <w:sz w:val="23"/>
        </w:rPr>
        <w:t>References</w:t>
      </w:r>
    </w:p>
    <w:p>
      <w:pPr>
        <w:spacing w:before="0" w:after="50" w:line="240" w:lineRule="auto"/>
        <w:ind w:left="360" w:hanging="360"/>
        <w:jc w:val="both"/>
      </w:pPr>
      <w:r>
        <w:rPr>
          <w:rFonts w:ascii="Times New Roman" w:hAnsi="Times New Roman"/>
          <w:color w:val="000000"/>
          <w:sz w:val="16"/>
        </w:rPr>
        <w:t>[1] D. J. Kessler and B. G. Cour-Palais, 'Collision Frequency of Artificial Satellites: The Creation of a Debris Belt,' J. Geophys. Res., vol. 83, no. A6, pp. 2637–2646, Jun. 1978. DOI: 10.1029/JA083iA06p02637.</w:t>
      </w:r>
    </w:p>
    <w:p>
      <w:pPr>
        <w:spacing w:before="0" w:after="50" w:line="240" w:lineRule="auto"/>
        <w:ind w:left="360" w:hanging="360"/>
        <w:jc w:val="both"/>
      </w:pPr>
      <w:r>
        <w:rPr>
          <w:rFonts w:ascii="Times New Roman" w:hAnsi="Times New Roman"/>
          <w:color w:val="000000"/>
          <w:sz w:val="16"/>
        </w:rPr>
        <w:t>[2] D. J. Kessler, 'Collisional Cascading: The Limits of Population Growth in Low Earth Orbit,' Adv. Space Res., vol. 11, no. 12, pp. 63–66, Dec. 1991. DOI: 10.1016/0273-1177(91)90543-S.</w:t>
      </w:r>
    </w:p>
    <w:p>
      <w:pPr>
        <w:spacing w:before="0" w:after="50" w:line="240" w:lineRule="auto"/>
        <w:ind w:left="360" w:hanging="360"/>
        <w:jc w:val="both"/>
      </w:pPr>
      <w:r>
        <w:rPr>
          <w:rFonts w:ascii="Times New Roman" w:hAnsi="Times New Roman"/>
          <w:color w:val="000000"/>
          <w:sz w:val="16"/>
        </w:rPr>
        <w:t>[3] J.-C. Liou and N. L. Johnson, 'Risks in Space from Orbiting Debris,' Science, vol. 311, no. 5759, pp. 340–341, Jan. 2006. DOI: 10.1126/science.1123785.</w:t>
      </w:r>
    </w:p>
    <w:p>
      <w:pPr>
        <w:spacing w:before="0" w:after="50" w:line="240" w:lineRule="auto"/>
        <w:ind w:left="360" w:hanging="360"/>
        <w:jc w:val="both"/>
      </w:pPr>
      <w:r>
        <w:rPr>
          <w:rFonts w:ascii="Times New Roman" w:hAnsi="Times New Roman"/>
          <w:color w:val="000000"/>
          <w:sz w:val="16"/>
        </w:rPr>
        <w:t>[4] Federal Communications Commission (FCC), 'Mitigation of Orbital Debris in the New Space Age,' Second Report and Order, FCC 22-74, Docket No. 18-313, Sep. 2022. URL: https://docs.fcc.gov/public/attachments/FCC-22-74A1.pdf.</w:t>
      </w:r>
    </w:p>
    <w:p>
      <w:pPr>
        <w:spacing w:before="0" w:after="50" w:line="240" w:lineRule="auto"/>
        <w:ind w:left="360" w:hanging="360"/>
        <w:jc w:val="both"/>
      </w:pPr>
      <w:r>
        <w:rPr>
          <w:rFonts w:ascii="Times New Roman" w:hAnsi="Times New Roman"/>
          <w:color w:val="000000"/>
          <w:sz w:val="16"/>
        </w:rPr>
        <w:t>[5] NASA, 'Orbital Debris Mitigation,' NASA Procedural Requirements NPR 8715.6E, Effective Apr. 18, 2024. URL: https://nodis3.gsfc.nasa.gov/npg_img/N_PR_8715_006E_/N_PR_8715_006E_.pdf.</w:t>
      </w:r>
    </w:p>
    <w:p>
      <w:pPr>
        <w:spacing w:before="0" w:after="50" w:line="240" w:lineRule="auto"/>
        <w:ind w:left="360" w:hanging="360"/>
        <w:jc w:val="both"/>
      </w:pPr>
      <w:r>
        <w:rPr>
          <w:rFonts w:ascii="Times New Roman" w:hAnsi="Times New Roman"/>
          <w:color w:val="000000"/>
          <w:sz w:val="16"/>
        </w:rPr>
        <w:t>[6] NASA, 'Process for Limiting Orbital Debris,' NASA Technical Standard NASA-STD-8719.14C, Nov. 2021. URL: https://standards.nasa.gov/sites/default/files/standards/NASA/C/0/nasa-std-871914c.pdf.</w:t>
      </w:r>
    </w:p>
    <w:p>
      <w:pPr>
        <w:spacing w:before="0" w:after="50" w:line="240" w:lineRule="auto"/>
        <w:ind w:left="360" w:hanging="360"/>
        <w:jc w:val="both"/>
      </w:pPr>
      <w:r>
        <w:rPr>
          <w:rFonts w:ascii="Times New Roman" w:hAnsi="Times New Roman"/>
          <w:color w:val="000000"/>
          <w:sz w:val="16"/>
        </w:rPr>
        <w:t>[7] ISO, 'Space systems — Space debris mitigation requirements,' ISO 24113:2023(E), 4th ed., May 2023. URL: https://www.iso.org/standard/83494.html.</w:t>
      </w:r>
    </w:p>
    <w:p>
      <w:pPr>
        <w:spacing w:before="0" w:after="50" w:line="240" w:lineRule="auto"/>
        <w:ind w:left="360" w:hanging="360"/>
        <w:jc w:val="both"/>
      </w:pPr>
      <w:r>
        <w:rPr>
          <w:rFonts w:ascii="Times New Roman" w:hAnsi="Times New Roman"/>
          <w:color w:val="000000"/>
          <w:sz w:val="16"/>
        </w:rPr>
        <w:t>[8] ESA, 'ESA Space Debris Mitigation Requirements,' Standard ESSB-ST-U-007, Issue 1, Oct. 2023. URL: https://technology.esa.int/upload/media/ESA-Space-Debris-Mitigation-Requirements-ESSB-ST-U-007-Issue1.pdf.</w:t>
      </w:r>
    </w:p>
    <w:p>
      <w:pPr>
        <w:spacing w:before="0" w:after="50" w:line="240" w:lineRule="auto"/>
        <w:ind w:left="360" w:hanging="360"/>
        <w:jc w:val="both"/>
      </w:pPr>
      <w:r>
        <w:rPr>
          <w:rFonts w:ascii="Times New Roman" w:hAnsi="Times New Roman"/>
          <w:color w:val="000000"/>
          <w:sz w:val="16"/>
        </w:rPr>
        <w:t>[9] C. Ostrom et al., 'Debris Assessment Software User's Guide,' NASA Johnson Space Center, Tech. Rep. NASA/TP-20250011033, May 2025.</w:t>
      </w:r>
    </w:p>
    <w:p>
      <w:pPr>
        <w:spacing w:before="0" w:after="50" w:line="240" w:lineRule="auto"/>
        <w:ind w:left="360" w:hanging="360"/>
        <w:jc w:val="both"/>
      </w:pPr>
      <w:r>
        <w:rPr>
          <w:rFonts w:ascii="Times New Roman" w:hAnsi="Times New Roman"/>
          <w:color w:val="000000"/>
          <w:sz w:val="16"/>
        </w:rPr>
        <w:t>[10] V. Braun et al., 'DRAMA 3.0 — Upgrade of ESA's Debris Risk Assessment and Mitigation Analysis Tool Suite,' in Proc. 1st Int. Orbital Debris Conf., Houston, TX, Dec. 2019, LPI Contrib. No. 2109, Paper 6136.</w:t>
      </w:r>
    </w:p>
    <w:p>
      <w:pPr>
        <w:spacing w:before="0" w:after="50" w:line="240" w:lineRule="auto"/>
        <w:ind w:left="360" w:hanging="360"/>
        <w:jc w:val="both"/>
      </w:pPr>
      <w:r>
        <w:rPr>
          <w:rFonts w:ascii="Times New Roman" w:hAnsi="Times New Roman"/>
          <w:color w:val="000000"/>
          <w:sz w:val="16"/>
        </w:rPr>
        <w:t>[11] LeoLabs, Inc., 'LeoLabs Orbital Intelligence and Commercial Space Traffic Management Platform Architecture,' Tech. Rep., 2026. URL: https://leolabs.space/space-traffic-management/.</w:t>
      </w:r>
    </w:p>
    <w:p>
      <w:pPr>
        <w:spacing w:before="0" w:after="50" w:line="240" w:lineRule="auto"/>
        <w:ind w:left="360" w:hanging="360"/>
        <w:jc w:val="both"/>
      </w:pPr>
      <w:r>
        <w:rPr>
          <w:rFonts w:ascii="Times New Roman" w:hAnsi="Times New Roman"/>
          <w:color w:val="000000"/>
          <w:sz w:val="16"/>
        </w:rPr>
        <w:t>[12] Slingshot Aerospace, 'Slingshot Beacon: First Collision Avoidance Collaboration Platform,' Technical Release, 2024. URL: https://www.slingshot.space/product-beacon.</w:t>
      </w:r>
    </w:p>
    <w:p>
      <w:pPr>
        <w:spacing w:before="0" w:after="50" w:line="240" w:lineRule="auto"/>
        <w:ind w:left="360" w:hanging="360"/>
        <w:jc w:val="both"/>
      </w:pPr>
      <w:r>
        <w:rPr>
          <w:rFonts w:ascii="Times New Roman" w:hAnsi="Times New Roman"/>
          <w:color w:val="000000"/>
          <w:sz w:val="16"/>
        </w:rPr>
        <w:t>[13] S. Hull and W. Schonberg, 'Spacecraft Passivation — An Overview of Requirements and Practices,' NASA Goddard Space Flight Center, NASA NTRS Rep. 20210019018, 2021.</w:t>
      </w:r>
    </w:p>
    <w:p>
      <w:pPr>
        <w:spacing w:before="0" w:after="50" w:line="240" w:lineRule="auto"/>
        <w:ind w:left="360" w:hanging="360"/>
        <w:jc w:val="both"/>
      </w:pPr>
      <w:r>
        <w:rPr>
          <w:rFonts w:ascii="Times New Roman" w:hAnsi="Times New Roman"/>
          <w:color w:val="000000"/>
          <w:sz w:val="16"/>
        </w:rPr>
        <w:t>[14] W. Schonberg and S. Hull, 'Passivation of Spacecraft Pressure Vessels: Some Comments on Requirements, Principles, and Practices,' NASA Langley Research Center, NASA/TM-20230014779, Oct. 2023.</w:t>
      </w:r>
    </w:p>
    <w:p>
      <w:pPr>
        <w:spacing w:before="0" w:after="50" w:line="240" w:lineRule="auto"/>
        <w:ind w:left="360" w:hanging="360"/>
        <w:jc w:val="both"/>
      </w:pPr>
      <w:r>
        <w:rPr>
          <w:rFonts w:ascii="Times New Roman" w:hAnsi="Times New Roman"/>
          <w:color w:val="000000"/>
          <w:sz w:val="16"/>
        </w:rPr>
        <w:t>[15] H. Wang et al., 'DocLLM: A Layout-Aware Generative Language Model for Multimodal Document Understanding,' in Proc. ACL 2024, pp. 463–478. DOI: 10.18653/v1/2024.acl-long.463.</w:t>
      </w:r>
    </w:p>
    <w:p>
      <w:pPr>
        <w:spacing w:before="0" w:after="50" w:line="240" w:lineRule="auto"/>
        <w:ind w:left="360" w:hanging="360"/>
        <w:jc w:val="both"/>
      </w:pPr>
      <w:r>
        <w:rPr>
          <w:rFonts w:ascii="Times New Roman" w:hAnsi="Times New Roman"/>
          <w:color w:val="000000"/>
          <w:sz w:val="16"/>
        </w:rPr>
        <w:t>[16] U.S. Space Force 18 SDS, 'Space-Track.org General Perturbations (GP) and Conjunction Data Message (CDM) API Documentation,' Tech. Rep., 2026. URL: https://www.space-track.org/documentation.</w:t>
      </w:r>
    </w:p>
    <w:p>
      <w:pPr>
        <w:spacing w:before="0" w:after="50" w:line="240" w:lineRule="auto"/>
        <w:ind w:left="360" w:hanging="360"/>
        <w:jc w:val="both"/>
      </w:pPr>
      <w:r>
        <w:rPr>
          <w:rFonts w:ascii="Times New Roman" w:hAnsi="Times New Roman"/>
          <w:color w:val="000000"/>
          <w:sz w:val="16"/>
        </w:rPr>
        <w:t>[17] T. S. Kelso, 'CelesTrak General Perturbation (GP) Data Formats and Orbit Mean-Elements Messages,' CelesTrak Documentation, Mar. 2026. URL: https://celestrak.org/NORAD/documentation/gp-data-formats.php.</w:t>
      </w:r>
    </w:p>
    <w:p>
      <w:pPr>
        <w:spacing w:before="0" w:after="50" w:line="240" w:lineRule="auto"/>
        <w:ind w:left="360" w:hanging="360"/>
        <w:jc w:val="both"/>
      </w:pPr>
      <w:r>
        <w:rPr>
          <w:rFonts w:ascii="Times New Roman" w:hAnsi="Times New Roman"/>
          <w:color w:val="000000"/>
          <w:sz w:val="16"/>
        </w:rPr>
        <w:t>[18] S. Wachter, B. Mittelstadt, and C. Russell, 'Counterfactual Explanations without Opening the Black Box: Automated Decisions and the GDPR,' Harvard J. Law &amp; Tech., vol. 31, no. 2, pp. 841–887, 2018.</w:t>
      </w:r>
    </w:p>
    <w:p>
      <w:pPr>
        <w:spacing w:before="0" w:after="50" w:line="240" w:lineRule="auto"/>
        <w:ind w:left="360" w:hanging="360"/>
        <w:jc w:val="both"/>
      </w:pPr>
      <w:r>
        <w:rPr>
          <w:rFonts w:ascii="Times New Roman" w:hAnsi="Times New Roman"/>
          <w:color w:val="000000"/>
          <w:sz w:val="16"/>
        </w:rPr>
        <w:t>[19] S. M. Lundberg and S.-I. Lee, 'A Unified Approach to Interpreting Model Predictions,' in Advances in Neural Information Processing Systems (NeurIPS 2017), vol. 30, pp. 4765–4774.</w:t>
      </w:r>
    </w:p>
    <w:p>
      <w:pPr>
        <w:spacing w:before="0" w:after="50" w:line="240" w:lineRule="auto"/>
        <w:ind w:left="360" w:hanging="360"/>
        <w:jc w:val="both"/>
      </w:pPr>
      <w:r>
        <w:rPr>
          <w:rFonts w:ascii="Times New Roman" w:hAnsi="Times New Roman"/>
          <w:color w:val="000000"/>
          <w:sz w:val="16"/>
        </w:rPr>
        <w:t>[20] M. T. Ribeiro, S. Singh, and C. Guestrin, '"Why Should I Trust You?": Explaining the Predictions of Any Classifier,' in Proc. ACM SIGKDD 2016, pp. 1135–1144. DOI: 10.1145/2939672.2939778.</w:t>
      </w:r>
    </w:p>
    <w:p>
      <w:pPr>
        <w:spacing w:before="0" w:after="50" w:line="240" w:lineRule="auto"/>
        <w:ind w:left="360" w:hanging="360"/>
        <w:jc w:val="both"/>
      </w:pPr>
      <w:r>
        <w:rPr>
          <w:rFonts w:ascii="Times New Roman" w:hAnsi="Times New Roman"/>
          <w:color w:val="000000"/>
          <w:sz w:val="16"/>
        </w:rPr>
        <w:t>[21] P. Buneman, S. Khanna, and W.-C. Tan, 'Why and Where: A Characterization of Data Provenance,' in Database Theory — ICDT 2001, LNCS vol. 1973, Springer, 2001, pp. 316–330. DOI: 10.1007/3-540-44503-X_20.</w:t>
      </w:r>
    </w:p>
    <w:p>
      <w:pPr>
        <w:spacing w:before="0" w:after="50" w:line="240" w:lineRule="auto"/>
        <w:ind w:left="360" w:hanging="360"/>
        <w:jc w:val="both"/>
      </w:pPr>
      <w:r>
        <w:rPr>
          <w:rFonts w:ascii="Times New Roman" w:hAnsi="Times New Roman"/>
          <w:color w:val="000000"/>
          <w:sz w:val="16"/>
        </w:rPr>
        <w:t>[22] R. Parasuraman, T. B. Sheridan, and C. D. Wickens, 'A Model for Types and Levels of Human Interaction with Automation,' IEEE Trans. Syst., Man, Cybern. A, vol. 30, no. 3, pp. 286–297, May 2000. DOI: 10.1109/3477.844354.</w:t>
      </w:r>
    </w:p>
    <w:p>
      <w:pPr>
        <w:spacing w:before="0" w:after="50" w:line="240" w:lineRule="auto"/>
        <w:ind w:left="360" w:hanging="360"/>
        <w:jc w:val="both"/>
      </w:pPr>
      <w:r>
        <w:rPr>
          <w:rFonts w:ascii="Times New Roman" w:hAnsi="Times New Roman"/>
          <w:color w:val="000000"/>
          <w:sz w:val="16"/>
        </w:rPr>
        <w:t>[23] J.-C. Liou et al., 'Stability of the Future LEO Environment — An IADC Comparison Study,' in Proc. 6th European Conf. Space Debris (SDC6), Darmstadt, Germany, 2013, Paper 199.</w:t>
      </w:r>
    </w:p>
    <w:p>
      <w:pPr>
        <w:spacing w:before="0" w:after="50" w:line="240" w:lineRule="auto"/>
        <w:ind w:left="360" w:hanging="360"/>
        <w:jc w:val="both"/>
      </w:pPr>
      <w:r>
        <w:rPr>
          <w:rFonts w:ascii="Times New Roman" w:hAnsi="Times New Roman"/>
          <w:color w:val="000000"/>
          <w:sz w:val="16"/>
        </w:rPr>
        <w:t>[24] J.-C. Liou et al., 'The Effectiveness of Mitigation Measures in Stabilizing the LEO Environment,' NASA Orbital Debris Program Office, Tech. Rep., 2018.</w:t>
      </w:r>
    </w:p>
    <w:p>
      <w:pPr>
        <w:spacing w:before="0" w:after="50" w:line="240" w:lineRule="auto"/>
        <w:ind w:left="360" w:hanging="360"/>
        <w:jc w:val="both"/>
      </w:pPr>
      <w:r>
        <w:rPr>
          <w:rFonts w:ascii="Times New Roman" w:hAnsi="Times New Roman"/>
          <w:color w:val="000000"/>
          <w:sz w:val="16"/>
        </w:rPr>
        <w:t>[25] C. Guo, G. Pleiss, Y. Sun, and K. Q. Weinberger, 'On Calibration of Modern Neural Networks,' in Proc. ICML 2017, PMLR vol. 70, pp. 1321–1330.</w:t>
      </w:r>
    </w:p>
    <w:p>
      <w:pPr>
        <w:spacing w:before="0" w:after="50" w:line="240" w:lineRule="auto"/>
        <w:ind w:left="360" w:hanging="360"/>
        <w:jc w:val="both"/>
      </w:pPr>
      <w:r>
        <w:rPr>
          <w:rFonts w:ascii="Times New Roman" w:hAnsi="Times New Roman"/>
          <w:color w:val="000000"/>
          <w:sz w:val="16"/>
        </w:rPr>
        <w:t>[26] Y. Ovadia et al., 'Can You Trust Your Model's Uncertainty? Evaluating Predictive Uncertainty Under Dataset Shift,' in Advances in Neural Information Processing Systems (NeurIPS 2019), vol. 32, pp. 13991–14002.</w:t>
      </w:r>
    </w:p>
    <w:p>
      <w:pPr>
        <w:spacing w:before="0" w:after="50" w:line="240" w:lineRule="auto"/>
        <w:ind w:left="360" w:hanging="360"/>
        <w:jc w:val="both"/>
      </w:pPr>
      <w:r>
        <w:rPr>
          <w:rFonts w:ascii="Times New Roman" w:hAnsi="Times New Roman"/>
          <w:color w:val="000000"/>
          <w:sz w:val="16"/>
        </w:rPr>
        <w:t>[27] S. Amershi et al., 'Guidelines for Human-AI Interaction,' in Proc. ACM CHI 2019, Paper 3, pp. 1–13. DOI: 10.1145/3290605.3300233.</w:t>
      </w:r>
    </w:p>
    <w:p>
      <w:pPr>
        <w:spacing w:before="0" w:after="50" w:line="240" w:lineRule="auto"/>
        <w:ind w:left="360" w:hanging="360"/>
        <w:jc w:val="both"/>
      </w:pPr>
      <w:r>
        <w:rPr>
          <w:rFonts w:ascii="Times New Roman" w:hAnsi="Times New Roman"/>
          <w:color w:val="000000"/>
          <w:sz w:val="16"/>
        </w:rPr>
        <w:t>[28] P. H. Krisko and S. Flegel, 'ORDEM 3.0 and MASTER-2009 Modeled Small Debris Population Comparison,' Acta Astronautica, vol. 115, pp. 248–259, 2015. DOI: 10.1016/j.actaastro.2015.02.023.</w:t>
      </w:r>
    </w:p>
    <w:p>
      <w:pPr>
        <w:spacing w:before="0" w:after="50" w:line="240" w:lineRule="auto"/>
        <w:ind w:left="360" w:hanging="360"/>
        <w:jc w:val="both"/>
      </w:pPr>
      <w:r>
        <w:rPr>
          <w:rFonts w:ascii="Times New Roman" w:hAnsi="Times New Roman"/>
          <w:color w:val="000000"/>
          <w:sz w:val="16"/>
        </w:rPr>
        <w:t>[29] P. Lewis et al., 'Retrieval-Augmented Generation for Knowledge-Intensive NLP Tasks,' in Advances in Neural Information Processing Systems (NeurIPS 2020), vol. 33, pp. 9459–9474.</w:t>
      </w:r>
    </w:p>
    <w:p>
      <w:pPr>
        <w:spacing w:before="0" w:after="50" w:line="240" w:lineRule="auto"/>
        <w:ind w:left="360" w:hanging="360"/>
        <w:jc w:val="both"/>
      </w:pPr>
      <w:r>
        <w:rPr>
          <w:rFonts w:ascii="Times New Roman" w:hAnsi="Times New Roman"/>
          <w:color w:val="000000"/>
          <w:sz w:val="16"/>
        </w:rPr>
        <w:t>[30] Y. Gao et al., 'Retrieval-Augmented Generation for Large Language Models: A Survey,' arXiv preprint arXiv:2312.10997, Dec. 2023.</w:t>
      </w:r>
    </w:p>
    <w:p>
      <w:pPr>
        <w:spacing w:before="0" w:after="50" w:line="240" w:lineRule="auto"/>
        <w:ind w:left="360" w:hanging="360"/>
        <w:jc w:val="both"/>
      </w:pPr>
      <w:r>
        <w:rPr>
          <w:rFonts w:ascii="Times New Roman" w:hAnsi="Times New Roman"/>
          <w:color w:val="000000"/>
          <w:sz w:val="16"/>
        </w:rPr>
        <w:t>[31] T. Miller, 'Explanation in Artificial Intelligence: Insights from the Social Sciences,' Artificial Intelligence, vol. 267, pp. 1–38, Feb. 2019. DOI: 10.1016/j.artint.2018.07.007.</w:t>
      </w:r>
    </w:p>
    <w:p>
      <w:pPr>
        <w:spacing w:before="0" w:after="50" w:line="240" w:lineRule="auto"/>
        <w:ind w:left="360" w:hanging="360"/>
        <w:jc w:val="both"/>
      </w:pPr>
      <w:r>
        <w:rPr>
          <w:rFonts w:ascii="Times New Roman" w:hAnsi="Times New Roman"/>
          <w:color w:val="000000"/>
          <w:sz w:val="16"/>
        </w:rPr>
        <w:t>[32] R. Guidotti et al., 'A Survey of Methods for Explaining Black Box Models,' ACM Comput. Surv., vol. 51, no. 5, pp. 93:1–93:42, Aug. 2018. DOI: 10.1145/3236009.</w:t>
      </w:r>
    </w:p>
    <w:p>
      <w:pPr>
        <w:spacing w:before="0" w:after="50" w:line="240" w:lineRule="auto"/>
        <w:ind w:left="360" w:hanging="360"/>
        <w:jc w:val="both"/>
      </w:pPr>
      <w:r>
        <w:rPr>
          <w:rFonts w:ascii="Times New Roman" w:hAnsi="Times New Roman"/>
          <w:color w:val="000000"/>
          <w:sz w:val="16"/>
        </w:rPr>
        <w:t>[33] D. Sculley et al., 'Hidden Technical Debt in Machine Learning Systems,' in Advances in Neural Information Processing Systems (NeurIPS 2015), vol. 28, pp. 2503–2511.</w:t>
      </w:r>
    </w:p>
    <w:p>
      <w:pPr>
        <w:spacing w:before="0" w:after="50" w:line="240" w:lineRule="auto"/>
        <w:ind w:left="360" w:hanging="360"/>
        <w:jc w:val="both"/>
      </w:pPr>
      <w:r>
        <w:rPr>
          <w:rFonts w:ascii="Times New Roman" w:hAnsi="Times New Roman"/>
          <w:color w:val="000000"/>
          <w:sz w:val="16"/>
        </w:rPr>
        <w:t>[34] IADC, 'IADC Space Debris Mitigation Guidelines,' Document IADC-02-01, Revision 2, Mar. 2020. URL: https://www.iadc-home.org/documents_public/file_down/id/5836.</w:t>
      </w:r>
    </w:p>
    <w:p>
      <w:pPr>
        <w:spacing w:before="0" w:after="50" w:line="240" w:lineRule="auto"/>
        <w:ind w:left="360" w:hanging="360"/>
        <w:jc w:val="both"/>
      </w:pPr>
      <w:r>
        <w:rPr>
          <w:rFonts w:ascii="Times New Roman" w:hAnsi="Times New Roman"/>
          <w:color w:val="000000"/>
          <w:sz w:val="16"/>
        </w:rPr>
        <w:t>[35] UNOOSA, 'Space Debris Mitigation Guidelines of the Committee on the Peaceful Uses of Outer Space,' United Nations, Vienna, ST/SPACE/49, 2010.</w:t>
      </w:r>
    </w:p>
    <w:p>
      <w:pPr>
        <w:spacing w:before="0" w:after="50" w:line="240" w:lineRule="auto"/>
        <w:ind w:left="360" w:hanging="360"/>
        <w:jc w:val="both"/>
      </w:pPr>
      <w:r>
        <w:rPr>
          <w:rFonts w:ascii="Times New Roman" w:hAnsi="Times New Roman"/>
          <w:color w:val="000000"/>
          <w:sz w:val="16"/>
        </w:rPr>
        <w:t>[36] UN COPUOS, 'Space Debris Compendium,' Legal Subcommittee, A/AC.105/C.2/2025, May 2025.</w:t>
      </w:r>
    </w:p>
    <w:p>
      <w:pPr>
        <w:spacing w:before="0" w:after="50" w:line="240" w:lineRule="auto"/>
        <w:ind w:left="360" w:hanging="360"/>
        <w:jc w:val="both"/>
      </w:pPr>
      <w:r>
        <w:rPr>
          <w:rFonts w:ascii="Times New Roman" w:hAnsi="Times New Roman"/>
          <w:color w:val="000000"/>
          <w:sz w:val="16"/>
        </w:rPr>
        <w:t>[37] NIST, 'Artificial Intelligence Risk Management Framework (AI RMF 1.0),' NIST AI 100-1, Jan. 2023.</w:t>
      </w:r>
    </w:p>
    <w:p>
      <w:pPr>
        <w:spacing w:before="0" w:after="50" w:line="240" w:lineRule="auto"/>
        <w:ind w:left="360" w:hanging="360"/>
        <w:jc w:val="both"/>
      </w:pPr>
      <w:r>
        <w:rPr>
          <w:rFonts w:ascii="Times New Roman" w:hAnsi="Times New Roman"/>
          <w:color w:val="000000"/>
          <w:sz w:val="16"/>
        </w:rPr>
        <w:t>[38] FAA, 'Mitigation Methods for Launch Vehicle Upper Stages on the Creation of Orbital Debris,' NPRM, Docket No. FAA-2023-1858, RIN 2120-AK81, Sep. 2023.</w:t>
      </w:r>
    </w:p>
    <w:p>
      <w:pPr>
        <w:spacing w:before="0" w:after="50" w:line="240" w:lineRule="auto"/>
        <w:ind w:left="360" w:hanging="360"/>
        <w:jc w:val="both"/>
      </w:pPr>
      <w:r>
        <w:rPr>
          <w:rFonts w:ascii="Times New Roman" w:hAnsi="Times New Roman"/>
          <w:color w:val="000000"/>
          <w:sz w:val="16"/>
        </w:rPr>
        <w:t>[39] ISRO, 'India’s Intent on Debris-Free Space Missions — Explained,' Bengaluru, India, Apr. 19, 2024. URL: https://www.isro.gov.in/Debris_Free_Space_Missions.html.</w:t>
      </w:r>
    </w:p>
    <w:p>
      <w:pPr>
        <w:spacing w:before="0" w:after="50" w:line="240" w:lineRule="auto"/>
        <w:ind w:left="360" w:hanging="360"/>
        <w:jc w:val="both"/>
      </w:pPr>
      <w:r>
        <w:rPr>
          <w:rFonts w:ascii="Times New Roman" w:hAnsi="Times New Roman"/>
          <w:color w:val="000000"/>
          <w:sz w:val="16"/>
        </w:rPr>
        <w:t>[40] Hackyard, 'Hackyard Build 2026: Project &amp; Participant Guide,' IIT Guwahati, Oct. 2026. URL: https://hackyard.org/build2026/guide.</w:t>
      </w:r>
    </w:p>
    <w:sectPr w:rsidR="00FC693F" w:rsidRPr="0006063C" w:rsidSect="00034616">
      <w:footerReference w:type="first" r:id="rId9"/>
      <w:footerReference w:type="default" r:id="rId10"/>
      <w:pgSz w:w="12240" w:h="15840"/>
      <w:pgMar w:top="1440" w:right="216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718096"/>
        <w:sz w:val="16"/>
      </w:rPr>
      <w:t>_________________________________________</w:t>
      <w:br/>
    </w:r>
    <w:r>
      <w:rPr>
        <w:rFonts w:ascii="Times New Roman" w:hAnsi="Times New Roman"/>
        <w:color w:val="1A202C"/>
        <w:sz w:val="16"/>
      </w:rPr>
      <w:t>*Team TwinForge (Narayan Kumar Jha, Aditya Kumar Sharma, Roshan Kumar Singh) · Project ID: 4afc0da9-895d-4727-befa-772166bd5dd9</w:t>
      <w:br/>
      <w:t xml:space="preserve">  Hackyard Build 2026 Wave 3 Finalist, IIT Guwahati (24–25 Oct 2026). Verification: https://hackyard.org/build2026/result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