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A365D"/>
          <w:sz w:val="44"/>
        </w:rPr>
        <w:t>OrbitScore: An Explainable, Provable, and Human-in-the-Loop Space Mission Compliance and Orbital Debris Mitigation Engine</w:t>
      </w:r>
    </w:p>
    <w:p>
      <w:pPr>
        <w:spacing w:before="0" w:after="280"/>
        <w:jc w:val="center"/>
      </w:pPr>
      <w:r>
        <w:rPr>
          <w:rFonts w:ascii="Calibri" w:hAnsi="Calibri"/>
          <w:i/>
          <w:color w:val="4A5568"/>
          <w:sz w:val="24"/>
        </w:rPr>
        <w:t>System Architecture, Astrodynamics Validation, and Statutory Alignment for Hackyard Build 2026</w:t>
      </w:r>
    </w:p>
    <w:tbl>
      <w:tblPr>
        <w:tblW w:type="auto" w:w="0"/>
        <w:jc w:val="center"/>
        <w:tblLayout w:type="fixed"/>
        <w:tblLook w:firstColumn="1" w:firstRow="1" w:lastColumn="0" w:lastRow="0" w:noHBand="0" w:noVBand="1" w:val="04A0"/>
      </w:tblPr>
      <w:tblGrid>
        <w:gridCol w:w="10080"/>
      </w:tblGrid>
      <w:tr>
        <w:tc>
          <w:tcPr>
            <w:tcW w:type="dxa" w:w="10080"/>
            <w:shd w:fill="EDF2F7"/>
            <w:tcMar>
              <w:top w:w="140" w:type="dxa"/>
              <w:bottom w:w="140" w:type="dxa"/>
              <w:left w:w="180" w:type="dxa"/>
              <w:right w:w="180" w:type="dxa"/>
            </w:tcMar>
          </w:tcPr>
          <w:p>
            <w:pPr>
              <w:spacing w:before="0" w:after="40"/>
              <w:jc w:val="center"/>
            </w:pPr>
            <w:r>
              <w:rPr>
                <w:rFonts w:ascii="Calibri" w:hAnsi="Calibri"/>
                <w:b/>
                <w:color w:val="1A365D"/>
                <w:sz w:val="22"/>
              </w:rPr>
              <w:t>Team TwinForge (Team of 3) · Selected Wave 3 Finalist (ID: 4afc0da9-895d-4727-befa-772166bd5dd9)</w:t>
              <w:br/>
            </w:r>
            <w:r>
              <w:rPr>
                <w:rFonts w:ascii="Calibri" w:hAnsi="Calibri"/>
                <w:b/>
                <w:color w:val="2B6CB0"/>
                <w:sz w:val="24"/>
              </w:rPr>
              <w:t>Narayan Kumar Jha   ·   Aditya Kumar Sharma   ·   Roshan Kumar Singh</w:t>
              <w:br/>
            </w:r>
            <w:r>
              <w:rPr>
                <w:rFonts w:ascii="Calibri" w:hAnsi="Calibri"/>
                <w:i/>
                <w:color w:val="4A5568"/>
                <w:sz w:val="19"/>
              </w:rPr>
              <w:t>Hackyard Build 2026 · Indian Institute of Technology (IIT) Guwahati · 24–25 October 2026</w:t>
              <w:br/>
              <w:t>Official Finalist Result Verification: https://hackyard.org/build2026/result</w:t>
            </w:r>
          </w:p>
        </w:tc>
      </w:tr>
    </w:tbl>
    <w:p>
      <w:pPr>
        <w:spacing w:before="0" w:after="160"/>
      </w:pPr>
    </w:p>
    <w:tbl>
      <w:tblPr>
        <w:tblW w:type="auto" w:w="0"/>
        <w:jc w:val="center"/>
        <w:tblLayout w:type="fixed"/>
        <w:tblLook w:firstColumn="1" w:firstRow="1" w:lastColumn="0" w:lastRow="0" w:noHBand="0" w:noVBand="1" w:val="04A0"/>
      </w:tblPr>
      <w:tblGrid>
        <w:gridCol w:w="10080"/>
      </w:tblGrid>
      <w:tr>
        <w:tc>
          <w:tcPr>
            <w:tcW w:type="dxa" w:w="10080"/>
            <w:shd w:fill="F7FAFC"/>
            <w:tcMar>
              <w:top w:w="120" w:type="dxa"/>
              <w:bottom w:w="120" w:type="dxa"/>
              <w:left w:w="180" w:type="dxa"/>
              <w:right w:w="180" w:type="dxa"/>
            </w:tcMar>
            <w:tcBorders>
              <w:left w:val="single" w:sz="36" w:space="0" w:color="2B6CB0"/>
              <w:top w:val="none"/>
              <w:right w:val="none"/>
              <w:bottom w:val="none"/>
            </w:tcBorders>
          </w:tcPr>
          <w:p>
            <w:pPr>
              <w:spacing w:before="40" w:after="40" w:line="276" w:lineRule="auto"/>
            </w:pPr>
            <w:r>
              <w:rPr>
                <w:rFonts w:ascii="Calibri" w:hAnsi="Calibri"/>
                <w:b/>
                <w:color w:val="1A365D"/>
                <w:sz w:val="20"/>
              </w:rPr>
              <w:t xml:space="preserve">ABSTRACT— </w:t>
            </w:r>
            <w:r>
              <w:rPr>
                <w:rFonts w:ascii="Calibri" w:hAnsi="Calibri"/>
                <w:i/>
                <w:color w:val="2D3748"/>
                <w:sz w:val="20"/>
              </w:rPr>
              <w:t>The exponential growth of commercial small satellite constellations in Low Earth Orbit (LEO) has precipitated a severe orbital congestion crisis, prompting international regulators to shift from voluntary multi-decade disposal guidelines to strictly enforced five-year deorbit rules (FCC 22-74), rigorous passivation mandates (NASA-STD-8719.14C, ISO 24113:2023), and stringent human casualty risk thresholds (ESA ESSB-ST-U-007). Emerging small satellite operators and university engineering teams face an acute operational bottleneck: existing compliance pathways require either manual, multi-month workflows with legacy desktop utilities (NASA DAS, ESA DRAMA) that lack API automation and optimization, or enterprise Space Situational Awareness (SSA) platforms (LeoLabs, Slingshot Beacon) priced beyond pre-launch budgets. In this paper, Team TwinForge introduces OrbitScore, a unified, explainable, and human-in-the-loop space mission compliance and orbital debris mitigation engine developed for Hackyard Build 2026. OrbitScore features a decoupled three-layer architecture: (1) a multimodal document and ephemeris ingestion layer leveraging DocLLM and CCSDS OMM/TLE parsers; (2) a deterministic astrodynamics and statutory evaluation engine calculating physics-grounded sub-indices for Post-Mission Disposal (PMD), accidental explosion/passivation risk, on-orbit conjunction probability, and reentry casualty footprint; and (3) an explainable intelligence layer implementing gradient-free counterfactual remediation (Wachter et al., 2018), SHAP/LIME feature attributions, temperature-scaled confidence calibration, and cryptographically immutable data provenance (W3C PROV-O DAG). We validate OrbitScore across realistic 3U CubeSat (550 km SSO), 12U SmallSat (700 km SSO), and mega-constellation batch mission profiles, proving that OrbitScore reduces pre-launch compliance screening time from months to minutes while guaranteeing strict Human-in-the-Loop decision governance (Parasuraman Level 4 LOA).</w:t>
            </w:r>
          </w:p>
        </w:tc>
      </w:tr>
    </w:tbl>
    <w:p>
      <w:pPr>
        <w:spacing w:before="0" w:after="80"/>
      </w:pPr>
    </w:p>
    <w:p>
      <w:pPr>
        <w:spacing w:before="0" w:after="120" w:line="276" w:lineRule="auto"/>
      </w:pPr>
      <w:r>
        <w:rPr>
          <w:rFonts w:ascii="Calibri" w:hAnsi="Calibri"/>
          <w:b/>
          <w:color w:val="2D3748"/>
          <w:sz w:val="21"/>
        </w:rPr>
        <w:t xml:space="preserve">Keywords— </w:t>
      </w:r>
      <w:r>
        <w:rPr>
          <w:rFonts w:ascii="Calibri" w:hAnsi="Calibri"/>
          <w:i w:val="0"/>
          <w:color w:val="2D3748"/>
          <w:sz w:val="21"/>
        </w:rPr>
        <w:t>Space Debris Mitigation, Kessler Syndrome, Regulatory Compliance, Post-Mission Disposal (PMD), Spacecraft Passivation, FCC 5-Year Rule, NASA-STD-8719.14C, ISO 24113:2023, Explainable AI (XAI), Counterfactual Explanations, Data Provenance, Human-in-the-Loop (HITL), Hackyard Build 2026, TwinForge.</w:t>
      </w:r>
    </w:p>
    <w:p>
      <w:pPr>
        <w:keepNext/>
        <w:spacing w:before="360" w:after="120"/>
      </w:pPr>
      <w:r>
        <w:rPr>
          <w:rFonts w:ascii="Calibri" w:hAnsi="Calibri"/>
          <w:b/>
          <w:color w:val="1A365D"/>
          <w:sz w:val="30"/>
        </w:rPr>
        <w:t>1. Introduction &amp; The Orbital Congestion Crisis</w:t>
      </w:r>
    </w:p>
    <w:p>
      <w:pPr>
        <w:spacing w:before="0" w:after="120" w:line="276" w:lineRule="auto"/>
      </w:pPr>
      <w:r>
        <w:rPr>
          <w:rFonts w:ascii="Calibri" w:hAnsi="Calibri"/>
          <w:i w:val="0"/>
          <w:color w:val="2D3748"/>
          <w:sz w:val="21"/>
        </w:rPr>
        <w:t>The operational environment of Low Earth Orbit (LEO, defined as the orbital shell below 2,000 km altitude) is experiencing an unprecedented structural transformation. Over the past five years, the operational satellite population has increased by more than 400%, driven primarily by commercial mega-constellations deployed in dense orbital shells between 500 km and 1,200 km. Concurrently, the tracked catalog maintained by the U.S. Space Force 18th Space Defense Squadron (18 SDS) encompasses over 36,000 debris objects larger than 10 cm, while statistical models developed by NASA and the European Space Agency (ESA) estimate a background population exceeding 1,000,000 lethal, untracked fragments between 1 cm and 10 cm.</w:t>
      </w:r>
    </w:p>
    <w:p>
      <w:pPr>
        <w:spacing w:before="0" w:after="120" w:line="276" w:lineRule="auto"/>
      </w:pPr>
      <w:r>
        <w:rPr>
          <w:rFonts w:ascii="Calibri" w:hAnsi="Calibri"/>
          <w:i w:val="0"/>
          <w:color w:val="2D3748"/>
          <w:sz w:val="21"/>
        </w:rPr>
        <w:t>The theoretical foundation of orbital runaway collision cascades was first formalized by Kessler and Cour-Palais (1978), demonstrating that as the density of artificial satellites increases, random hypervelocity mutual collisions generate fragments at a rate exceeding atmospheric drag removal, eventually creating an exponential, self-sustaining debris belt [1]. In a subsequent critical treatise, Kessler (1981) demonstrated that specific orbital altitude shells—predominantly the 900–1,000 km sun-synchronous band—possess a critical spatial density threshold beyond which collisional cascading becomes irreversible [2]. Modern empirical confirmation arrived in the landmark Science investigation by Liou and Johnson (2006), which utilized NASA’s LEGEND (LEO-to-GEO Environment Debris) evolutionary model to prove that the LEO debris population has already surpassed critical density: even under the extreme theoretical assumption of zero future launches, the fragment population will continue to expand indefinitely through catastrophic collision feedback [3].</w:t>
      </w:r>
    </w:p>
    <w:p>
      <w:pPr>
        <w:spacing w:before="0" w:after="120" w:line="276" w:lineRule="auto"/>
      </w:pPr>
      <w:r>
        <w:rPr>
          <w:rFonts w:ascii="Calibri" w:hAnsi="Calibri"/>
          <w:i w:val="0"/>
          <w:color w:val="2D3748"/>
          <w:sz w:val="21"/>
        </w:rPr>
        <w:t>To avert a systemic operational failure of near-Earth space, international regulatory bodies and space agencies have enacted binding statutory rules replacing historical, voluntary 25-year guidelines. Most notably, the U.S. Federal Communications Commission (FCC) adopted Report and Order 22-74 in September 2022, legally mandating that all US-licensed satellites ending their mission in or passing through LEO must complete disposal via atmospheric reentry within five years [4]. In parallel, NASA NPR 8715.6E and NASA Technical Standard NASA-STD-8719.14C have established strict, quantitative limits on accidental explosion probability (Requirement 4.4-1: P_expl &lt; 10^-3), operational and post-mission conjunction collision probability (Requirement 4.5-1: P_coll &lt; 10^-3), and uncontrolled atmospheric reentry human casualty risk (Requirement 4.7-1: E_c &lt; 10^-4) [5, 6]. Across Europe, ESA’s Space Debris Mitigation Requirements (ESSB-ST-U-007) and the International Organization for Standardization’s ISO 24113:2023 standard enforce a mandatory Post-Mission Disposal (PMD) reliability threshold of P_pmd &gt;= 0.90 (with a goal of 0.99 for large constellations) alongside complete stored energy passivation [7, 8].</w:t>
      </w:r>
    </w:p>
    <w:p>
      <w:pPr>
        <w:keepNext/>
        <w:spacing w:before="360" w:after="120"/>
      </w:pPr>
      <w:r>
        <w:rPr>
          <w:rFonts w:ascii="Calibri" w:hAnsi="Calibri"/>
          <w:b/>
          <w:color w:val="1A365D"/>
          <w:sz w:val="30"/>
        </w:rPr>
        <w:t>2. Problem Archaeology: The Regulatory Bottleneck for Emerging Space Operators</w:t>
      </w:r>
    </w:p>
    <w:p>
      <w:pPr>
        <w:spacing w:before="0" w:after="120" w:line="276" w:lineRule="auto"/>
      </w:pPr>
      <w:r>
        <w:rPr>
          <w:rFonts w:ascii="Calibri" w:hAnsi="Calibri"/>
          <w:i w:val="0"/>
          <w:color w:val="2D3748"/>
          <w:sz w:val="21"/>
        </w:rPr>
        <w:t>While global space agencies and well-funded mega-constellation prime contractors maintain dedicated departments for regulatory affairs and orbital safety, emerging small satellite operators, commercial NewSpace startups, and university CubeSat teams face an intractable operational bottleneck. These operators represent the fastest-growing segment of LEO launches, yet they are structurally ill-equipped to execute complex, multi-jurisdictional compliance workflows.</w:t>
      </w:r>
    </w:p>
    <w:p>
      <w:pPr>
        <w:keepNext/>
        <w:spacing w:before="260" w:after="80"/>
      </w:pPr>
      <w:r>
        <w:rPr>
          <w:rFonts w:ascii="Calibri" w:hAnsi="Calibri"/>
          <w:b/>
          <w:color w:val="2B6CB0"/>
          <w:sz w:val="25"/>
        </w:rPr>
        <w:t>2.1 Current Operator Workflow &amp; Tooling Fragmentation</w:t>
      </w:r>
    </w:p>
    <w:p>
      <w:pPr>
        <w:spacing w:before="0" w:after="120" w:line="276" w:lineRule="auto"/>
      </w:pPr>
      <w:r>
        <w:rPr>
          <w:rFonts w:ascii="Calibri" w:hAnsi="Calibri"/>
          <w:i w:val="0"/>
          <w:color w:val="2D3748"/>
          <w:sz w:val="21"/>
        </w:rPr>
        <w:t>Today, preparing an Orbital Debris Assessment Report (ODAR) or an End-of-Mission Plan (EOMP) requires operators to manually extract parameters from mechanical CAD drawings, propulsion data sheets, and orbital ephemerides, manually inputting these values into desktop software tools such as NASA’s Debris Assessment Software (DAS 3.2) or ESA’s Debris Risk Assessment and Mitigation Analysis (DRAMA 3.0) [9, 10]. Both tools suffer from severe limitations when embedded into modern software development lifecycles:</w:t>
      </w:r>
    </w:p>
    <w:p>
      <w:pPr>
        <w:spacing w:before="0" w:after="120" w:line="276" w:lineRule="auto"/>
      </w:pPr>
      <w:r>
        <w:rPr>
          <w:rFonts w:ascii="Calibri" w:hAnsi="Calibri"/>
          <w:b/>
          <w:color w:val="2D3748"/>
          <w:sz w:val="21"/>
        </w:rPr>
        <w:t xml:space="preserve">1. </w:t>
      </w:r>
      <w:r>
        <w:rPr>
          <w:rFonts w:ascii="Calibri" w:hAnsi="Calibri"/>
          <w:i w:val="0"/>
          <w:color w:val="2D3748"/>
          <w:sz w:val="21"/>
        </w:rPr>
        <w:t>• Desktop-Bound &amp; Scripting Deficits: Legacy tools are compiled desktop executables (C++/Fortran DLLs) lacking cloud-native REST APIs, continuous-integration capabilities, or automated telemetry ingestion.</w:t>
      </w:r>
    </w:p>
    <w:p>
      <w:pPr>
        <w:spacing w:before="0" w:after="120" w:line="276" w:lineRule="auto"/>
      </w:pPr>
      <w:r>
        <w:rPr>
          <w:rFonts w:ascii="Calibri" w:hAnsi="Calibri"/>
          <w:b/>
          <w:color w:val="2D3748"/>
          <w:sz w:val="21"/>
        </w:rPr>
        <w:t xml:space="preserve">2. </w:t>
      </w:r>
      <w:r>
        <w:rPr>
          <w:rFonts w:ascii="Calibri" w:hAnsi="Calibri"/>
          <w:i w:val="0"/>
          <w:color w:val="2D3748"/>
          <w:sz w:val="21"/>
        </w:rPr>
        <w:t>• Binary Go/No-Go Output Without Remediation: If a mission fails a requirement (e.g., DAS reports Requirement 4.6-2 non-compliant due to a 7.2-year orbital lifetime), the software offers no optimization guidance. Operators must manually iterate over orbital parameters without knowing the minimal change required to achieve compliance.</w:t>
      </w:r>
    </w:p>
    <w:p>
      <w:pPr>
        <w:spacing w:before="0" w:after="120" w:line="276" w:lineRule="auto"/>
      </w:pPr>
      <w:r>
        <w:rPr>
          <w:rFonts w:ascii="Calibri" w:hAnsi="Calibri"/>
          <w:b/>
          <w:color w:val="2D3748"/>
          <w:sz w:val="21"/>
        </w:rPr>
        <w:t xml:space="preserve">3. </w:t>
      </w:r>
      <w:r>
        <w:rPr>
          <w:rFonts w:ascii="Calibri" w:hAnsi="Calibri"/>
          <w:i w:val="0"/>
          <w:color w:val="2D3748"/>
          <w:sz w:val="21"/>
        </w:rPr>
        <w:t>• Prohibitive Enterprise Alternatives: Commercial Space Situational Awareness (SSA) and Space Traffic Management (STM) platforms (e.g., LeoLabs, Slingshot Beacon) offer high-fidelity live tracking and conjunction streaming but charge six-figure annual subscriptions ($50,000–$250,000/year) targeted at operational mega-constellations, completely bypassing pre-launch design screening for small operators [11, 12].</w:t>
      </w:r>
    </w:p>
    <w:p>
      <w:pPr>
        <w:keepNext/>
        <w:spacing w:before="260" w:after="80"/>
      </w:pPr>
      <w:r>
        <w:rPr>
          <w:rFonts w:ascii="Calibri" w:hAnsi="Calibri"/>
          <w:b/>
          <w:color w:val="2B6CB0"/>
          <w:sz w:val="25"/>
        </w:rPr>
        <w:t>2.2 Anatomy of Pre-Launch Compliance Failures</w:t>
      </w:r>
    </w:p>
    <w:p>
      <w:pPr>
        <w:spacing w:before="0" w:after="120" w:line="276" w:lineRule="auto"/>
      </w:pPr>
      <w:r>
        <w:rPr>
          <w:rFonts w:ascii="Calibri" w:hAnsi="Calibri"/>
          <w:i w:val="0"/>
          <w:color w:val="2D3748"/>
          <w:sz w:val="21"/>
        </w:rPr>
        <w:t>Our field audit of small satellite licensing filings identifies four recurrent structural failure points:</w:t>
      </w:r>
    </w:p>
    <w:p>
      <w:pPr>
        <w:spacing w:before="0" w:after="120" w:line="276" w:lineRule="auto"/>
      </w:pPr>
      <w:r>
        <w:rPr>
          <w:rFonts w:ascii="Calibri" w:hAnsi="Calibri"/>
          <w:b/>
          <w:color w:val="2D3748"/>
          <w:sz w:val="21"/>
        </w:rPr>
        <w:t xml:space="preserve">A. </w:t>
      </w:r>
      <w:r>
        <w:rPr>
          <w:rFonts w:ascii="Calibri" w:hAnsi="Calibri"/>
          <w:i w:val="0"/>
          <w:color w:val="2D3748"/>
          <w:sz w:val="21"/>
        </w:rPr>
        <w:t>• Atmospheric Decay Miscalculation: Inaccurate BSTAR or ballistic coefficient estimates leading to post-mission lifetimes exceeding statutory thresholds (e.g., 5-year FCC rule or 25-year international benchmark).</w:t>
      </w:r>
    </w:p>
    <w:p>
      <w:pPr>
        <w:spacing w:before="0" w:after="120" w:line="276" w:lineRule="auto"/>
      </w:pPr>
      <w:r>
        <w:rPr>
          <w:rFonts w:ascii="Calibri" w:hAnsi="Calibri"/>
          <w:b/>
          <w:color w:val="2D3748"/>
          <w:sz w:val="21"/>
        </w:rPr>
        <w:t xml:space="preserve">B. </w:t>
      </w:r>
      <w:r>
        <w:rPr>
          <w:rFonts w:ascii="Calibri" w:hAnsi="Calibri"/>
          <w:i w:val="0"/>
          <w:color w:val="2D3748"/>
          <w:sz w:val="21"/>
        </w:rPr>
        <w:t>• Stored Energy Passivation Deficits: Inadequate depletion of propulsion tanks and battery charge. Recent empirical investigations by Schonberg and Hull (2021, 2023) show that soft passivation requires reducing tank internal pressures to 15%–25% of static burst pressure to prevent catastrophic fragmentation upon hypervelocity micrometeoroid impact [13, 14]. Small teams frequently fail to document or design for this threshold.</w:t>
      </w:r>
    </w:p>
    <w:p>
      <w:pPr>
        <w:spacing w:before="0" w:after="120" w:line="276" w:lineRule="auto"/>
      </w:pPr>
      <w:r>
        <w:rPr>
          <w:rFonts w:ascii="Calibri" w:hAnsi="Calibri"/>
          <w:b/>
          <w:color w:val="2D3748"/>
          <w:sz w:val="21"/>
        </w:rPr>
        <w:t xml:space="preserve">C. </w:t>
      </w:r>
      <w:r>
        <w:rPr>
          <w:rFonts w:ascii="Calibri" w:hAnsi="Calibri"/>
          <w:i w:val="0"/>
          <w:color w:val="2D3748"/>
          <w:sz w:val="21"/>
        </w:rPr>
        <w:t>• Conjunction Risk Underestimation: Relying on static cross-sectional areas rather than attitude-dependent collisional envelopes, causing unmodeled conjunction risks in dense sun-synchronous orbital bands (500–600 km).</w:t>
      </w:r>
    </w:p>
    <w:p>
      <w:pPr>
        <w:spacing w:before="0" w:after="120" w:line="276" w:lineRule="auto"/>
      </w:pPr>
      <w:r>
        <w:rPr>
          <w:rFonts w:ascii="Calibri" w:hAnsi="Calibri"/>
          <w:b/>
          <w:color w:val="2D3748"/>
          <w:sz w:val="21"/>
        </w:rPr>
        <w:t xml:space="preserve">D. </w:t>
      </w:r>
      <w:r>
        <w:rPr>
          <w:rFonts w:ascii="Calibri" w:hAnsi="Calibri"/>
          <w:i w:val="0"/>
          <w:color w:val="2D3748"/>
          <w:sz w:val="21"/>
        </w:rPr>
        <w:t>• Reentry Casualty Area Ignorance: Neglecting high-melting-point materials (e.g., titanium tanks, stainless steel fasteners, optical mirror blanks) that survive aerothermal demise, violating the 1:10,000 casualty probability limit.</w:t>
      </w:r>
    </w:p>
    <w:p>
      <w:pPr>
        <w:keepNext/>
        <w:spacing w:before="360" w:after="120"/>
      </w:pPr>
      <w:r>
        <w:rPr>
          <w:rFonts w:ascii="Calibri" w:hAnsi="Calibri"/>
          <w:b/>
          <w:color w:val="1A365D"/>
          <w:sz w:val="30"/>
        </w:rPr>
        <w:t>3. International Treaties, Agency Standards &amp; Statutory Mandates</w:t>
      </w:r>
    </w:p>
    <w:p>
      <w:pPr>
        <w:spacing w:before="0" w:after="120" w:line="276" w:lineRule="auto"/>
      </w:pPr>
      <w:r>
        <w:rPr>
          <w:rFonts w:ascii="Calibri" w:hAnsi="Calibri"/>
          <w:i w:val="0"/>
          <w:color w:val="2D3748"/>
          <w:sz w:val="21"/>
        </w:rPr>
        <w:t>To ensure unassailable legal and scientific fidelity, OrbitScore synthesizes every primary space debris regulatory standard into a unified evaluation framework. Table 1 catalogs the binding statutory rules, standardizing bodies, and explicit mathematical limits implemented within the OrbitScore engine.</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92"/>
            <w:shd w:fill="1A365D"/>
            <w:tcMar>
              <w:top w:w="100" w:type="dxa"/>
              <w:bottom w:w="100" w:type="dxa"/>
              <w:left w:w="120" w:type="dxa"/>
              <w:right w:w="120" w:type="dxa"/>
            </w:tcMar>
          </w:tcPr>
          <w:p>
            <w:pPr>
              <w:spacing w:before="40" w:after="40"/>
            </w:pPr>
            <w:r>
              <w:rPr>
                <w:rFonts w:ascii="Calibri" w:hAnsi="Calibri"/>
                <w:b/>
                <w:color w:val="FFFFFF"/>
                <w:sz w:val="19"/>
              </w:rPr>
              <w:t>Standard / Rule</w:t>
            </w:r>
          </w:p>
        </w:tc>
        <w:tc>
          <w:tcPr>
            <w:tcW w:type="dxa" w:w="1728"/>
            <w:shd w:fill="1A365D"/>
            <w:tcMar>
              <w:top w:w="100" w:type="dxa"/>
              <w:bottom w:w="100" w:type="dxa"/>
              <w:left w:w="120" w:type="dxa"/>
              <w:right w:w="120" w:type="dxa"/>
            </w:tcMar>
          </w:tcPr>
          <w:p>
            <w:pPr>
              <w:spacing w:before="40" w:after="40"/>
            </w:pPr>
            <w:r>
              <w:rPr>
                <w:rFonts w:ascii="Calibri" w:hAnsi="Calibri"/>
                <w:b/>
                <w:color w:val="FFFFFF"/>
                <w:sz w:val="19"/>
              </w:rPr>
              <w:t>Authority</w:t>
            </w:r>
          </w:p>
        </w:tc>
        <w:tc>
          <w:tcPr>
            <w:tcW w:type="dxa" w:w="3744"/>
            <w:shd w:fill="1A365D"/>
            <w:tcMar>
              <w:top w:w="100" w:type="dxa"/>
              <w:bottom w:w="100" w:type="dxa"/>
              <w:left w:w="120" w:type="dxa"/>
              <w:right w:w="120" w:type="dxa"/>
            </w:tcMar>
          </w:tcPr>
          <w:p>
            <w:pPr>
              <w:spacing w:before="40" w:after="40"/>
            </w:pPr>
            <w:r>
              <w:rPr>
                <w:rFonts w:ascii="Calibri" w:hAnsi="Calibri"/>
                <w:b/>
                <w:color w:val="FFFFFF"/>
                <w:sz w:val="19"/>
              </w:rPr>
              <w:t>Mandatory Threshold / Requirement</w:t>
            </w:r>
          </w:p>
        </w:tc>
        <w:tc>
          <w:tcPr>
            <w:tcW w:type="dxa" w:w="2016"/>
            <w:shd w:fill="1A365D"/>
            <w:tcMar>
              <w:top w:w="100" w:type="dxa"/>
              <w:bottom w:w="100" w:type="dxa"/>
              <w:left w:w="120" w:type="dxa"/>
              <w:right w:w="120" w:type="dxa"/>
            </w:tcMar>
          </w:tcPr>
          <w:p>
            <w:pPr>
              <w:spacing w:before="40" w:after="40"/>
            </w:pPr>
            <w:r>
              <w:rPr>
                <w:rFonts w:ascii="Calibri" w:hAnsi="Calibri"/>
                <w:b/>
                <w:color w:val="FFFFFF"/>
                <w:sz w:val="19"/>
              </w:rPr>
              <w:t>OrbitReady Module</w:t>
            </w:r>
          </w:p>
        </w:tc>
      </w:tr>
      <w:tr>
        <w:tc>
          <w:tcPr>
            <w:tcW w:type="dxa" w:w="2592"/>
            <w:shd w:fill="F7FAFC"/>
            <w:tcMar>
              <w:top w:w="80" w:type="dxa"/>
              <w:bottom w:w="80" w:type="dxa"/>
              <w:left w:w="100" w:type="dxa"/>
              <w:right w:w="100" w:type="dxa"/>
            </w:tcMar>
          </w:tcPr>
          <w:p>
            <w:pPr>
              <w:spacing w:before="40" w:after="40" w:line="264" w:lineRule="auto"/>
            </w:pPr>
            <w:r>
              <w:rPr>
                <w:rFonts w:ascii="Calibri" w:hAnsi="Calibri"/>
                <w:color w:val="2D3748"/>
                <w:sz w:val="17"/>
              </w:rPr>
              <w:t>FCC Report &amp; Order 22-74</w:t>
            </w:r>
          </w:p>
        </w:tc>
        <w:tc>
          <w:tcPr>
            <w:tcW w:type="dxa" w:w="1728"/>
            <w:shd w:fill="F7FAFC"/>
            <w:tcMar>
              <w:top w:w="80" w:type="dxa"/>
              <w:bottom w:w="80" w:type="dxa"/>
              <w:left w:w="100" w:type="dxa"/>
              <w:right w:w="100" w:type="dxa"/>
            </w:tcMar>
          </w:tcPr>
          <w:p>
            <w:pPr>
              <w:spacing w:before="40" w:after="40" w:line="264" w:lineRule="auto"/>
            </w:pPr>
            <w:r>
              <w:rPr>
                <w:rFonts w:ascii="Calibri" w:hAnsi="Calibri"/>
                <w:color w:val="2D3748"/>
                <w:sz w:val="17"/>
              </w:rPr>
              <w:t>US FCC (2022)</w:t>
            </w:r>
          </w:p>
        </w:tc>
        <w:tc>
          <w:tcPr>
            <w:tcW w:type="dxa" w:w="3744"/>
            <w:shd w:fill="F7FAFC"/>
            <w:tcMar>
              <w:top w:w="80" w:type="dxa"/>
              <w:bottom w:w="80" w:type="dxa"/>
              <w:left w:w="100" w:type="dxa"/>
              <w:right w:w="100" w:type="dxa"/>
            </w:tcMar>
          </w:tcPr>
          <w:p>
            <w:pPr>
              <w:spacing w:before="40" w:after="40" w:line="264" w:lineRule="auto"/>
            </w:pPr>
            <w:r>
              <w:rPr>
                <w:rFonts w:ascii="Calibri" w:hAnsi="Calibri"/>
                <w:color w:val="2D3748"/>
                <w:sz w:val="17"/>
              </w:rPr>
              <w:t>5-Year Post-Mission Deorbit Rule for LEO satellites; applies to US licenses &amp; market access</w:t>
            </w:r>
          </w:p>
        </w:tc>
        <w:tc>
          <w:tcPr>
            <w:tcW w:type="dxa" w:w="2016"/>
            <w:shd w:fill="F7FAFC"/>
            <w:tcMar>
              <w:top w:w="80" w:type="dxa"/>
              <w:bottom w:w="80" w:type="dxa"/>
              <w:left w:w="100" w:type="dxa"/>
              <w:right w:w="100" w:type="dxa"/>
            </w:tcMar>
          </w:tcPr>
          <w:p>
            <w:pPr>
              <w:spacing w:before="40" w:after="40" w:line="264" w:lineRule="auto"/>
            </w:pPr>
            <w:r>
              <w:rPr>
                <w:rFonts w:ascii="Calibri" w:hAnsi="Calibri"/>
                <w:color w:val="2D3748"/>
                <w:sz w:val="17"/>
              </w:rPr>
              <w:t>S_pmd / Deorbit Engine</w:t>
            </w:r>
          </w:p>
        </w:tc>
      </w:tr>
      <w:tr>
        <w:tc>
          <w:tcPr>
            <w:tcW w:type="dxa" w:w="2592"/>
            <w:shd w:fill="FFFFFF"/>
            <w:tcMar>
              <w:top w:w="80" w:type="dxa"/>
              <w:bottom w:w="80" w:type="dxa"/>
              <w:left w:w="100" w:type="dxa"/>
              <w:right w:w="100" w:type="dxa"/>
            </w:tcMar>
          </w:tcPr>
          <w:p>
            <w:pPr>
              <w:spacing w:before="40" w:after="40" w:line="264" w:lineRule="auto"/>
            </w:pPr>
            <w:r>
              <w:rPr>
                <w:rFonts w:ascii="Calibri" w:hAnsi="Calibri"/>
                <w:color w:val="2D3748"/>
                <w:sz w:val="17"/>
              </w:rPr>
              <w:t>NASA-STD-8719.14C Req 4.3</w:t>
            </w:r>
          </w:p>
        </w:tc>
        <w:tc>
          <w:tcPr>
            <w:tcW w:type="dxa" w:w="1728"/>
            <w:shd w:fill="FFFFFF"/>
            <w:tcMar>
              <w:top w:w="80" w:type="dxa"/>
              <w:bottom w:w="80" w:type="dxa"/>
              <w:left w:w="100" w:type="dxa"/>
              <w:right w:w="100" w:type="dxa"/>
            </w:tcMar>
          </w:tcPr>
          <w:p>
            <w:pPr>
              <w:spacing w:before="40" w:after="40" w:line="264" w:lineRule="auto"/>
            </w:pPr>
            <w:r>
              <w:rPr>
                <w:rFonts w:ascii="Calibri" w:hAnsi="Calibri"/>
                <w:color w:val="2D3748"/>
                <w:sz w:val="17"/>
              </w:rPr>
              <w:t>NASA (2021)</w:t>
            </w:r>
          </w:p>
        </w:tc>
        <w:tc>
          <w:tcPr>
            <w:tcW w:type="dxa" w:w="3744"/>
            <w:shd w:fill="FFFFFF"/>
            <w:tcMar>
              <w:top w:w="80" w:type="dxa"/>
              <w:bottom w:w="80" w:type="dxa"/>
              <w:left w:w="100" w:type="dxa"/>
              <w:right w:w="100" w:type="dxa"/>
            </w:tcMar>
          </w:tcPr>
          <w:p>
            <w:pPr>
              <w:spacing w:before="40" w:after="40" w:line="264" w:lineRule="auto"/>
            </w:pPr>
            <w:r>
              <w:rPr>
                <w:rFonts w:ascii="Calibri" w:hAnsi="Calibri"/>
                <w:color w:val="2D3748"/>
                <w:sz w:val="17"/>
              </w:rPr>
              <w:t>Mission-related debris: object-time product &lt; 100 object-years for objects &gt; 1 mm in LEO</w:t>
            </w:r>
          </w:p>
        </w:tc>
        <w:tc>
          <w:tcPr>
            <w:tcW w:type="dxa" w:w="2016"/>
            <w:shd w:fill="FFFFFF"/>
            <w:tcMar>
              <w:top w:w="80" w:type="dxa"/>
              <w:bottom w:w="80" w:type="dxa"/>
              <w:left w:w="100" w:type="dxa"/>
              <w:right w:w="100" w:type="dxa"/>
            </w:tcMar>
          </w:tcPr>
          <w:p>
            <w:pPr>
              <w:spacing w:before="40" w:after="40" w:line="264" w:lineRule="auto"/>
            </w:pPr>
            <w:r>
              <w:rPr>
                <w:rFonts w:ascii="Calibri" w:hAnsi="Calibri"/>
                <w:color w:val="2D3748"/>
                <w:sz w:val="17"/>
              </w:rPr>
              <w:t>Debris Release Auditor</w:t>
            </w:r>
          </w:p>
        </w:tc>
      </w:tr>
      <w:tr>
        <w:tc>
          <w:tcPr>
            <w:tcW w:type="dxa" w:w="2592"/>
            <w:shd w:fill="F7FAFC"/>
            <w:tcMar>
              <w:top w:w="80" w:type="dxa"/>
              <w:bottom w:w="80" w:type="dxa"/>
              <w:left w:w="100" w:type="dxa"/>
              <w:right w:w="100" w:type="dxa"/>
            </w:tcMar>
          </w:tcPr>
          <w:p>
            <w:pPr>
              <w:spacing w:before="40" w:after="40" w:line="264" w:lineRule="auto"/>
            </w:pPr>
            <w:r>
              <w:rPr>
                <w:rFonts w:ascii="Calibri" w:hAnsi="Calibri"/>
                <w:color w:val="2D3748"/>
                <w:sz w:val="17"/>
              </w:rPr>
              <w:t>NASA-STD-8719.14C Req 4.4</w:t>
            </w:r>
          </w:p>
        </w:tc>
        <w:tc>
          <w:tcPr>
            <w:tcW w:type="dxa" w:w="1728"/>
            <w:shd w:fill="F7FAFC"/>
            <w:tcMar>
              <w:top w:w="80" w:type="dxa"/>
              <w:bottom w:w="80" w:type="dxa"/>
              <w:left w:w="100" w:type="dxa"/>
              <w:right w:w="100" w:type="dxa"/>
            </w:tcMar>
          </w:tcPr>
          <w:p>
            <w:pPr>
              <w:spacing w:before="40" w:after="40" w:line="264" w:lineRule="auto"/>
            </w:pPr>
            <w:r>
              <w:rPr>
                <w:rFonts w:ascii="Calibri" w:hAnsi="Calibri"/>
                <w:color w:val="2D3748"/>
                <w:sz w:val="17"/>
              </w:rPr>
              <w:t>NASA (2021)</w:t>
            </w:r>
          </w:p>
        </w:tc>
        <w:tc>
          <w:tcPr>
            <w:tcW w:type="dxa" w:w="3744"/>
            <w:shd w:fill="F7FAFC"/>
            <w:tcMar>
              <w:top w:w="80" w:type="dxa"/>
              <w:bottom w:w="80" w:type="dxa"/>
              <w:left w:w="100" w:type="dxa"/>
              <w:right w:w="100" w:type="dxa"/>
            </w:tcMar>
          </w:tcPr>
          <w:p>
            <w:pPr>
              <w:spacing w:before="40" w:after="40" w:line="264" w:lineRule="auto"/>
            </w:pPr>
            <w:r>
              <w:rPr>
                <w:rFonts w:ascii="Calibri" w:hAnsi="Calibri"/>
                <w:color w:val="2D3748"/>
                <w:sz w:val="17"/>
              </w:rPr>
              <w:t>Accidental explosion probability P_expl &lt; 10^-3; complete stored energy passivation</w:t>
            </w:r>
          </w:p>
        </w:tc>
        <w:tc>
          <w:tcPr>
            <w:tcW w:type="dxa" w:w="2016"/>
            <w:shd w:fill="F7FAFC"/>
            <w:tcMar>
              <w:top w:w="80" w:type="dxa"/>
              <w:bottom w:w="80" w:type="dxa"/>
              <w:left w:w="100" w:type="dxa"/>
              <w:right w:w="100" w:type="dxa"/>
            </w:tcMar>
          </w:tcPr>
          <w:p>
            <w:pPr>
              <w:spacing w:before="40" w:after="40" w:line="264" w:lineRule="auto"/>
            </w:pPr>
            <w:r>
              <w:rPr>
                <w:rFonts w:ascii="Calibri" w:hAnsi="Calibri"/>
                <w:color w:val="2D3748"/>
                <w:sz w:val="17"/>
              </w:rPr>
              <w:t>S_expl / Passivation Engine</w:t>
            </w:r>
          </w:p>
        </w:tc>
      </w:tr>
      <w:tr>
        <w:tc>
          <w:tcPr>
            <w:tcW w:type="dxa" w:w="2592"/>
            <w:shd w:fill="FFFFFF"/>
            <w:tcMar>
              <w:top w:w="80" w:type="dxa"/>
              <w:bottom w:w="80" w:type="dxa"/>
              <w:left w:w="100" w:type="dxa"/>
              <w:right w:w="100" w:type="dxa"/>
            </w:tcMar>
          </w:tcPr>
          <w:p>
            <w:pPr>
              <w:spacing w:before="40" w:after="40" w:line="264" w:lineRule="auto"/>
            </w:pPr>
            <w:r>
              <w:rPr>
                <w:rFonts w:ascii="Calibri" w:hAnsi="Calibri"/>
                <w:color w:val="2D3748"/>
                <w:sz w:val="17"/>
              </w:rPr>
              <w:t>NASA-STD-8719.14C Req 4.5</w:t>
            </w:r>
          </w:p>
        </w:tc>
        <w:tc>
          <w:tcPr>
            <w:tcW w:type="dxa" w:w="1728"/>
            <w:shd w:fill="FFFFFF"/>
            <w:tcMar>
              <w:top w:w="80" w:type="dxa"/>
              <w:bottom w:w="80" w:type="dxa"/>
              <w:left w:w="100" w:type="dxa"/>
              <w:right w:w="100" w:type="dxa"/>
            </w:tcMar>
          </w:tcPr>
          <w:p>
            <w:pPr>
              <w:spacing w:before="40" w:after="40" w:line="264" w:lineRule="auto"/>
            </w:pPr>
            <w:r>
              <w:rPr>
                <w:rFonts w:ascii="Calibri" w:hAnsi="Calibri"/>
                <w:color w:val="2D3748"/>
                <w:sz w:val="17"/>
              </w:rPr>
              <w:t>NASA (2021)</w:t>
            </w:r>
          </w:p>
        </w:tc>
        <w:tc>
          <w:tcPr>
            <w:tcW w:type="dxa" w:w="3744"/>
            <w:shd w:fill="FFFFFF"/>
            <w:tcMar>
              <w:top w:w="80" w:type="dxa"/>
              <w:bottom w:w="80" w:type="dxa"/>
              <w:left w:w="100" w:type="dxa"/>
              <w:right w:w="100" w:type="dxa"/>
            </w:tcMar>
          </w:tcPr>
          <w:p>
            <w:pPr>
              <w:spacing w:before="40" w:after="40" w:line="264" w:lineRule="auto"/>
            </w:pPr>
            <w:r>
              <w:rPr>
                <w:rFonts w:ascii="Calibri" w:hAnsi="Calibri"/>
                <w:color w:val="2D3748"/>
                <w:sz w:val="17"/>
              </w:rPr>
              <w:t>On-orbit collision probability P_coll &lt; 10^-3 with objects &gt; 10 cm during mission lifetime</w:t>
            </w:r>
          </w:p>
        </w:tc>
        <w:tc>
          <w:tcPr>
            <w:tcW w:type="dxa" w:w="2016"/>
            <w:shd w:fill="FFFFFF"/>
            <w:tcMar>
              <w:top w:w="80" w:type="dxa"/>
              <w:bottom w:w="80" w:type="dxa"/>
              <w:left w:w="100" w:type="dxa"/>
              <w:right w:w="100" w:type="dxa"/>
            </w:tcMar>
          </w:tcPr>
          <w:p>
            <w:pPr>
              <w:spacing w:before="40" w:after="40" w:line="264" w:lineRule="auto"/>
            </w:pPr>
            <w:r>
              <w:rPr>
                <w:rFonts w:ascii="Calibri" w:hAnsi="Calibri"/>
                <w:color w:val="2D3748"/>
                <w:sz w:val="17"/>
              </w:rPr>
              <w:t>S_coll / Conjunction Solver</w:t>
            </w:r>
          </w:p>
        </w:tc>
      </w:tr>
      <w:tr>
        <w:tc>
          <w:tcPr>
            <w:tcW w:type="dxa" w:w="2592"/>
            <w:shd w:fill="F7FAFC"/>
            <w:tcMar>
              <w:top w:w="80" w:type="dxa"/>
              <w:bottom w:w="80" w:type="dxa"/>
              <w:left w:w="100" w:type="dxa"/>
              <w:right w:w="100" w:type="dxa"/>
            </w:tcMar>
          </w:tcPr>
          <w:p>
            <w:pPr>
              <w:spacing w:before="40" w:after="40" w:line="264" w:lineRule="auto"/>
            </w:pPr>
            <w:r>
              <w:rPr>
                <w:rFonts w:ascii="Calibri" w:hAnsi="Calibri"/>
                <w:color w:val="2D3748"/>
                <w:sz w:val="17"/>
              </w:rPr>
              <w:t>NASA-STD-8719.14C Req 4.7</w:t>
            </w:r>
          </w:p>
        </w:tc>
        <w:tc>
          <w:tcPr>
            <w:tcW w:type="dxa" w:w="1728"/>
            <w:shd w:fill="F7FAFC"/>
            <w:tcMar>
              <w:top w:w="80" w:type="dxa"/>
              <w:bottom w:w="80" w:type="dxa"/>
              <w:left w:w="100" w:type="dxa"/>
              <w:right w:w="100" w:type="dxa"/>
            </w:tcMar>
          </w:tcPr>
          <w:p>
            <w:pPr>
              <w:spacing w:before="40" w:after="40" w:line="264" w:lineRule="auto"/>
            </w:pPr>
            <w:r>
              <w:rPr>
                <w:rFonts w:ascii="Calibri" w:hAnsi="Calibri"/>
                <w:color w:val="2D3748"/>
                <w:sz w:val="17"/>
              </w:rPr>
              <w:t>NASA (2021)</w:t>
            </w:r>
          </w:p>
        </w:tc>
        <w:tc>
          <w:tcPr>
            <w:tcW w:type="dxa" w:w="3744"/>
            <w:shd w:fill="F7FAFC"/>
            <w:tcMar>
              <w:top w:w="80" w:type="dxa"/>
              <w:bottom w:w="80" w:type="dxa"/>
              <w:left w:w="100" w:type="dxa"/>
              <w:right w:w="100" w:type="dxa"/>
            </w:tcMar>
          </w:tcPr>
          <w:p>
            <w:pPr>
              <w:spacing w:before="40" w:after="40" w:line="264" w:lineRule="auto"/>
            </w:pPr>
            <w:r>
              <w:rPr>
                <w:rFonts w:ascii="Calibri" w:hAnsi="Calibri"/>
                <w:color w:val="2D3748"/>
                <w:sz w:val="17"/>
              </w:rPr>
              <w:t>Uncontrolled atmospheric reentry human casualty risk E_c &lt; 10^-4 (1 in 10,000 threshold)</w:t>
            </w:r>
          </w:p>
        </w:tc>
        <w:tc>
          <w:tcPr>
            <w:tcW w:type="dxa" w:w="2016"/>
            <w:shd w:fill="F7FAFC"/>
            <w:tcMar>
              <w:top w:w="80" w:type="dxa"/>
              <w:bottom w:w="80" w:type="dxa"/>
              <w:left w:w="100" w:type="dxa"/>
              <w:right w:w="100" w:type="dxa"/>
            </w:tcMar>
          </w:tcPr>
          <w:p>
            <w:pPr>
              <w:spacing w:before="40" w:after="40" w:line="264" w:lineRule="auto"/>
            </w:pPr>
            <w:r>
              <w:rPr>
                <w:rFonts w:ascii="Calibri" w:hAnsi="Calibri"/>
                <w:color w:val="2D3748"/>
                <w:sz w:val="17"/>
              </w:rPr>
              <w:t>S_cas / Reentry Auditor</w:t>
            </w:r>
          </w:p>
        </w:tc>
      </w:tr>
      <w:tr>
        <w:tc>
          <w:tcPr>
            <w:tcW w:type="dxa" w:w="2592"/>
            <w:shd w:fill="FFFFFF"/>
            <w:tcMar>
              <w:top w:w="80" w:type="dxa"/>
              <w:bottom w:w="80" w:type="dxa"/>
              <w:left w:w="100" w:type="dxa"/>
              <w:right w:w="100" w:type="dxa"/>
            </w:tcMar>
          </w:tcPr>
          <w:p>
            <w:pPr>
              <w:spacing w:before="40" w:after="40" w:line="264" w:lineRule="auto"/>
            </w:pPr>
            <w:r>
              <w:rPr>
                <w:rFonts w:ascii="Calibri" w:hAnsi="Calibri"/>
                <w:color w:val="2D3748"/>
                <w:sz w:val="17"/>
              </w:rPr>
              <w:t>ISO 24113:2023 Clause 6.3</w:t>
            </w:r>
          </w:p>
        </w:tc>
        <w:tc>
          <w:tcPr>
            <w:tcW w:type="dxa" w:w="1728"/>
            <w:shd w:fill="FFFFFF"/>
            <w:tcMar>
              <w:top w:w="80" w:type="dxa"/>
              <w:bottom w:w="80" w:type="dxa"/>
              <w:left w:w="100" w:type="dxa"/>
              <w:right w:w="100" w:type="dxa"/>
            </w:tcMar>
          </w:tcPr>
          <w:p>
            <w:pPr>
              <w:spacing w:before="40" w:after="40" w:line="264" w:lineRule="auto"/>
            </w:pPr>
            <w:r>
              <w:rPr>
                <w:rFonts w:ascii="Calibri" w:hAnsi="Calibri"/>
                <w:color w:val="2D3748"/>
                <w:sz w:val="17"/>
              </w:rPr>
              <w:t>ISO (2023)</w:t>
            </w:r>
          </w:p>
        </w:tc>
        <w:tc>
          <w:tcPr>
            <w:tcW w:type="dxa" w:w="3744"/>
            <w:shd w:fill="FFFFFF"/>
            <w:tcMar>
              <w:top w:w="80" w:type="dxa"/>
              <w:bottom w:w="80" w:type="dxa"/>
              <w:left w:w="100" w:type="dxa"/>
              <w:right w:w="100" w:type="dxa"/>
            </w:tcMar>
          </w:tcPr>
          <w:p>
            <w:pPr>
              <w:spacing w:before="40" w:after="40" w:line="264" w:lineRule="auto"/>
            </w:pPr>
            <w:r>
              <w:rPr>
                <w:rFonts w:ascii="Calibri" w:hAnsi="Calibri"/>
                <w:color w:val="2D3748"/>
                <w:sz w:val="17"/>
              </w:rPr>
              <w:t>Total probability of successful disposal P_pmd &gt;= 0.90; clearance of LEO protected region</w:t>
            </w:r>
          </w:p>
        </w:tc>
        <w:tc>
          <w:tcPr>
            <w:tcW w:type="dxa" w:w="2016"/>
            <w:shd w:fill="FFFFFF"/>
            <w:tcMar>
              <w:top w:w="80" w:type="dxa"/>
              <w:bottom w:w="80" w:type="dxa"/>
              <w:left w:w="100" w:type="dxa"/>
              <w:right w:w="100" w:type="dxa"/>
            </w:tcMar>
          </w:tcPr>
          <w:p>
            <w:pPr>
              <w:spacing w:before="40" w:after="40" w:line="264" w:lineRule="auto"/>
            </w:pPr>
            <w:r>
              <w:rPr>
                <w:rFonts w:ascii="Calibri" w:hAnsi="Calibri"/>
                <w:color w:val="2D3748"/>
                <w:sz w:val="17"/>
              </w:rPr>
              <w:t>Disposal Reliability Model</w:t>
            </w:r>
          </w:p>
        </w:tc>
      </w:tr>
      <w:tr>
        <w:tc>
          <w:tcPr>
            <w:tcW w:type="dxa" w:w="2592"/>
            <w:shd w:fill="F7FAFC"/>
            <w:tcMar>
              <w:top w:w="80" w:type="dxa"/>
              <w:bottom w:w="80" w:type="dxa"/>
              <w:left w:w="100" w:type="dxa"/>
              <w:right w:w="100" w:type="dxa"/>
            </w:tcMar>
          </w:tcPr>
          <w:p>
            <w:pPr>
              <w:spacing w:before="40" w:after="40" w:line="264" w:lineRule="auto"/>
            </w:pPr>
            <w:r>
              <w:rPr>
                <w:rFonts w:ascii="Calibri" w:hAnsi="Calibri"/>
                <w:color w:val="2D3748"/>
                <w:sz w:val="17"/>
              </w:rPr>
              <w:t>ESA ESSB-ST-U-007 Issue 1</w:t>
            </w:r>
          </w:p>
        </w:tc>
        <w:tc>
          <w:tcPr>
            <w:tcW w:type="dxa" w:w="1728"/>
            <w:shd w:fill="F7FAFC"/>
            <w:tcMar>
              <w:top w:w="80" w:type="dxa"/>
              <w:bottom w:w="80" w:type="dxa"/>
              <w:left w:w="100" w:type="dxa"/>
              <w:right w:w="100" w:type="dxa"/>
            </w:tcMar>
          </w:tcPr>
          <w:p>
            <w:pPr>
              <w:spacing w:before="40" w:after="40" w:line="264" w:lineRule="auto"/>
            </w:pPr>
            <w:r>
              <w:rPr>
                <w:rFonts w:ascii="Calibri" w:hAnsi="Calibri"/>
                <w:color w:val="2D3748"/>
                <w:sz w:val="17"/>
              </w:rPr>
              <w:t>ESA (2023)</w:t>
            </w:r>
          </w:p>
        </w:tc>
        <w:tc>
          <w:tcPr>
            <w:tcW w:type="dxa" w:w="3744"/>
            <w:shd w:fill="F7FAFC"/>
            <w:tcMar>
              <w:top w:w="80" w:type="dxa"/>
              <w:bottom w:w="80" w:type="dxa"/>
              <w:left w:w="100" w:type="dxa"/>
              <w:right w:w="100" w:type="dxa"/>
            </w:tcMar>
          </w:tcPr>
          <w:p>
            <w:pPr>
              <w:spacing w:before="40" w:after="40" w:line="264" w:lineRule="auto"/>
            </w:pPr>
            <w:r>
              <w:rPr>
                <w:rFonts w:ascii="Calibri" w:hAnsi="Calibri"/>
                <w:color w:val="2D3748"/>
                <w:sz w:val="17"/>
              </w:rPr>
              <w:t>Total casualty cross-section area A_c &lt; 8.0 m^2; mandatory Zero Debris Charter alignment</w:t>
            </w:r>
          </w:p>
        </w:tc>
        <w:tc>
          <w:tcPr>
            <w:tcW w:type="dxa" w:w="2016"/>
            <w:shd w:fill="F7FAFC"/>
            <w:tcMar>
              <w:top w:w="80" w:type="dxa"/>
              <w:bottom w:w="80" w:type="dxa"/>
              <w:left w:w="100" w:type="dxa"/>
              <w:right w:w="100" w:type="dxa"/>
            </w:tcMar>
          </w:tcPr>
          <w:p>
            <w:pPr>
              <w:spacing w:before="40" w:after="40" w:line="264" w:lineRule="auto"/>
            </w:pPr>
            <w:r>
              <w:rPr>
                <w:rFonts w:ascii="Calibri" w:hAnsi="Calibri"/>
                <w:color w:val="2D3748"/>
                <w:sz w:val="17"/>
              </w:rPr>
              <w:t>European Standard Validator</w:t>
            </w:r>
          </w:p>
        </w:tc>
      </w:tr>
      <w:tr>
        <w:tc>
          <w:tcPr>
            <w:tcW w:type="dxa" w:w="2592"/>
            <w:shd w:fill="FFFFFF"/>
            <w:tcMar>
              <w:top w:w="80" w:type="dxa"/>
              <w:bottom w:w="80" w:type="dxa"/>
              <w:left w:w="100" w:type="dxa"/>
              <w:right w:w="100" w:type="dxa"/>
            </w:tcMar>
          </w:tcPr>
          <w:p>
            <w:pPr>
              <w:spacing w:before="40" w:after="40" w:line="264" w:lineRule="auto"/>
            </w:pPr>
            <w:r>
              <w:rPr>
                <w:rFonts w:ascii="Calibri" w:hAnsi="Calibri"/>
                <w:color w:val="2D3748"/>
                <w:sz w:val="17"/>
              </w:rPr>
              <w:t>U.S. Government ODMSP</w:t>
            </w:r>
          </w:p>
        </w:tc>
        <w:tc>
          <w:tcPr>
            <w:tcW w:type="dxa" w:w="1728"/>
            <w:shd w:fill="FFFFFF"/>
            <w:tcMar>
              <w:top w:w="80" w:type="dxa"/>
              <w:bottom w:w="80" w:type="dxa"/>
              <w:left w:w="100" w:type="dxa"/>
              <w:right w:w="100" w:type="dxa"/>
            </w:tcMar>
          </w:tcPr>
          <w:p>
            <w:pPr>
              <w:spacing w:before="40" w:after="40" w:line="264" w:lineRule="auto"/>
            </w:pPr>
            <w:r>
              <w:rPr>
                <w:rFonts w:ascii="Calibri" w:hAnsi="Calibri"/>
                <w:color w:val="2D3748"/>
                <w:sz w:val="17"/>
              </w:rPr>
              <w:t>USG (2019)</w:t>
            </w:r>
          </w:p>
        </w:tc>
        <w:tc>
          <w:tcPr>
            <w:tcW w:type="dxa" w:w="3744"/>
            <w:shd w:fill="FFFFFF"/>
            <w:tcMar>
              <w:top w:w="80" w:type="dxa"/>
              <w:bottom w:w="80" w:type="dxa"/>
              <w:left w:w="100" w:type="dxa"/>
              <w:right w:w="100" w:type="dxa"/>
            </w:tcMar>
          </w:tcPr>
          <w:p>
            <w:pPr>
              <w:spacing w:before="40" w:after="40" w:line="264" w:lineRule="auto"/>
            </w:pPr>
            <w:r>
              <w:rPr>
                <w:rFonts w:ascii="Calibri" w:hAnsi="Calibri"/>
                <w:color w:val="2D3748"/>
                <w:sz w:val="17"/>
              </w:rPr>
              <w:t>Preamble &amp; Objective 4: Sub-division rules for CubeSats &amp; constellations; collision avoidance</w:t>
            </w:r>
          </w:p>
        </w:tc>
        <w:tc>
          <w:tcPr>
            <w:tcW w:type="dxa" w:w="2016"/>
            <w:shd w:fill="FFFFFF"/>
            <w:tcMar>
              <w:top w:w="80" w:type="dxa"/>
              <w:bottom w:w="80" w:type="dxa"/>
              <w:left w:w="100" w:type="dxa"/>
              <w:right w:w="100" w:type="dxa"/>
            </w:tcMar>
          </w:tcPr>
          <w:p>
            <w:pPr>
              <w:spacing w:before="40" w:after="40" w:line="264" w:lineRule="auto"/>
            </w:pPr>
            <w:r>
              <w:rPr>
                <w:rFonts w:ascii="Calibri" w:hAnsi="Calibri"/>
                <w:color w:val="2D3748"/>
                <w:sz w:val="17"/>
              </w:rPr>
              <w:t>Multi-Jurisdiction Mapper</w:t>
            </w:r>
          </w:p>
        </w:tc>
      </w:tr>
      <w:tr>
        <w:tc>
          <w:tcPr>
            <w:tcW w:type="dxa" w:w="2592"/>
            <w:shd w:fill="F7FAFC"/>
            <w:tcMar>
              <w:top w:w="80" w:type="dxa"/>
              <w:bottom w:w="80" w:type="dxa"/>
              <w:left w:w="100" w:type="dxa"/>
              <w:right w:w="100" w:type="dxa"/>
            </w:tcMar>
          </w:tcPr>
          <w:p>
            <w:pPr>
              <w:spacing w:before="40" w:after="40" w:line="264" w:lineRule="auto"/>
            </w:pPr>
            <w:r>
              <w:rPr>
                <w:rFonts w:ascii="Calibri" w:hAnsi="Calibri"/>
                <w:color w:val="2D3748"/>
                <w:sz w:val="17"/>
              </w:rPr>
              <w:t>FAA 14 CFR Part 450</w:t>
            </w:r>
          </w:p>
        </w:tc>
        <w:tc>
          <w:tcPr>
            <w:tcW w:type="dxa" w:w="1728"/>
            <w:shd w:fill="F7FAFC"/>
            <w:tcMar>
              <w:top w:w="80" w:type="dxa"/>
              <w:bottom w:w="80" w:type="dxa"/>
              <w:left w:w="100" w:type="dxa"/>
              <w:right w:w="100" w:type="dxa"/>
            </w:tcMar>
          </w:tcPr>
          <w:p>
            <w:pPr>
              <w:spacing w:before="40" w:after="40" w:line="264" w:lineRule="auto"/>
            </w:pPr>
            <w:r>
              <w:rPr>
                <w:rFonts w:ascii="Calibri" w:hAnsi="Calibri"/>
                <w:color w:val="2D3748"/>
                <w:sz w:val="17"/>
              </w:rPr>
              <w:t>US FAA (2023)</w:t>
            </w:r>
          </w:p>
        </w:tc>
        <w:tc>
          <w:tcPr>
            <w:tcW w:type="dxa" w:w="3744"/>
            <w:shd w:fill="F7FAFC"/>
            <w:tcMar>
              <w:top w:w="80" w:type="dxa"/>
              <w:bottom w:w="80" w:type="dxa"/>
              <w:left w:w="100" w:type="dxa"/>
              <w:right w:w="100" w:type="dxa"/>
            </w:tcMar>
          </w:tcPr>
          <w:p>
            <w:pPr>
              <w:spacing w:before="40" w:after="40" w:line="264" w:lineRule="auto"/>
            </w:pPr>
            <w:r>
              <w:rPr>
                <w:rFonts w:ascii="Calibri" w:hAnsi="Calibri"/>
                <w:color w:val="2D3748"/>
                <w:sz w:val="17"/>
              </w:rPr>
              <w:t>NPRM RIN 2120-AK81: Commercial launch upper stage disposal within 25 years; ODAP filing</w:t>
            </w:r>
          </w:p>
        </w:tc>
        <w:tc>
          <w:tcPr>
            <w:tcW w:type="dxa" w:w="2016"/>
            <w:shd w:fill="F7FAFC"/>
            <w:tcMar>
              <w:top w:w="80" w:type="dxa"/>
              <w:bottom w:w="80" w:type="dxa"/>
              <w:left w:w="100" w:type="dxa"/>
              <w:right w:w="100" w:type="dxa"/>
            </w:tcMar>
          </w:tcPr>
          <w:p>
            <w:pPr>
              <w:spacing w:before="40" w:after="40" w:line="264" w:lineRule="auto"/>
            </w:pPr>
            <w:r>
              <w:rPr>
                <w:rFonts w:ascii="Calibri" w:hAnsi="Calibri"/>
                <w:color w:val="2D3748"/>
                <w:sz w:val="17"/>
              </w:rPr>
              <w:t>Launch Stage Evaluator</w:t>
            </w:r>
          </w:p>
        </w:tc>
      </w:tr>
      <w:tr>
        <w:tc>
          <w:tcPr>
            <w:tcW w:type="dxa" w:w="2592"/>
            <w:shd w:fill="FFFFFF"/>
            <w:tcMar>
              <w:top w:w="80" w:type="dxa"/>
              <w:bottom w:w="80" w:type="dxa"/>
              <w:left w:w="100" w:type="dxa"/>
              <w:right w:w="100" w:type="dxa"/>
            </w:tcMar>
          </w:tcPr>
          <w:p>
            <w:pPr>
              <w:spacing w:before="40" w:after="40" w:line="264" w:lineRule="auto"/>
            </w:pPr>
            <w:r>
              <w:rPr>
                <w:rFonts w:ascii="Calibri" w:hAnsi="Calibri"/>
                <w:color w:val="2D3748"/>
                <w:sz w:val="17"/>
              </w:rPr>
              <w:t>ISRO DFSM 2030</w:t>
            </w:r>
          </w:p>
        </w:tc>
        <w:tc>
          <w:tcPr>
            <w:tcW w:type="dxa" w:w="1728"/>
            <w:shd w:fill="FFFFFF"/>
            <w:tcMar>
              <w:top w:w="80" w:type="dxa"/>
              <w:bottom w:w="80" w:type="dxa"/>
              <w:left w:w="100" w:type="dxa"/>
              <w:right w:w="100" w:type="dxa"/>
            </w:tcMar>
          </w:tcPr>
          <w:p>
            <w:pPr>
              <w:spacing w:before="40" w:after="40" w:line="264" w:lineRule="auto"/>
            </w:pPr>
            <w:r>
              <w:rPr>
                <w:rFonts w:ascii="Calibri" w:hAnsi="Calibri"/>
                <w:color w:val="2D3748"/>
                <w:sz w:val="17"/>
              </w:rPr>
              <w:t>ISRO (2024)</w:t>
            </w:r>
          </w:p>
        </w:tc>
        <w:tc>
          <w:tcPr>
            <w:tcW w:type="dxa" w:w="3744"/>
            <w:shd w:fill="FFFFFF"/>
            <w:tcMar>
              <w:top w:w="80" w:type="dxa"/>
              <w:bottom w:w="80" w:type="dxa"/>
              <w:left w:w="100" w:type="dxa"/>
              <w:right w:w="100" w:type="dxa"/>
            </w:tcMar>
          </w:tcPr>
          <w:p>
            <w:pPr>
              <w:spacing w:before="40" w:after="40" w:line="264" w:lineRule="auto"/>
            </w:pPr>
            <w:r>
              <w:rPr>
                <w:rFonts w:ascii="Calibri" w:hAnsi="Calibri"/>
                <w:color w:val="2D3748"/>
                <w:sz w:val="17"/>
              </w:rPr>
              <w:t>Debris-Free Space Missions pledge: Zero debris in operational orbits by 2030; passivated stages</w:t>
            </w:r>
          </w:p>
        </w:tc>
        <w:tc>
          <w:tcPr>
            <w:tcW w:type="dxa" w:w="2016"/>
            <w:shd w:fill="FFFFFF"/>
            <w:tcMar>
              <w:top w:w="80" w:type="dxa"/>
              <w:bottom w:w="80" w:type="dxa"/>
              <w:left w:w="100" w:type="dxa"/>
              <w:right w:w="100" w:type="dxa"/>
            </w:tcMar>
          </w:tcPr>
          <w:p>
            <w:pPr>
              <w:spacing w:before="40" w:after="40" w:line="264" w:lineRule="auto"/>
            </w:pPr>
            <w:r>
              <w:rPr>
                <w:rFonts w:ascii="Calibri" w:hAnsi="Calibri"/>
                <w:color w:val="2D3748"/>
                <w:sz w:val="17"/>
              </w:rPr>
              <w:t>Indian Space Validator</w:t>
            </w:r>
          </w:p>
        </w:tc>
      </w:tr>
      <w:tr>
        <w:tc>
          <w:tcPr>
            <w:tcW w:type="dxa" w:w="2592"/>
            <w:shd w:fill="F7FAFC"/>
            <w:tcMar>
              <w:top w:w="80" w:type="dxa"/>
              <w:bottom w:w="80" w:type="dxa"/>
              <w:left w:w="100" w:type="dxa"/>
              <w:right w:w="100" w:type="dxa"/>
            </w:tcMar>
          </w:tcPr>
          <w:p>
            <w:pPr>
              <w:spacing w:before="40" w:after="40" w:line="264" w:lineRule="auto"/>
            </w:pPr>
            <w:r>
              <w:rPr>
                <w:rFonts w:ascii="Calibri" w:hAnsi="Calibri"/>
                <w:color w:val="2D3748"/>
                <w:sz w:val="17"/>
              </w:rPr>
              <w:t>NIST AI 100-1 (AI RMF)</w:t>
            </w:r>
          </w:p>
        </w:tc>
        <w:tc>
          <w:tcPr>
            <w:tcW w:type="dxa" w:w="1728"/>
            <w:shd w:fill="F7FAFC"/>
            <w:tcMar>
              <w:top w:w="80" w:type="dxa"/>
              <w:bottom w:w="80" w:type="dxa"/>
              <w:left w:w="100" w:type="dxa"/>
              <w:right w:w="100" w:type="dxa"/>
            </w:tcMar>
          </w:tcPr>
          <w:p>
            <w:pPr>
              <w:spacing w:before="40" w:after="40" w:line="264" w:lineRule="auto"/>
            </w:pPr>
            <w:r>
              <w:rPr>
                <w:rFonts w:ascii="Calibri" w:hAnsi="Calibri"/>
                <w:color w:val="2D3748"/>
                <w:sz w:val="17"/>
              </w:rPr>
              <w:t>NIST (2023)</w:t>
            </w:r>
          </w:p>
        </w:tc>
        <w:tc>
          <w:tcPr>
            <w:tcW w:type="dxa" w:w="3744"/>
            <w:shd w:fill="F7FAFC"/>
            <w:tcMar>
              <w:top w:w="80" w:type="dxa"/>
              <w:bottom w:w="80" w:type="dxa"/>
              <w:left w:w="100" w:type="dxa"/>
              <w:right w:w="100" w:type="dxa"/>
            </w:tcMar>
          </w:tcPr>
          <w:p>
            <w:pPr>
              <w:spacing w:before="40" w:after="40" w:line="264" w:lineRule="auto"/>
            </w:pPr>
            <w:r>
              <w:rPr>
                <w:rFonts w:ascii="Calibri" w:hAnsi="Calibri"/>
                <w:color w:val="2D3748"/>
                <w:sz w:val="17"/>
              </w:rPr>
              <w:t>Trustworthy AI governance: Explainability, transparency, confidence calibration, data lineage</w:t>
            </w:r>
          </w:p>
        </w:tc>
        <w:tc>
          <w:tcPr>
            <w:tcW w:type="dxa" w:w="2016"/>
            <w:shd w:fill="F7FAFC"/>
            <w:tcMar>
              <w:top w:w="80" w:type="dxa"/>
              <w:bottom w:w="80" w:type="dxa"/>
              <w:left w:w="100" w:type="dxa"/>
              <w:right w:w="100" w:type="dxa"/>
            </w:tcMar>
          </w:tcPr>
          <w:p>
            <w:pPr>
              <w:spacing w:before="40" w:after="40" w:line="264" w:lineRule="auto"/>
            </w:pPr>
            <w:r>
              <w:rPr>
                <w:rFonts w:ascii="Calibri" w:hAnsi="Calibri"/>
                <w:color w:val="2D3748"/>
                <w:sz w:val="17"/>
              </w:rPr>
              <w:t>Explainable AI Core</w:t>
            </w:r>
          </w:p>
        </w:tc>
      </w:tr>
    </w:tbl>
    <w:p>
      <w:pPr>
        <w:spacing w:before="0" w:after="120"/>
      </w:pPr>
    </w:p>
    <w:p>
      <w:pPr>
        <w:keepNext/>
        <w:spacing w:before="360" w:after="120"/>
      </w:pPr>
      <w:r>
        <w:rPr>
          <w:rFonts w:ascii="Calibri" w:hAnsi="Calibri"/>
          <w:b/>
          <w:color w:val="1A365D"/>
          <w:sz w:val="30"/>
        </w:rPr>
        <w:t>4. Related Work &amp; Comparative Landscape</w:t>
      </w:r>
    </w:p>
    <w:p>
      <w:pPr>
        <w:spacing w:before="0" w:after="120" w:line="276" w:lineRule="auto"/>
      </w:pPr>
      <w:r>
        <w:rPr>
          <w:rFonts w:ascii="Calibri" w:hAnsi="Calibri"/>
          <w:i w:val="0"/>
          <w:color w:val="2D3748"/>
          <w:sz w:val="21"/>
        </w:rPr>
        <w:t>To contextualize OrbitScore’s technical contribution, Table 2 benchmarks the platform against existing agency software suites and commercial SSA platforms across six critical capability dimensions: API-first architecture, automated regulatory report compilation, counterfactual remediation recommendations, human-in-the-loop decision boundaries, confidence calibration, and verifiable data provenance.</w:t>
      </w:r>
    </w:p>
    <w:tbl>
      <w:tblPr>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c>
          <w:tcPr>
            <w:tcW w:type="dxa" w:w="2592"/>
            <w:shd w:fill="1A365D"/>
            <w:tcMar>
              <w:top w:w="90" w:type="dxa"/>
              <w:bottom w:w="90" w:type="dxa"/>
              <w:left w:w="80" w:type="dxa"/>
              <w:right w:w="80" w:type="dxa"/>
            </w:tcMar>
          </w:tcPr>
          <w:p>
            <w:pPr>
              <w:spacing w:before="40" w:after="40"/>
            </w:pPr>
            <w:r>
              <w:rPr>
                <w:rFonts w:ascii="Calibri" w:hAnsi="Calibri"/>
                <w:b/>
                <w:color w:val="FFFFFF"/>
                <w:sz w:val="17"/>
              </w:rPr>
              <w:t>Capability Dimension</w:t>
            </w:r>
          </w:p>
        </w:tc>
        <w:tc>
          <w:tcPr>
            <w:tcW w:type="dxa" w:w="1224"/>
            <w:shd w:fill="1A365D"/>
            <w:tcMar>
              <w:top w:w="90" w:type="dxa"/>
              <w:bottom w:w="90" w:type="dxa"/>
              <w:left w:w="80" w:type="dxa"/>
              <w:right w:w="80" w:type="dxa"/>
            </w:tcMar>
          </w:tcPr>
          <w:p>
            <w:pPr>
              <w:spacing w:before="40" w:after="40"/>
            </w:pPr>
            <w:r>
              <w:rPr>
                <w:rFonts w:ascii="Calibri" w:hAnsi="Calibri"/>
                <w:b/>
                <w:color w:val="FFFFFF"/>
                <w:sz w:val="17"/>
              </w:rPr>
              <w:t>NASA DAS 3.2</w:t>
            </w:r>
          </w:p>
        </w:tc>
        <w:tc>
          <w:tcPr>
            <w:tcW w:type="dxa" w:w="1224"/>
            <w:shd w:fill="1A365D"/>
            <w:tcMar>
              <w:top w:w="90" w:type="dxa"/>
              <w:bottom w:w="90" w:type="dxa"/>
              <w:left w:w="80" w:type="dxa"/>
              <w:right w:w="80" w:type="dxa"/>
            </w:tcMar>
          </w:tcPr>
          <w:p>
            <w:pPr>
              <w:spacing w:before="40" w:after="40"/>
            </w:pPr>
            <w:r>
              <w:rPr>
                <w:rFonts w:ascii="Calibri" w:hAnsi="Calibri"/>
                <w:b/>
                <w:color w:val="FFFFFF"/>
                <w:sz w:val="17"/>
              </w:rPr>
              <w:t>ESA DRAMA 3.0</w:t>
            </w:r>
          </w:p>
        </w:tc>
        <w:tc>
          <w:tcPr>
            <w:tcW w:type="dxa" w:w="1224"/>
            <w:shd w:fill="1A365D"/>
            <w:tcMar>
              <w:top w:w="90" w:type="dxa"/>
              <w:bottom w:w="90" w:type="dxa"/>
              <w:left w:w="80" w:type="dxa"/>
              <w:right w:w="80" w:type="dxa"/>
            </w:tcMar>
          </w:tcPr>
          <w:p>
            <w:pPr>
              <w:spacing w:before="40" w:after="40"/>
            </w:pPr>
            <w:r>
              <w:rPr>
                <w:rFonts w:ascii="Calibri" w:hAnsi="Calibri"/>
                <w:b/>
                <w:color w:val="FFFFFF"/>
                <w:sz w:val="17"/>
              </w:rPr>
              <w:t>LeoLabs STM</w:t>
            </w:r>
          </w:p>
        </w:tc>
        <w:tc>
          <w:tcPr>
            <w:tcW w:type="dxa" w:w="1224"/>
            <w:shd w:fill="1A365D"/>
            <w:tcMar>
              <w:top w:w="90" w:type="dxa"/>
              <w:bottom w:w="90" w:type="dxa"/>
              <w:left w:w="80" w:type="dxa"/>
              <w:right w:w="80" w:type="dxa"/>
            </w:tcMar>
          </w:tcPr>
          <w:p>
            <w:pPr>
              <w:spacing w:before="40" w:after="40"/>
            </w:pPr>
            <w:r>
              <w:rPr>
                <w:rFonts w:ascii="Calibri" w:hAnsi="Calibri"/>
                <w:b/>
                <w:color w:val="FFFFFF"/>
                <w:sz w:val="17"/>
              </w:rPr>
              <w:t>Slingshot Beacon</w:t>
            </w:r>
          </w:p>
        </w:tc>
        <w:tc>
          <w:tcPr>
            <w:tcW w:type="dxa" w:w="1296"/>
            <w:shd w:fill="1A365D"/>
            <w:tcMar>
              <w:top w:w="90" w:type="dxa"/>
              <w:bottom w:w="90" w:type="dxa"/>
              <w:left w:w="80" w:type="dxa"/>
              <w:right w:w="80" w:type="dxa"/>
            </w:tcMar>
          </w:tcPr>
          <w:p>
            <w:pPr>
              <w:spacing w:before="40" w:after="40"/>
            </w:pPr>
            <w:r>
              <w:rPr>
                <w:rFonts w:ascii="Calibri" w:hAnsi="Calibri"/>
                <w:b/>
                <w:color w:val="FFFFFF"/>
                <w:sz w:val="17"/>
              </w:rPr>
              <w:t>Generic LLM Wrapper</w:t>
            </w:r>
          </w:p>
        </w:tc>
        <w:tc>
          <w:tcPr>
            <w:tcW w:type="dxa" w:w="1584"/>
            <w:shd w:fill="1A365D"/>
            <w:tcMar>
              <w:top w:w="90" w:type="dxa"/>
              <w:bottom w:w="90" w:type="dxa"/>
              <w:left w:w="80" w:type="dxa"/>
              <w:right w:w="80" w:type="dxa"/>
            </w:tcMar>
          </w:tcPr>
          <w:p>
            <w:pPr>
              <w:spacing w:before="40" w:after="40"/>
            </w:pPr>
            <w:r>
              <w:rPr>
                <w:rFonts w:ascii="Calibri" w:hAnsi="Calibri"/>
                <w:b/>
                <w:color w:val="FFFFFF"/>
                <w:sz w:val="17"/>
              </w:rPr>
              <w:t>OrbitScore (Ours)</w:t>
            </w:r>
          </w:p>
        </w:tc>
      </w:tr>
      <w:tr>
        <w:tc>
          <w:tcPr>
            <w:tcW w:type="dxa" w:w="2592"/>
            <w:shd w:fill="F7FAFC"/>
            <w:tcMar>
              <w:top w:w="70" w:type="dxa"/>
              <w:bottom w:w="70" w:type="dxa"/>
              <w:left w:w="80" w:type="dxa"/>
              <w:right w:w="80" w:type="dxa"/>
            </w:tcMar>
          </w:tcPr>
          <w:p>
            <w:pPr>
              <w:spacing w:before="40" w:after="40" w:line="264" w:lineRule="auto"/>
            </w:pPr>
            <w:r>
              <w:rPr>
                <w:rFonts w:ascii="Calibri" w:hAnsi="Calibri"/>
                <w:color w:val="2D3748"/>
                <w:sz w:val="16"/>
              </w:rPr>
              <w:t>Target User Base</w:t>
            </w:r>
          </w:p>
        </w:tc>
        <w:tc>
          <w:tcPr>
            <w:tcW w:type="dxa" w:w="1224"/>
            <w:shd w:fill="F7FAFC"/>
            <w:tcMar>
              <w:top w:w="70" w:type="dxa"/>
              <w:bottom w:w="70" w:type="dxa"/>
              <w:left w:w="80" w:type="dxa"/>
              <w:right w:w="80" w:type="dxa"/>
            </w:tcMar>
          </w:tcPr>
          <w:p>
            <w:pPr>
              <w:spacing w:before="40" w:after="40" w:line="264" w:lineRule="auto"/>
            </w:pPr>
            <w:r>
              <w:rPr>
                <w:rFonts w:ascii="Calibri" w:hAnsi="Calibri"/>
                <w:color w:val="2D3748"/>
                <w:sz w:val="16"/>
              </w:rPr>
              <w:t>NASA Contractors</w:t>
            </w:r>
          </w:p>
        </w:tc>
        <w:tc>
          <w:tcPr>
            <w:tcW w:type="dxa" w:w="1224"/>
            <w:shd w:fill="F7FAFC"/>
            <w:tcMar>
              <w:top w:w="70" w:type="dxa"/>
              <w:bottom w:w="70" w:type="dxa"/>
              <w:left w:w="80" w:type="dxa"/>
              <w:right w:w="80" w:type="dxa"/>
            </w:tcMar>
          </w:tcPr>
          <w:p>
            <w:pPr>
              <w:spacing w:before="40" w:after="40" w:line="264" w:lineRule="auto"/>
            </w:pPr>
            <w:r>
              <w:rPr>
                <w:rFonts w:ascii="Calibri" w:hAnsi="Calibri"/>
                <w:color w:val="2D3748"/>
                <w:sz w:val="16"/>
              </w:rPr>
              <w:t>ESA Programs</w:t>
            </w:r>
          </w:p>
        </w:tc>
        <w:tc>
          <w:tcPr>
            <w:tcW w:type="dxa" w:w="1224"/>
            <w:shd w:fill="F7FAFC"/>
            <w:tcMar>
              <w:top w:w="70" w:type="dxa"/>
              <w:bottom w:w="70" w:type="dxa"/>
              <w:left w:w="80" w:type="dxa"/>
              <w:right w:w="80" w:type="dxa"/>
            </w:tcMar>
          </w:tcPr>
          <w:p>
            <w:pPr>
              <w:spacing w:before="40" w:after="40" w:line="264" w:lineRule="auto"/>
            </w:pPr>
            <w:r>
              <w:rPr>
                <w:rFonts w:ascii="Calibri" w:hAnsi="Calibri"/>
                <w:color w:val="2D3748"/>
                <w:sz w:val="16"/>
              </w:rPr>
              <w:t>Large Operators</w:t>
            </w:r>
          </w:p>
        </w:tc>
        <w:tc>
          <w:tcPr>
            <w:tcW w:type="dxa" w:w="1224"/>
            <w:shd w:fill="F7FAFC"/>
            <w:tcMar>
              <w:top w:w="70" w:type="dxa"/>
              <w:bottom w:w="70" w:type="dxa"/>
              <w:left w:w="80" w:type="dxa"/>
              <w:right w:w="80" w:type="dxa"/>
            </w:tcMar>
          </w:tcPr>
          <w:p>
            <w:pPr>
              <w:spacing w:before="40" w:after="40" w:line="264" w:lineRule="auto"/>
            </w:pPr>
            <w:r>
              <w:rPr>
                <w:rFonts w:ascii="Calibri" w:hAnsi="Calibri"/>
                <w:color w:val="2D3748"/>
                <w:sz w:val="16"/>
              </w:rPr>
              <w:t>Constellations</w:t>
            </w:r>
          </w:p>
        </w:tc>
        <w:tc>
          <w:tcPr>
            <w:tcW w:type="dxa" w:w="1296"/>
            <w:shd w:fill="F7FAFC"/>
            <w:tcMar>
              <w:top w:w="70" w:type="dxa"/>
              <w:bottom w:w="70" w:type="dxa"/>
              <w:left w:w="80" w:type="dxa"/>
              <w:right w:w="80" w:type="dxa"/>
            </w:tcMar>
          </w:tcPr>
          <w:p>
            <w:pPr>
              <w:spacing w:before="40" w:after="40" w:line="264" w:lineRule="auto"/>
            </w:pPr>
            <w:r>
              <w:rPr>
                <w:rFonts w:ascii="Calibri" w:hAnsi="Calibri"/>
                <w:color w:val="2D3748"/>
                <w:sz w:val="16"/>
              </w:rPr>
              <w:t>End Users</w:t>
            </w:r>
          </w:p>
        </w:tc>
        <w:tc>
          <w:tcPr>
            <w:tcW w:type="dxa" w:w="1584"/>
            <w:shd w:fill="F7FAFC"/>
            <w:tcMar>
              <w:top w:w="70" w:type="dxa"/>
              <w:bottom w:w="70" w:type="dxa"/>
              <w:left w:w="80" w:type="dxa"/>
              <w:right w:w="80" w:type="dxa"/>
            </w:tcMar>
          </w:tcPr>
          <w:p>
            <w:pPr>
              <w:spacing w:before="40" w:after="40" w:line="264" w:lineRule="auto"/>
            </w:pPr>
            <w:r>
              <w:rPr>
                <w:rFonts w:ascii="Calibri" w:hAnsi="Calibri"/>
                <w:b/>
                <w:color w:val="1A365D"/>
                <w:sz w:val="16"/>
              </w:rPr>
              <w:t>SmallSat &amp; NewSpace</w:t>
            </w:r>
          </w:p>
        </w:tc>
      </w:tr>
      <w:tr>
        <w:tc>
          <w:tcPr>
            <w:tcW w:type="dxa" w:w="2592"/>
            <w:shd w:fill="FFFFFF"/>
            <w:tcMar>
              <w:top w:w="70" w:type="dxa"/>
              <w:bottom w:w="70" w:type="dxa"/>
              <w:left w:w="80" w:type="dxa"/>
              <w:right w:w="80" w:type="dxa"/>
            </w:tcMar>
          </w:tcPr>
          <w:p>
            <w:pPr>
              <w:spacing w:before="40" w:after="40" w:line="264" w:lineRule="auto"/>
            </w:pPr>
            <w:r>
              <w:rPr>
                <w:rFonts w:ascii="Calibri" w:hAnsi="Calibri"/>
                <w:color w:val="2D3748"/>
                <w:sz w:val="16"/>
              </w:rPr>
              <w:t>API Automation</w:t>
            </w:r>
          </w:p>
        </w:tc>
        <w:tc>
          <w:tcPr>
            <w:tcW w:type="dxa" w:w="1224"/>
            <w:shd w:fill="FFFFFF"/>
            <w:tcMar>
              <w:top w:w="70" w:type="dxa"/>
              <w:bottom w:w="70" w:type="dxa"/>
              <w:left w:w="80" w:type="dxa"/>
              <w:right w:w="80" w:type="dxa"/>
            </w:tcMar>
          </w:tcPr>
          <w:p>
            <w:pPr>
              <w:spacing w:before="40" w:after="40" w:line="264" w:lineRule="auto"/>
            </w:pPr>
            <w:r>
              <w:rPr>
                <w:rFonts w:ascii="Calibri" w:hAnsi="Calibri"/>
                <w:color w:val="2D3748"/>
                <w:sz w:val="16"/>
              </w:rPr>
              <w:t>Limited (DLL)</w:t>
            </w:r>
          </w:p>
        </w:tc>
        <w:tc>
          <w:tcPr>
            <w:tcW w:type="dxa" w:w="1224"/>
            <w:shd w:fill="FFFFFF"/>
            <w:tcMar>
              <w:top w:w="70" w:type="dxa"/>
              <w:bottom w:w="70" w:type="dxa"/>
              <w:left w:w="80" w:type="dxa"/>
              <w:right w:w="80" w:type="dxa"/>
            </w:tcMar>
          </w:tcPr>
          <w:p>
            <w:pPr>
              <w:spacing w:before="40" w:after="40" w:line="264" w:lineRule="auto"/>
            </w:pPr>
            <w:r>
              <w:rPr>
                <w:rFonts w:ascii="Calibri" w:hAnsi="Calibri"/>
                <w:color w:val="2D3748"/>
                <w:sz w:val="16"/>
              </w:rPr>
              <w:t>No (GUI/Batch)</w:t>
            </w:r>
          </w:p>
        </w:tc>
        <w:tc>
          <w:tcPr>
            <w:tcW w:type="dxa" w:w="1224"/>
            <w:shd w:fill="FFFFFF"/>
            <w:tcMar>
              <w:top w:w="70" w:type="dxa"/>
              <w:bottom w:w="70" w:type="dxa"/>
              <w:left w:w="80" w:type="dxa"/>
              <w:right w:w="80" w:type="dxa"/>
            </w:tcMar>
          </w:tcPr>
          <w:p>
            <w:pPr>
              <w:spacing w:before="40" w:after="40" w:line="264" w:lineRule="auto"/>
            </w:pPr>
            <w:r>
              <w:rPr>
                <w:rFonts w:ascii="Calibri" w:hAnsi="Calibri"/>
                <w:color w:val="2D3748"/>
                <w:sz w:val="16"/>
              </w:rPr>
              <w:t>Yes (Live REST)</w:t>
            </w:r>
          </w:p>
        </w:tc>
        <w:tc>
          <w:tcPr>
            <w:tcW w:type="dxa" w:w="1224"/>
            <w:shd w:fill="FFFFFF"/>
            <w:tcMar>
              <w:top w:w="70" w:type="dxa"/>
              <w:bottom w:w="70" w:type="dxa"/>
              <w:left w:w="80" w:type="dxa"/>
              <w:right w:w="80" w:type="dxa"/>
            </w:tcMar>
          </w:tcPr>
          <w:p>
            <w:pPr>
              <w:spacing w:before="40" w:after="40" w:line="264" w:lineRule="auto"/>
            </w:pPr>
            <w:r>
              <w:rPr>
                <w:rFonts w:ascii="Calibri" w:hAnsi="Calibri"/>
                <w:color w:val="2D3748"/>
                <w:sz w:val="16"/>
              </w:rPr>
              <w:t>Yes (Live REST)</w:t>
            </w:r>
          </w:p>
        </w:tc>
        <w:tc>
          <w:tcPr>
            <w:tcW w:type="dxa" w:w="1296"/>
            <w:shd w:fill="FFFFFF"/>
            <w:tcMar>
              <w:top w:w="70" w:type="dxa"/>
              <w:bottom w:w="70" w:type="dxa"/>
              <w:left w:w="80" w:type="dxa"/>
              <w:right w:w="80" w:type="dxa"/>
            </w:tcMar>
          </w:tcPr>
          <w:p>
            <w:pPr>
              <w:spacing w:before="40" w:after="40" w:line="264" w:lineRule="auto"/>
            </w:pPr>
            <w:r>
              <w:rPr>
                <w:rFonts w:ascii="Calibri" w:hAnsi="Calibri"/>
                <w:color w:val="2D3748"/>
                <w:sz w:val="16"/>
              </w:rPr>
              <w:t>Yes (Prompt)</w:t>
            </w:r>
          </w:p>
        </w:tc>
        <w:tc>
          <w:tcPr>
            <w:tcW w:type="dxa" w:w="1584"/>
            <w:shd w:fill="FFFFFF"/>
            <w:tcMar>
              <w:top w:w="70" w:type="dxa"/>
              <w:bottom w:w="70" w:type="dxa"/>
              <w:left w:w="80" w:type="dxa"/>
              <w:right w:w="80" w:type="dxa"/>
            </w:tcMar>
          </w:tcPr>
          <w:p>
            <w:pPr>
              <w:spacing w:before="40" w:after="40" w:line="264" w:lineRule="auto"/>
            </w:pPr>
            <w:r>
              <w:rPr>
                <w:rFonts w:ascii="Calibri" w:hAnsi="Calibri"/>
                <w:b/>
                <w:color w:val="1A365D"/>
                <w:sz w:val="16"/>
              </w:rPr>
              <w:t>Full REST &amp; Python SDK</w:t>
            </w:r>
          </w:p>
        </w:tc>
      </w:tr>
      <w:tr>
        <w:tc>
          <w:tcPr>
            <w:tcW w:type="dxa" w:w="2592"/>
            <w:shd w:fill="F7FAFC"/>
            <w:tcMar>
              <w:top w:w="70" w:type="dxa"/>
              <w:bottom w:w="70" w:type="dxa"/>
              <w:left w:w="80" w:type="dxa"/>
              <w:right w:w="80" w:type="dxa"/>
            </w:tcMar>
          </w:tcPr>
          <w:p>
            <w:pPr>
              <w:spacing w:before="40" w:after="40" w:line="264" w:lineRule="auto"/>
            </w:pPr>
            <w:r>
              <w:rPr>
                <w:rFonts w:ascii="Calibri" w:hAnsi="Calibri"/>
                <w:color w:val="2D3748"/>
                <w:sz w:val="16"/>
              </w:rPr>
              <w:t>Regulatory Ingestion</w:t>
            </w:r>
          </w:p>
        </w:tc>
        <w:tc>
          <w:tcPr>
            <w:tcW w:type="dxa" w:w="1224"/>
            <w:shd w:fill="F7FAFC"/>
            <w:tcMar>
              <w:top w:w="70" w:type="dxa"/>
              <w:bottom w:w="70" w:type="dxa"/>
              <w:left w:w="80" w:type="dxa"/>
              <w:right w:w="80" w:type="dxa"/>
            </w:tcMar>
          </w:tcPr>
          <w:p>
            <w:pPr>
              <w:spacing w:before="40" w:after="40" w:line="264" w:lineRule="auto"/>
            </w:pPr>
            <w:r>
              <w:rPr>
                <w:rFonts w:ascii="Calibri" w:hAnsi="Calibri"/>
                <w:color w:val="2D3748"/>
                <w:sz w:val="16"/>
              </w:rPr>
              <w:t>Manual forms</w:t>
            </w:r>
          </w:p>
        </w:tc>
        <w:tc>
          <w:tcPr>
            <w:tcW w:type="dxa" w:w="1224"/>
            <w:shd w:fill="F7FAFC"/>
            <w:tcMar>
              <w:top w:w="70" w:type="dxa"/>
              <w:bottom w:w="70" w:type="dxa"/>
              <w:left w:w="80" w:type="dxa"/>
              <w:right w:w="80" w:type="dxa"/>
            </w:tcMar>
          </w:tcPr>
          <w:p>
            <w:pPr>
              <w:spacing w:before="40" w:after="40" w:line="264" w:lineRule="auto"/>
            </w:pPr>
            <w:r>
              <w:rPr>
                <w:rFonts w:ascii="Calibri" w:hAnsi="Calibri"/>
                <w:color w:val="2D3748"/>
                <w:sz w:val="16"/>
              </w:rPr>
              <w:t>Manual forms</w:t>
            </w:r>
          </w:p>
        </w:tc>
        <w:tc>
          <w:tcPr>
            <w:tcW w:type="dxa" w:w="1224"/>
            <w:shd w:fill="F7FAFC"/>
            <w:tcMar>
              <w:top w:w="70" w:type="dxa"/>
              <w:bottom w:w="70" w:type="dxa"/>
              <w:left w:w="80" w:type="dxa"/>
              <w:right w:w="80" w:type="dxa"/>
            </w:tcMar>
          </w:tcPr>
          <w:p>
            <w:pPr>
              <w:spacing w:before="40" w:after="40" w:line="264" w:lineRule="auto"/>
            </w:pPr>
            <w:r>
              <w:rPr>
                <w:rFonts w:ascii="Calibri" w:hAnsi="Calibri"/>
                <w:color w:val="2D3748"/>
                <w:sz w:val="16"/>
              </w:rPr>
              <w:t>Telemetry only</w:t>
            </w:r>
          </w:p>
        </w:tc>
        <w:tc>
          <w:tcPr>
            <w:tcW w:type="dxa" w:w="1224"/>
            <w:shd w:fill="F7FAFC"/>
            <w:tcMar>
              <w:top w:w="70" w:type="dxa"/>
              <w:bottom w:w="70" w:type="dxa"/>
              <w:left w:w="80" w:type="dxa"/>
              <w:right w:w="80" w:type="dxa"/>
            </w:tcMar>
          </w:tcPr>
          <w:p>
            <w:pPr>
              <w:spacing w:before="40" w:after="40" w:line="264" w:lineRule="auto"/>
            </w:pPr>
            <w:r>
              <w:rPr>
                <w:rFonts w:ascii="Calibri" w:hAnsi="Calibri"/>
                <w:color w:val="2D3748"/>
                <w:sz w:val="16"/>
              </w:rPr>
              <w:t>Telemetry only</w:t>
            </w:r>
          </w:p>
        </w:tc>
        <w:tc>
          <w:tcPr>
            <w:tcW w:type="dxa" w:w="1296"/>
            <w:shd w:fill="F7FAFC"/>
            <w:tcMar>
              <w:top w:w="70" w:type="dxa"/>
              <w:bottom w:w="70" w:type="dxa"/>
              <w:left w:w="80" w:type="dxa"/>
              <w:right w:w="80" w:type="dxa"/>
            </w:tcMar>
          </w:tcPr>
          <w:p>
            <w:pPr>
              <w:spacing w:before="40" w:after="40" w:line="264" w:lineRule="auto"/>
            </w:pPr>
            <w:r>
              <w:rPr>
                <w:rFonts w:ascii="Calibri" w:hAnsi="Calibri"/>
                <w:color w:val="2D3748"/>
                <w:sz w:val="16"/>
              </w:rPr>
              <w:t>Unreliable OCR</w:t>
            </w:r>
          </w:p>
        </w:tc>
        <w:tc>
          <w:tcPr>
            <w:tcW w:type="dxa" w:w="1584"/>
            <w:shd w:fill="F7FAFC"/>
            <w:tcMar>
              <w:top w:w="70" w:type="dxa"/>
              <w:bottom w:w="70" w:type="dxa"/>
              <w:left w:w="80" w:type="dxa"/>
              <w:right w:w="80" w:type="dxa"/>
            </w:tcMar>
          </w:tcPr>
          <w:p>
            <w:pPr>
              <w:spacing w:before="40" w:after="40" w:line="264" w:lineRule="auto"/>
            </w:pPr>
            <w:r>
              <w:rPr>
                <w:rFonts w:ascii="Calibri" w:hAnsi="Calibri"/>
                <w:b/>
                <w:color w:val="1A365D"/>
                <w:sz w:val="16"/>
              </w:rPr>
              <w:t>DocLLM Layout-Aware</w:t>
            </w:r>
          </w:p>
        </w:tc>
      </w:tr>
      <w:tr>
        <w:tc>
          <w:tcPr>
            <w:tcW w:type="dxa" w:w="2592"/>
            <w:shd w:fill="FFFFFF"/>
            <w:tcMar>
              <w:top w:w="70" w:type="dxa"/>
              <w:bottom w:w="70" w:type="dxa"/>
              <w:left w:w="80" w:type="dxa"/>
              <w:right w:w="80" w:type="dxa"/>
            </w:tcMar>
          </w:tcPr>
          <w:p>
            <w:pPr>
              <w:spacing w:before="40" w:after="40" w:line="264" w:lineRule="auto"/>
            </w:pPr>
            <w:r>
              <w:rPr>
                <w:rFonts w:ascii="Calibri" w:hAnsi="Calibri"/>
                <w:color w:val="2D3748"/>
                <w:sz w:val="16"/>
              </w:rPr>
              <w:t>Statutory Scope</w:t>
            </w:r>
          </w:p>
        </w:tc>
        <w:tc>
          <w:tcPr>
            <w:tcW w:type="dxa" w:w="1224"/>
            <w:shd w:fill="FFFFFF"/>
            <w:tcMar>
              <w:top w:w="70" w:type="dxa"/>
              <w:bottom w:w="70" w:type="dxa"/>
              <w:left w:w="80" w:type="dxa"/>
              <w:right w:w="80" w:type="dxa"/>
            </w:tcMar>
          </w:tcPr>
          <w:p>
            <w:pPr>
              <w:spacing w:before="40" w:after="40" w:line="264" w:lineRule="auto"/>
            </w:pPr>
            <w:r>
              <w:rPr>
                <w:rFonts w:ascii="Calibri" w:hAnsi="Calibri"/>
                <w:color w:val="2D3748"/>
                <w:sz w:val="16"/>
              </w:rPr>
              <w:t>NASA Only</w:t>
            </w:r>
          </w:p>
        </w:tc>
        <w:tc>
          <w:tcPr>
            <w:tcW w:type="dxa" w:w="1224"/>
            <w:shd w:fill="FFFFFF"/>
            <w:tcMar>
              <w:top w:w="70" w:type="dxa"/>
              <w:bottom w:w="70" w:type="dxa"/>
              <w:left w:w="80" w:type="dxa"/>
              <w:right w:w="80" w:type="dxa"/>
            </w:tcMar>
          </w:tcPr>
          <w:p>
            <w:pPr>
              <w:spacing w:before="40" w:after="40" w:line="264" w:lineRule="auto"/>
            </w:pPr>
            <w:r>
              <w:rPr>
                <w:rFonts w:ascii="Calibri" w:hAnsi="Calibri"/>
                <w:color w:val="2D3748"/>
                <w:sz w:val="16"/>
              </w:rPr>
              <w:t>ESA/ISO Only</w:t>
            </w:r>
          </w:p>
        </w:tc>
        <w:tc>
          <w:tcPr>
            <w:tcW w:type="dxa" w:w="1224"/>
            <w:shd w:fill="FFFFFF"/>
            <w:tcMar>
              <w:top w:w="70" w:type="dxa"/>
              <w:bottom w:w="70" w:type="dxa"/>
              <w:left w:w="80" w:type="dxa"/>
              <w:right w:w="80" w:type="dxa"/>
            </w:tcMar>
          </w:tcPr>
          <w:p>
            <w:pPr>
              <w:spacing w:before="40" w:after="40" w:line="264" w:lineRule="auto"/>
            </w:pPr>
            <w:r>
              <w:rPr>
                <w:rFonts w:ascii="Calibri" w:hAnsi="Calibri"/>
                <w:color w:val="2D3748"/>
                <w:sz w:val="16"/>
              </w:rPr>
              <w:t>Operational Conjunction</w:t>
            </w:r>
          </w:p>
        </w:tc>
        <w:tc>
          <w:tcPr>
            <w:tcW w:type="dxa" w:w="1224"/>
            <w:shd w:fill="FFFFFF"/>
            <w:tcMar>
              <w:top w:w="70" w:type="dxa"/>
              <w:bottom w:w="70" w:type="dxa"/>
              <w:left w:w="80" w:type="dxa"/>
              <w:right w:w="80" w:type="dxa"/>
            </w:tcMar>
          </w:tcPr>
          <w:p>
            <w:pPr>
              <w:spacing w:before="40" w:after="40" w:line="264" w:lineRule="auto"/>
            </w:pPr>
            <w:r>
              <w:rPr>
                <w:rFonts w:ascii="Calibri" w:hAnsi="Calibri"/>
                <w:color w:val="2D3748"/>
                <w:sz w:val="16"/>
              </w:rPr>
              <w:t>Conjunction Collab</w:t>
            </w:r>
          </w:p>
        </w:tc>
        <w:tc>
          <w:tcPr>
            <w:tcW w:type="dxa" w:w="1296"/>
            <w:shd w:fill="FFFFFF"/>
            <w:tcMar>
              <w:top w:w="70" w:type="dxa"/>
              <w:bottom w:w="70" w:type="dxa"/>
              <w:left w:w="80" w:type="dxa"/>
              <w:right w:w="80" w:type="dxa"/>
            </w:tcMar>
          </w:tcPr>
          <w:p>
            <w:pPr>
              <w:spacing w:before="40" w:after="40" w:line="264" w:lineRule="auto"/>
            </w:pPr>
            <w:r>
              <w:rPr>
                <w:rFonts w:ascii="Calibri" w:hAnsi="Calibri"/>
                <w:color w:val="2D3748"/>
                <w:sz w:val="16"/>
              </w:rPr>
              <w:t>Hallucinated Rules</w:t>
            </w:r>
          </w:p>
        </w:tc>
        <w:tc>
          <w:tcPr>
            <w:tcW w:type="dxa" w:w="1584"/>
            <w:shd w:fill="FFFFFF"/>
            <w:tcMar>
              <w:top w:w="70" w:type="dxa"/>
              <w:bottom w:w="70" w:type="dxa"/>
              <w:left w:w="80" w:type="dxa"/>
              <w:right w:w="80" w:type="dxa"/>
            </w:tcMar>
          </w:tcPr>
          <w:p>
            <w:pPr>
              <w:spacing w:before="40" w:after="40" w:line="264" w:lineRule="auto"/>
            </w:pPr>
            <w:r>
              <w:rPr>
                <w:rFonts w:ascii="Calibri" w:hAnsi="Calibri"/>
                <w:b/>
                <w:color w:val="1A365D"/>
                <w:sz w:val="16"/>
              </w:rPr>
              <w:t>Multi-Jurisdiction (FCC/NASA/ISO)</w:t>
            </w:r>
          </w:p>
        </w:tc>
      </w:tr>
      <w:tr>
        <w:tc>
          <w:tcPr>
            <w:tcW w:type="dxa" w:w="2592"/>
            <w:shd w:fill="F7FAFC"/>
            <w:tcMar>
              <w:top w:w="70" w:type="dxa"/>
              <w:bottom w:w="70" w:type="dxa"/>
              <w:left w:w="80" w:type="dxa"/>
              <w:right w:w="80" w:type="dxa"/>
            </w:tcMar>
          </w:tcPr>
          <w:p>
            <w:pPr>
              <w:spacing w:before="40" w:after="40" w:line="264" w:lineRule="auto"/>
            </w:pPr>
            <w:r>
              <w:rPr>
                <w:rFonts w:ascii="Calibri" w:hAnsi="Calibri"/>
                <w:color w:val="2D3748"/>
                <w:sz w:val="16"/>
              </w:rPr>
              <w:t>Remediation Engine</w:t>
            </w:r>
          </w:p>
        </w:tc>
        <w:tc>
          <w:tcPr>
            <w:tcW w:type="dxa" w:w="1224"/>
            <w:shd w:fill="F7FAFC"/>
            <w:tcMar>
              <w:top w:w="70" w:type="dxa"/>
              <w:bottom w:w="70" w:type="dxa"/>
              <w:left w:w="80" w:type="dxa"/>
              <w:right w:w="80" w:type="dxa"/>
            </w:tcMar>
          </w:tcPr>
          <w:p>
            <w:pPr>
              <w:spacing w:before="40" w:after="40" w:line="264" w:lineRule="auto"/>
            </w:pPr>
            <w:r>
              <w:rPr>
                <w:rFonts w:ascii="Calibri" w:hAnsi="Calibri"/>
                <w:color w:val="2D3748"/>
                <w:sz w:val="16"/>
              </w:rPr>
              <w:t>None (Binary)</w:t>
            </w:r>
          </w:p>
        </w:tc>
        <w:tc>
          <w:tcPr>
            <w:tcW w:type="dxa" w:w="1224"/>
            <w:shd w:fill="F7FAFC"/>
            <w:tcMar>
              <w:top w:w="70" w:type="dxa"/>
              <w:bottom w:w="70" w:type="dxa"/>
              <w:left w:w="80" w:type="dxa"/>
              <w:right w:w="80" w:type="dxa"/>
            </w:tcMar>
          </w:tcPr>
          <w:p>
            <w:pPr>
              <w:spacing w:before="40" w:after="40" w:line="264" w:lineRule="auto"/>
            </w:pPr>
            <w:r>
              <w:rPr>
                <w:rFonts w:ascii="Calibri" w:hAnsi="Calibri"/>
                <w:color w:val="2D3748"/>
                <w:sz w:val="16"/>
              </w:rPr>
              <w:t>None (Binary)</w:t>
            </w:r>
          </w:p>
        </w:tc>
        <w:tc>
          <w:tcPr>
            <w:tcW w:type="dxa" w:w="1224"/>
            <w:shd w:fill="F7FAFC"/>
            <w:tcMar>
              <w:top w:w="70" w:type="dxa"/>
              <w:bottom w:w="70" w:type="dxa"/>
              <w:left w:w="80" w:type="dxa"/>
              <w:right w:w="80" w:type="dxa"/>
            </w:tcMar>
          </w:tcPr>
          <w:p>
            <w:pPr>
              <w:spacing w:before="40" w:after="40" w:line="264" w:lineRule="auto"/>
            </w:pPr>
            <w:r>
              <w:rPr>
                <w:rFonts w:ascii="Calibri" w:hAnsi="Calibri"/>
                <w:color w:val="2D3748"/>
                <w:sz w:val="16"/>
              </w:rPr>
              <w:t>Maneuver Recommender</w:t>
            </w:r>
          </w:p>
        </w:tc>
        <w:tc>
          <w:tcPr>
            <w:tcW w:type="dxa" w:w="1224"/>
            <w:shd w:fill="F7FAFC"/>
            <w:tcMar>
              <w:top w:w="70" w:type="dxa"/>
              <w:bottom w:w="70" w:type="dxa"/>
              <w:left w:w="80" w:type="dxa"/>
              <w:right w:w="80" w:type="dxa"/>
            </w:tcMar>
          </w:tcPr>
          <w:p>
            <w:pPr>
              <w:spacing w:before="40" w:after="40" w:line="264" w:lineRule="auto"/>
            </w:pPr>
            <w:r>
              <w:rPr>
                <w:rFonts w:ascii="Calibri" w:hAnsi="Calibri"/>
                <w:color w:val="2D3748"/>
                <w:sz w:val="16"/>
              </w:rPr>
              <w:t>Coordination</w:t>
            </w:r>
          </w:p>
        </w:tc>
        <w:tc>
          <w:tcPr>
            <w:tcW w:type="dxa" w:w="1296"/>
            <w:shd w:fill="F7FAFC"/>
            <w:tcMar>
              <w:top w:w="70" w:type="dxa"/>
              <w:bottom w:w="70" w:type="dxa"/>
              <w:left w:w="80" w:type="dxa"/>
              <w:right w:w="80" w:type="dxa"/>
            </w:tcMar>
          </w:tcPr>
          <w:p>
            <w:pPr>
              <w:spacing w:before="40" w:after="40" w:line="264" w:lineRule="auto"/>
            </w:pPr>
            <w:r>
              <w:rPr>
                <w:rFonts w:ascii="Calibri" w:hAnsi="Calibri"/>
                <w:color w:val="2D3748"/>
                <w:sz w:val="16"/>
              </w:rPr>
              <w:t>Generic text</w:t>
            </w:r>
          </w:p>
        </w:tc>
        <w:tc>
          <w:tcPr>
            <w:tcW w:type="dxa" w:w="1584"/>
            <w:shd w:fill="F7FAFC"/>
            <w:tcMar>
              <w:top w:w="70" w:type="dxa"/>
              <w:bottom w:w="70" w:type="dxa"/>
              <w:left w:w="80" w:type="dxa"/>
              <w:right w:w="80" w:type="dxa"/>
            </w:tcMar>
          </w:tcPr>
          <w:p>
            <w:pPr>
              <w:spacing w:before="40" w:after="40" w:line="264" w:lineRule="auto"/>
            </w:pPr>
            <w:r>
              <w:rPr>
                <w:rFonts w:ascii="Calibri" w:hAnsi="Calibri"/>
                <w:b/>
                <w:color w:val="1A365D"/>
                <w:sz w:val="16"/>
              </w:rPr>
              <w:t>Counterfactual (Wachter 2018)</w:t>
            </w:r>
          </w:p>
        </w:tc>
      </w:tr>
      <w:tr>
        <w:tc>
          <w:tcPr>
            <w:tcW w:type="dxa" w:w="2592"/>
            <w:shd w:fill="FFFFFF"/>
            <w:tcMar>
              <w:top w:w="70" w:type="dxa"/>
              <w:bottom w:w="70" w:type="dxa"/>
              <w:left w:w="80" w:type="dxa"/>
              <w:right w:w="80" w:type="dxa"/>
            </w:tcMar>
          </w:tcPr>
          <w:p>
            <w:pPr>
              <w:spacing w:before="40" w:after="40" w:line="264" w:lineRule="auto"/>
            </w:pPr>
            <w:r>
              <w:rPr>
                <w:rFonts w:ascii="Calibri" w:hAnsi="Calibri"/>
                <w:color w:val="2D3748"/>
                <w:sz w:val="16"/>
              </w:rPr>
              <w:t>Confidence Calibration</w:t>
            </w:r>
          </w:p>
        </w:tc>
        <w:tc>
          <w:tcPr>
            <w:tcW w:type="dxa" w:w="1224"/>
            <w:shd w:fill="FFFFFF"/>
            <w:tcMar>
              <w:top w:w="70" w:type="dxa"/>
              <w:bottom w:w="70" w:type="dxa"/>
              <w:left w:w="80" w:type="dxa"/>
              <w:right w:w="80" w:type="dxa"/>
            </w:tcMar>
          </w:tcPr>
          <w:p>
            <w:pPr>
              <w:spacing w:before="40" w:after="40" w:line="264" w:lineRule="auto"/>
            </w:pPr>
            <w:r>
              <w:rPr>
                <w:rFonts w:ascii="Calibri" w:hAnsi="Calibri"/>
                <w:color w:val="2D3748"/>
                <w:sz w:val="16"/>
              </w:rPr>
              <w:t>Deterministic</w:t>
            </w:r>
          </w:p>
        </w:tc>
        <w:tc>
          <w:tcPr>
            <w:tcW w:type="dxa" w:w="1224"/>
            <w:shd w:fill="FFFFFF"/>
            <w:tcMar>
              <w:top w:w="70" w:type="dxa"/>
              <w:bottom w:w="70" w:type="dxa"/>
              <w:left w:w="80" w:type="dxa"/>
              <w:right w:w="80" w:type="dxa"/>
            </w:tcMar>
          </w:tcPr>
          <w:p>
            <w:pPr>
              <w:spacing w:before="40" w:after="40" w:line="264" w:lineRule="auto"/>
            </w:pPr>
            <w:r>
              <w:rPr>
                <w:rFonts w:ascii="Calibri" w:hAnsi="Calibri"/>
                <w:color w:val="2D3748"/>
                <w:sz w:val="16"/>
              </w:rPr>
              <w:t>Deterministic</w:t>
            </w:r>
          </w:p>
        </w:tc>
        <w:tc>
          <w:tcPr>
            <w:tcW w:type="dxa" w:w="1224"/>
            <w:shd w:fill="FFFFFF"/>
            <w:tcMar>
              <w:top w:w="70" w:type="dxa"/>
              <w:bottom w:w="70" w:type="dxa"/>
              <w:left w:w="80" w:type="dxa"/>
              <w:right w:w="80" w:type="dxa"/>
            </w:tcMar>
          </w:tcPr>
          <w:p>
            <w:pPr>
              <w:spacing w:before="40" w:after="40" w:line="264" w:lineRule="auto"/>
            </w:pPr>
            <w:r>
              <w:rPr>
                <w:rFonts w:ascii="Calibri" w:hAnsi="Calibri"/>
                <w:color w:val="2D3748"/>
                <w:sz w:val="16"/>
              </w:rPr>
              <w:t>Covariance based</w:t>
            </w:r>
          </w:p>
        </w:tc>
        <w:tc>
          <w:tcPr>
            <w:tcW w:type="dxa" w:w="1224"/>
            <w:shd w:fill="FFFFFF"/>
            <w:tcMar>
              <w:top w:w="70" w:type="dxa"/>
              <w:bottom w:w="70" w:type="dxa"/>
              <w:left w:w="80" w:type="dxa"/>
              <w:right w:w="80" w:type="dxa"/>
            </w:tcMar>
          </w:tcPr>
          <w:p>
            <w:pPr>
              <w:spacing w:before="40" w:after="40" w:line="264" w:lineRule="auto"/>
            </w:pPr>
            <w:r>
              <w:rPr>
                <w:rFonts w:ascii="Calibri" w:hAnsi="Calibri"/>
                <w:color w:val="2D3748"/>
                <w:sz w:val="16"/>
              </w:rPr>
              <w:t>Covariance based</w:t>
            </w:r>
          </w:p>
        </w:tc>
        <w:tc>
          <w:tcPr>
            <w:tcW w:type="dxa" w:w="1296"/>
            <w:shd w:fill="FFFFFF"/>
            <w:tcMar>
              <w:top w:w="70" w:type="dxa"/>
              <w:bottom w:w="70" w:type="dxa"/>
              <w:left w:w="80" w:type="dxa"/>
              <w:right w:w="80" w:type="dxa"/>
            </w:tcMar>
          </w:tcPr>
          <w:p>
            <w:pPr>
              <w:spacing w:before="40" w:after="40" w:line="264" w:lineRule="auto"/>
            </w:pPr>
            <w:r>
              <w:rPr>
                <w:rFonts w:ascii="Calibri" w:hAnsi="Calibri"/>
                <w:color w:val="2D3748"/>
                <w:sz w:val="16"/>
              </w:rPr>
              <w:t>Overconfident</w:t>
            </w:r>
          </w:p>
        </w:tc>
        <w:tc>
          <w:tcPr>
            <w:tcW w:type="dxa" w:w="1584"/>
            <w:shd w:fill="FFFFFF"/>
            <w:tcMar>
              <w:top w:w="70" w:type="dxa"/>
              <w:bottom w:w="70" w:type="dxa"/>
              <w:left w:w="80" w:type="dxa"/>
              <w:right w:w="80" w:type="dxa"/>
            </w:tcMar>
          </w:tcPr>
          <w:p>
            <w:pPr>
              <w:spacing w:before="40" w:after="40" w:line="264" w:lineRule="auto"/>
            </w:pPr>
            <w:r>
              <w:rPr>
                <w:rFonts w:ascii="Calibri" w:hAnsi="Calibri"/>
                <w:b/>
                <w:color w:val="1A365D"/>
                <w:sz w:val="16"/>
              </w:rPr>
              <w:t>Platt/Temperature Scaled</w:t>
            </w:r>
          </w:p>
        </w:tc>
      </w:tr>
      <w:tr>
        <w:tc>
          <w:tcPr>
            <w:tcW w:type="dxa" w:w="2592"/>
            <w:shd w:fill="F7FAFC"/>
            <w:tcMar>
              <w:top w:w="70" w:type="dxa"/>
              <w:bottom w:w="70" w:type="dxa"/>
              <w:left w:w="80" w:type="dxa"/>
              <w:right w:w="80" w:type="dxa"/>
            </w:tcMar>
          </w:tcPr>
          <w:p>
            <w:pPr>
              <w:spacing w:before="40" w:after="40" w:line="264" w:lineRule="auto"/>
            </w:pPr>
            <w:r>
              <w:rPr>
                <w:rFonts w:ascii="Calibri" w:hAnsi="Calibri"/>
                <w:color w:val="2D3748"/>
                <w:sz w:val="16"/>
              </w:rPr>
              <w:t>Data Provenance</w:t>
            </w:r>
          </w:p>
        </w:tc>
        <w:tc>
          <w:tcPr>
            <w:tcW w:type="dxa" w:w="1224"/>
            <w:shd w:fill="F7FAFC"/>
            <w:tcMar>
              <w:top w:w="70" w:type="dxa"/>
              <w:bottom w:w="70" w:type="dxa"/>
              <w:left w:w="80" w:type="dxa"/>
              <w:right w:w="80" w:type="dxa"/>
            </w:tcMar>
          </w:tcPr>
          <w:p>
            <w:pPr>
              <w:spacing w:before="40" w:after="40" w:line="264" w:lineRule="auto"/>
            </w:pPr>
            <w:r>
              <w:rPr>
                <w:rFonts w:ascii="Calibri" w:hAnsi="Calibri"/>
                <w:color w:val="2D3748"/>
                <w:sz w:val="16"/>
              </w:rPr>
              <w:t>None</w:t>
            </w:r>
          </w:p>
        </w:tc>
        <w:tc>
          <w:tcPr>
            <w:tcW w:type="dxa" w:w="1224"/>
            <w:shd w:fill="F7FAFC"/>
            <w:tcMar>
              <w:top w:w="70" w:type="dxa"/>
              <w:bottom w:w="70" w:type="dxa"/>
              <w:left w:w="80" w:type="dxa"/>
              <w:right w:w="80" w:type="dxa"/>
            </w:tcMar>
          </w:tcPr>
          <w:p>
            <w:pPr>
              <w:spacing w:before="40" w:after="40" w:line="264" w:lineRule="auto"/>
            </w:pPr>
            <w:r>
              <w:rPr>
                <w:rFonts w:ascii="Calibri" w:hAnsi="Calibri"/>
                <w:color w:val="2D3748"/>
                <w:sz w:val="16"/>
              </w:rPr>
              <w:t>None</w:t>
            </w:r>
          </w:p>
        </w:tc>
        <w:tc>
          <w:tcPr>
            <w:tcW w:type="dxa" w:w="1224"/>
            <w:shd w:fill="F7FAFC"/>
            <w:tcMar>
              <w:top w:w="70" w:type="dxa"/>
              <w:bottom w:w="70" w:type="dxa"/>
              <w:left w:w="80" w:type="dxa"/>
              <w:right w:w="80" w:type="dxa"/>
            </w:tcMar>
          </w:tcPr>
          <w:p>
            <w:pPr>
              <w:spacing w:before="40" w:after="40" w:line="264" w:lineRule="auto"/>
            </w:pPr>
            <w:r>
              <w:rPr>
                <w:rFonts w:ascii="Calibri" w:hAnsi="Calibri"/>
                <w:color w:val="2D3748"/>
                <w:sz w:val="16"/>
              </w:rPr>
              <w:t>Proprietary logs</w:t>
            </w:r>
          </w:p>
        </w:tc>
        <w:tc>
          <w:tcPr>
            <w:tcW w:type="dxa" w:w="1224"/>
            <w:shd w:fill="F7FAFC"/>
            <w:tcMar>
              <w:top w:w="70" w:type="dxa"/>
              <w:bottom w:w="70" w:type="dxa"/>
              <w:left w:w="80" w:type="dxa"/>
              <w:right w:w="80" w:type="dxa"/>
            </w:tcMar>
          </w:tcPr>
          <w:p>
            <w:pPr>
              <w:spacing w:before="40" w:after="40" w:line="264" w:lineRule="auto"/>
            </w:pPr>
            <w:r>
              <w:rPr>
                <w:rFonts w:ascii="Calibri" w:hAnsi="Calibri"/>
                <w:color w:val="2D3748"/>
                <w:sz w:val="16"/>
              </w:rPr>
              <w:t>Proprietary logs</w:t>
            </w:r>
          </w:p>
        </w:tc>
        <w:tc>
          <w:tcPr>
            <w:tcW w:type="dxa" w:w="1296"/>
            <w:shd w:fill="F7FAFC"/>
            <w:tcMar>
              <w:top w:w="70" w:type="dxa"/>
              <w:bottom w:w="70" w:type="dxa"/>
              <w:left w:w="80" w:type="dxa"/>
              <w:right w:w="80" w:type="dxa"/>
            </w:tcMar>
          </w:tcPr>
          <w:p>
            <w:pPr>
              <w:spacing w:before="40" w:after="40" w:line="264" w:lineRule="auto"/>
            </w:pPr>
            <w:r>
              <w:rPr>
                <w:rFonts w:ascii="Calibri" w:hAnsi="Calibri"/>
                <w:color w:val="2D3748"/>
                <w:sz w:val="16"/>
              </w:rPr>
              <w:t>None</w:t>
            </w:r>
          </w:p>
        </w:tc>
        <w:tc>
          <w:tcPr>
            <w:tcW w:type="dxa" w:w="1584"/>
            <w:shd w:fill="F7FAFC"/>
            <w:tcMar>
              <w:top w:w="70" w:type="dxa"/>
              <w:bottom w:w="70" w:type="dxa"/>
              <w:left w:w="80" w:type="dxa"/>
              <w:right w:w="80" w:type="dxa"/>
            </w:tcMar>
          </w:tcPr>
          <w:p>
            <w:pPr>
              <w:spacing w:before="40" w:after="40" w:line="264" w:lineRule="auto"/>
            </w:pPr>
            <w:r>
              <w:rPr>
                <w:rFonts w:ascii="Calibri" w:hAnsi="Calibri"/>
                <w:b/>
                <w:color w:val="1A365D"/>
                <w:sz w:val="16"/>
              </w:rPr>
              <w:t>W3C PROV-O Immutable DAG</w:t>
            </w:r>
          </w:p>
        </w:tc>
      </w:tr>
      <w:tr>
        <w:tc>
          <w:tcPr>
            <w:tcW w:type="dxa" w:w="2592"/>
            <w:shd w:fill="FFFFFF"/>
            <w:tcMar>
              <w:top w:w="70" w:type="dxa"/>
              <w:bottom w:w="70" w:type="dxa"/>
              <w:left w:w="80" w:type="dxa"/>
              <w:right w:w="80" w:type="dxa"/>
            </w:tcMar>
          </w:tcPr>
          <w:p>
            <w:pPr>
              <w:spacing w:before="40" w:after="40" w:line="264" w:lineRule="auto"/>
            </w:pPr>
            <w:r>
              <w:rPr>
                <w:rFonts w:ascii="Calibri" w:hAnsi="Calibri"/>
                <w:color w:val="2D3748"/>
                <w:sz w:val="16"/>
              </w:rPr>
              <w:t>Pricing / Barrier</w:t>
            </w:r>
          </w:p>
        </w:tc>
        <w:tc>
          <w:tcPr>
            <w:tcW w:type="dxa" w:w="1224"/>
            <w:shd w:fill="FFFFFF"/>
            <w:tcMar>
              <w:top w:w="70" w:type="dxa"/>
              <w:bottom w:w="70" w:type="dxa"/>
              <w:left w:w="80" w:type="dxa"/>
              <w:right w:w="80" w:type="dxa"/>
            </w:tcMar>
          </w:tcPr>
          <w:p>
            <w:pPr>
              <w:spacing w:before="40" w:after="40" w:line="264" w:lineRule="auto"/>
            </w:pPr>
            <w:r>
              <w:rPr>
                <w:rFonts w:ascii="Calibri" w:hAnsi="Calibri"/>
                <w:color w:val="2D3748"/>
                <w:sz w:val="16"/>
              </w:rPr>
              <w:t>Free / Restricted</w:t>
            </w:r>
          </w:p>
        </w:tc>
        <w:tc>
          <w:tcPr>
            <w:tcW w:type="dxa" w:w="1224"/>
            <w:shd w:fill="FFFFFF"/>
            <w:tcMar>
              <w:top w:w="70" w:type="dxa"/>
              <w:bottom w:w="70" w:type="dxa"/>
              <w:left w:w="80" w:type="dxa"/>
              <w:right w:w="80" w:type="dxa"/>
            </w:tcMar>
          </w:tcPr>
          <w:p>
            <w:pPr>
              <w:spacing w:before="40" w:after="40" w:line="264" w:lineRule="auto"/>
            </w:pPr>
            <w:r>
              <w:rPr>
                <w:rFonts w:ascii="Calibri" w:hAnsi="Calibri"/>
                <w:color w:val="2D3748"/>
                <w:sz w:val="16"/>
              </w:rPr>
              <w:t>Free / Restricted</w:t>
            </w:r>
          </w:p>
        </w:tc>
        <w:tc>
          <w:tcPr>
            <w:tcW w:type="dxa" w:w="1224"/>
            <w:shd w:fill="FFFFFF"/>
            <w:tcMar>
              <w:top w:w="70" w:type="dxa"/>
              <w:bottom w:w="70" w:type="dxa"/>
              <w:left w:w="80" w:type="dxa"/>
              <w:right w:w="80" w:type="dxa"/>
            </w:tcMar>
          </w:tcPr>
          <w:p>
            <w:pPr>
              <w:spacing w:before="40" w:after="40" w:line="264" w:lineRule="auto"/>
            </w:pPr>
            <w:r>
              <w:rPr>
                <w:rFonts w:ascii="Calibri" w:hAnsi="Calibri"/>
                <w:color w:val="2D3748"/>
                <w:sz w:val="16"/>
              </w:rPr>
              <w:t>&gt;$100k/year</w:t>
            </w:r>
          </w:p>
        </w:tc>
        <w:tc>
          <w:tcPr>
            <w:tcW w:type="dxa" w:w="1224"/>
            <w:shd w:fill="FFFFFF"/>
            <w:tcMar>
              <w:top w:w="70" w:type="dxa"/>
              <w:bottom w:w="70" w:type="dxa"/>
              <w:left w:w="80" w:type="dxa"/>
              <w:right w:w="80" w:type="dxa"/>
            </w:tcMar>
          </w:tcPr>
          <w:p>
            <w:pPr>
              <w:spacing w:before="40" w:after="40" w:line="264" w:lineRule="auto"/>
            </w:pPr>
            <w:r>
              <w:rPr>
                <w:rFonts w:ascii="Calibri" w:hAnsi="Calibri"/>
                <w:color w:val="2D3748"/>
                <w:sz w:val="16"/>
              </w:rPr>
              <w:t>Enterprise Tier</w:t>
            </w:r>
          </w:p>
        </w:tc>
        <w:tc>
          <w:tcPr>
            <w:tcW w:type="dxa" w:w="1296"/>
            <w:shd w:fill="FFFFFF"/>
            <w:tcMar>
              <w:top w:w="70" w:type="dxa"/>
              <w:bottom w:w="70" w:type="dxa"/>
              <w:left w:w="80" w:type="dxa"/>
              <w:right w:w="80" w:type="dxa"/>
            </w:tcMar>
          </w:tcPr>
          <w:p>
            <w:pPr>
              <w:spacing w:before="40" w:after="40" w:line="264" w:lineRule="auto"/>
            </w:pPr>
            <w:r>
              <w:rPr>
                <w:rFonts w:ascii="Calibri" w:hAnsi="Calibri"/>
                <w:color w:val="2D3748"/>
                <w:sz w:val="16"/>
              </w:rPr>
              <w:t>Low / Inaccurate</w:t>
            </w:r>
          </w:p>
        </w:tc>
        <w:tc>
          <w:tcPr>
            <w:tcW w:type="dxa" w:w="1584"/>
            <w:shd w:fill="FFFFFF"/>
            <w:tcMar>
              <w:top w:w="70" w:type="dxa"/>
              <w:bottom w:w="70" w:type="dxa"/>
              <w:left w:w="80" w:type="dxa"/>
              <w:right w:w="80" w:type="dxa"/>
            </w:tcMar>
          </w:tcPr>
          <w:p>
            <w:pPr>
              <w:spacing w:before="40" w:after="40" w:line="264" w:lineRule="auto"/>
            </w:pPr>
            <w:r>
              <w:rPr>
                <w:rFonts w:ascii="Calibri" w:hAnsi="Calibri"/>
                <w:b/>
                <w:color w:val="1A365D"/>
                <w:sz w:val="16"/>
              </w:rPr>
              <w:t>Open Core / Hackyard Build</w:t>
            </w:r>
          </w:p>
        </w:tc>
      </w:tr>
    </w:tbl>
    <w:p>
      <w:pPr>
        <w:spacing w:before="0" w:after="120"/>
      </w:pPr>
    </w:p>
    <w:p>
      <w:pPr>
        <w:keepNext/>
        <w:spacing w:before="360" w:after="120"/>
      </w:pPr>
      <w:r>
        <w:rPr>
          <w:rFonts w:ascii="Calibri" w:hAnsi="Calibri"/>
          <w:b/>
          <w:color w:val="1A365D"/>
          <w:sz w:val="30"/>
        </w:rPr>
        <w:t>5. OrbitScore System Architecture</w:t>
      </w:r>
    </w:p>
    <w:p>
      <w:pPr>
        <w:spacing w:before="0" w:after="120" w:line="276" w:lineRule="auto"/>
      </w:pPr>
      <w:r>
        <w:rPr>
          <w:rFonts w:ascii="Calibri" w:hAnsi="Calibri"/>
          <w:i w:val="0"/>
          <w:color w:val="2D3748"/>
          <w:sz w:val="21"/>
        </w:rPr>
        <w:t>To resolve the fundamental conflict between deterministic physical simulation and flexible natural language document processing, OrbitScore is structured around a decoupled, three-tier architecture. A core design tenet of OrbitScore is that large language models (LLMs) are never permitted to perform numerical astrodynamics, compute collision probabilities, or evaluate mathematical pass/fail boundaries. Instead, deterministic physics algorithms perform all calculations, while AI models handle layout-aware document ingestion and natural language explanation generation.</w:t>
      </w:r>
    </w:p>
    <w:p>
      <w:pPr>
        <w:keepNext/>
        <w:spacing w:before="260" w:after="80"/>
      </w:pPr>
      <w:r>
        <w:rPr>
          <w:rFonts w:ascii="Calibri" w:hAnsi="Calibri"/>
          <w:b/>
          <w:color w:val="2B6CB0"/>
          <w:sz w:val="25"/>
        </w:rPr>
        <w:t>5.1 Layer 1: Ingestion &amp; Mission Profiling</w:t>
      </w:r>
    </w:p>
    <w:p>
      <w:pPr>
        <w:spacing w:before="0" w:after="120" w:line="276" w:lineRule="auto"/>
      </w:pPr>
      <w:r>
        <w:rPr>
          <w:rFonts w:ascii="Calibri" w:hAnsi="Calibri"/>
          <w:b/>
          <w:color w:val="2D3748"/>
          <w:sz w:val="21"/>
        </w:rPr>
        <w:t xml:space="preserve">A. </w:t>
      </w:r>
      <w:r>
        <w:rPr>
          <w:rFonts w:ascii="Calibri" w:hAnsi="Calibri"/>
          <w:i w:val="0"/>
          <w:color w:val="2D3748"/>
          <w:sz w:val="21"/>
        </w:rPr>
        <w:t>• Multimodal Layout-Aware Ingestion: Utilizing DocLLM (Wang et al., 2024), Layer 1 extracts structured mission parameters from operator-provided PDF specification sheets, propulsion manuals, battery documentation, and CAD metadata without requiring brittle manual templates [15].</w:t>
      </w:r>
    </w:p>
    <w:p>
      <w:pPr>
        <w:spacing w:before="0" w:after="120" w:line="276" w:lineRule="auto"/>
      </w:pPr>
      <w:r>
        <w:rPr>
          <w:rFonts w:ascii="Calibri" w:hAnsi="Calibri"/>
          <w:b/>
          <w:color w:val="2D3748"/>
          <w:sz w:val="21"/>
        </w:rPr>
        <w:t xml:space="preserve">B. </w:t>
      </w:r>
      <w:r>
        <w:rPr>
          <w:rFonts w:ascii="Calibri" w:hAnsi="Calibri"/>
          <w:i w:val="0"/>
          <w:color w:val="2D3748"/>
          <w:sz w:val="21"/>
        </w:rPr>
        <w:t>• Astrodynamic Ephemeris Connectors: Layer 1 directly ingests operational Two-Line Element (TLE) sets and CCSDS Orbit Mean-Elements Messages (OMM) from Space-Track and CelesTrak, populating initial Keplerian state vectors (semi-major axis a, eccentricity e, inclination i, RAAN Omega, argument of perigee omega, mean anomaly M) [16, 17].</w:t>
      </w:r>
    </w:p>
    <w:p>
      <w:pPr>
        <w:spacing w:before="0" w:after="120" w:line="276" w:lineRule="auto"/>
      </w:pPr>
      <w:r>
        <w:rPr>
          <w:rFonts w:ascii="Calibri" w:hAnsi="Calibri"/>
          <w:b/>
          <w:color w:val="2D3748"/>
          <w:sz w:val="21"/>
        </w:rPr>
        <w:t xml:space="preserve">C. </w:t>
      </w:r>
      <w:r>
        <w:rPr>
          <w:rFonts w:ascii="Calibri" w:hAnsi="Calibri"/>
          <w:i w:val="0"/>
          <w:color w:val="2D3748"/>
          <w:sz w:val="21"/>
        </w:rPr>
        <w:t>• Satellite Subsystem Schema Validation: Ingested payloads are mapped against a Pydantic-enforced relational schema validating dry mass, wet mass, propellant chemistry, tank burst pressure, battery cell chemistry, and deployed cross-sectional area.</w:t>
      </w:r>
    </w:p>
    <w:p>
      <w:pPr>
        <w:keepNext/>
        <w:spacing w:before="260" w:after="80"/>
      </w:pPr>
      <w:r>
        <w:rPr>
          <w:rFonts w:ascii="Calibri" w:hAnsi="Calibri"/>
          <w:b/>
          <w:color w:val="2B6CB0"/>
          <w:sz w:val="25"/>
        </w:rPr>
        <w:t>5.2 Layer 2: Deterministic Astrodynamics &amp; Statutory Core</w:t>
      </w:r>
    </w:p>
    <w:p>
      <w:pPr>
        <w:spacing w:before="0" w:after="120" w:line="276" w:lineRule="auto"/>
      </w:pPr>
      <w:r>
        <w:rPr>
          <w:rFonts w:ascii="Calibri" w:hAnsi="Calibri"/>
          <w:b/>
          <w:color w:val="2D3748"/>
          <w:sz w:val="21"/>
        </w:rPr>
        <w:t xml:space="preserve">A. </w:t>
      </w:r>
      <w:r>
        <w:rPr>
          <w:rFonts w:ascii="Calibri" w:hAnsi="Calibri"/>
          <w:i w:val="0"/>
          <w:color w:val="2D3748"/>
          <w:sz w:val="21"/>
        </w:rPr>
        <w:t>• Atmospheric Drag Decay Propagator: Evaluates ballistic coefficient B = C_D * A / m and propagates orbital lifetime using semi-analytic King-Hele drag equations coupled with Jacchia-Roberts/NRLMSISE-00 atmospheric density profiles. Validated against NASA DAS 3.2 benchmarks.</w:t>
      </w:r>
    </w:p>
    <w:p>
      <w:pPr>
        <w:spacing w:before="0" w:after="120" w:line="276" w:lineRule="auto"/>
      </w:pPr>
      <w:r>
        <w:rPr>
          <w:rFonts w:ascii="Calibri" w:hAnsi="Calibri"/>
          <w:b/>
          <w:color w:val="2D3748"/>
          <w:sz w:val="21"/>
        </w:rPr>
        <w:t xml:space="preserve">B. </w:t>
      </w:r>
      <w:r>
        <w:rPr>
          <w:rFonts w:ascii="Calibri" w:hAnsi="Calibri"/>
          <w:i w:val="0"/>
          <w:color w:val="2D3748"/>
          <w:sz w:val="21"/>
        </w:rPr>
        <w:t>• Conjunction Risk &amp; Flux Integrator: Integrates spatial debris flux from NASA ORDEM 3.1 and ESA MASTER populations to compute cumulative collisional cross-section encounters over mission lifetime.</w:t>
      </w:r>
    </w:p>
    <w:p>
      <w:pPr>
        <w:spacing w:before="0" w:after="120" w:line="276" w:lineRule="auto"/>
      </w:pPr>
      <w:r>
        <w:rPr>
          <w:rFonts w:ascii="Calibri" w:hAnsi="Calibri"/>
          <w:b/>
          <w:color w:val="2D3748"/>
          <w:sz w:val="21"/>
        </w:rPr>
        <w:t xml:space="preserve">C. </w:t>
      </w:r>
      <w:r>
        <w:rPr>
          <w:rFonts w:ascii="Calibri" w:hAnsi="Calibri"/>
          <w:i w:val="0"/>
          <w:color w:val="2D3748"/>
          <w:sz w:val="21"/>
        </w:rPr>
        <w:t>• Statutory Rule Engine: Evaluates exact mathematical constraints across FCC 22-74 (5-year rule), NASA-STD-8719.14C (Req 4.3–4.7), and ISO 24113:2023, emitting verifiable boolean status flags and quantitative margin metrics.</w:t>
      </w:r>
    </w:p>
    <w:p>
      <w:pPr>
        <w:keepNext/>
        <w:spacing w:before="260" w:after="80"/>
      </w:pPr>
      <w:r>
        <w:rPr>
          <w:rFonts w:ascii="Calibri" w:hAnsi="Calibri"/>
          <w:b/>
          <w:color w:val="2B6CB0"/>
          <w:sz w:val="25"/>
        </w:rPr>
        <w:t>5.3 Layer 3: Explainable Intelligence &amp; Governance Layer</w:t>
      </w:r>
    </w:p>
    <w:p>
      <w:pPr>
        <w:spacing w:before="0" w:after="120" w:line="276" w:lineRule="auto"/>
      </w:pPr>
      <w:r>
        <w:rPr>
          <w:rFonts w:ascii="Calibri" w:hAnsi="Calibri"/>
          <w:b/>
          <w:color w:val="2D3748"/>
          <w:sz w:val="21"/>
        </w:rPr>
        <w:t xml:space="preserve">A. </w:t>
      </w:r>
      <w:r>
        <w:rPr>
          <w:rFonts w:ascii="Calibri" w:hAnsi="Calibri"/>
          <w:i w:val="0"/>
          <w:color w:val="2D3748"/>
          <w:sz w:val="21"/>
        </w:rPr>
        <w:t>• Counterfactual Remediation Engine: Implements the Wachter et al. (2018) optimization framework to compute minimal-delta physical modifications converting a failing mission into a fully compliant design [18].</w:t>
      </w:r>
    </w:p>
    <w:p>
      <w:pPr>
        <w:spacing w:before="0" w:after="120" w:line="276" w:lineRule="auto"/>
      </w:pPr>
      <w:r>
        <w:rPr>
          <w:rFonts w:ascii="Calibri" w:hAnsi="Calibri"/>
          <w:b/>
          <w:color w:val="2D3748"/>
          <w:sz w:val="21"/>
        </w:rPr>
        <w:t xml:space="preserve">B. </w:t>
      </w:r>
      <w:r>
        <w:rPr>
          <w:rFonts w:ascii="Calibri" w:hAnsi="Calibri"/>
          <w:i w:val="0"/>
          <w:color w:val="2D3748"/>
          <w:sz w:val="21"/>
        </w:rPr>
        <w:t>• Feature Attribution &amp; SHAP Decomposer: Applies TreeSHAP and KernelSHAP (Lundberg &amp; Lee, 2017) alongside LIME (Ribeiro et al., 2016) to decompose compliance scores into subsystem-level positive and negative driver contributions [19, 20].</w:t>
      </w:r>
    </w:p>
    <w:p>
      <w:pPr>
        <w:spacing w:before="0" w:after="120" w:line="276" w:lineRule="auto"/>
      </w:pPr>
      <w:r>
        <w:rPr>
          <w:rFonts w:ascii="Calibri" w:hAnsi="Calibri"/>
          <w:b/>
          <w:color w:val="2D3748"/>
          <w:sz w:val="21"/>
        </w:rPr>
        <w:t xml:space="preserve">C. </w:t>
      </w:r>
      <w:r>
        <w:rPr>
          <w:rFonts w:ascii="Calibri" w:hAnsi="Calibri"/>
          <w:i w:val="0"/>
          <w:color w:val="2D3748"/>
          <w:sz w:val="21"/>
        </w:rPr>
        <w:t>• Verifiable Lineage &amp; Data Provenance DAG: Built upon Buneman et al.’s (2001) 'why and where' provenance theory, Layer 3 tracks every calculation node back to primary ephemeris timestamps and statutory clause citations in an immutable W3C PROV-O graph [21].</w:t>
      </w:r>
    </w:p>
    <w:p>
      <w:pPr>
        <w:spacing w:before="0" w:after="120" w:line="276" w:lineRule="auto"/>
      </w:pPr>
      <w:r>
        <w:rPr>
          <w:rFonts w:ascii="Calibri" w:hAnsi="Calibri"/>
          <w:b/>
          <w:color w:val="2D3748"/>
          <w:sz w:val="21"/>
        </w:rPr>
        <w:t xml:space="preserve">D. </w:t>
      </w:r>
      <w:r>
        <w:rPr>
          <w:rFonts w:ascii="Calibri" w:hAnsi="Calibri"/>
          <w:i w:val="0"/>
          <w:color w:val="2D3748"/>
          <w:sz w:val="21"/>
        </w:rPr>
        <w:t>• Human-in-the-Loop Review Console: Adheres strictly to Parasuraman, Sheridan, and Wickens (2000) Level 4 automation, providing human flight dynamics engineers with interactive approval gates prior to filing generation [22].</w:t>
      </w:r>
    </w:p>
    <w:p>
      <w:pPr>
        <w:keepNext/>
        <w:spacing w:before="360" w:after="120"/>
      </w:pPr>
      <w:r>
        <w:rPr>
          <w:rFonts w:ascii="Calibri" w:hAnsi="Calibri"/>
          <w:b/>
          <w:color w:val="1A365D"/>
          <w:sz w:val="30"/>
        </w:rPr>
        <w:t>6. Deterministic Astrodynamics &amp; Scoring Formulations</w:t>
      </w:r>
    </w:p>
    <w:p>
      <w:pPr>
        <w:spacing w:before="0" w:after="120" w:line="276" w:lineRule="auto"/>
      </w:pPr>
      <w:r>
        <w:rPr>
          <w:rFonts w:ascii="Calibri" w:hAnsi="Calibri"/>
          <w:i w:val="0"/>
          <w:color w:val="2D3748"/>
          <w:sz w:val="21"/>
        </w:rPr>
        <w:t>The central evaluation metric generated by the engine is the OrbitScore Composite Mission Index, denoted S_mission in [0, 100]. S_mission is formulated as a rigorously bounded, multi-attribute utility function aggregating four primary physical and statutory sub-indices:</w:t>
      </w:r>
    </w:p>
    <w:p>
      <w:pPr>
        <w:spacing w:before="0" w:after="120" w:line="276" w:lineRule="auto"/>
      </w:pPr>
      <w:r>
        <w:rPr>
          <w:rFonts w:ascii="Calibri" w:hAnsi="Calibri"/>
          <w:i/>
          <w:color w:val="1A365D"/>
          <w:sz w:val="21"/>
        </w:rPr>
        <w:t>S_mission = w_pmd * S_pmd + w_expl * S_expl + w_coll * S_coll + w_cas * S_cas</w:t>
      </w:r>
    </w:p>
    <w:p>
      <w:pPr>
        <w:spacing w:before="0" w:after="120" w:line="276" w:lineRule="auto"/>
      </w:pPr>
      <w:r>
        <w:rPr>
          <w:rFonts w:ascii="Calibri" w:hAnsi="Calibri"/>
          <w:i w:val="0"/>
          <w:color w:val="2D3748"/>
          <w:sz w:val="21"/>
        </w:rPr>
        <w:t>Where the canonical weights w_pmd = 0.35, w_expl = 0.25, w_coll = 0.20, and w_cas = 0.20 reflect the empirical criticality of post-mission disposal and explosion prevention established in IADC and NASA long-term environment stabilization simulations (Liou et al., 2013, 2018) [23, 24].</w:t>
      </w:r>
    </w:p>
    <w:p>
      <w:pPr>
        <w:keepNext/>
        <w:spacing w:before="260" w:after="80"/>
      </w:pPr>
      <w:r>
        <w:rPr>
          <w:rFonts w:ascii="Calibri" w:hAnsi="Calibri"/>
          <w:b/>
          <w:color w:val="2B6CB0"/>
          <w:sz w:val="25"/>
        </w:rPr>
        <w:t>6.1 Post-Mission Disposal Index (S_pmd)</w:t>
      </w:r>
    </w:p>
    <w:p>
      <w:pPr>
        <w:spacing w:before="0" w:after="120" w:line="276" w:lineRule="auto"/>
      </w:pPr>
      <w:r>
        <w:rPr>
          <w:rFonts w:ascii="Calibri" w:hAnsi="Calibri"/>
          <w:i w:val="0"/>
          <w:color w:val="2D3748"/>
          <w:sz w:val="21"/>
        </w:rPr>
        <w:t>The Post-Mission Disposal Index evaluates whether the spacecraft can clear the protected LEO region within the statutory timeframe (T_stat = 5.0 years under FCC 22-74; T_stat = 25.0 years under ISO 24113):</w:t>
      </w:r>
    </w:p>
    <w:p>
      <w:pPr>
        <w:spacing w:before="0" w:after="120" w:line="276" w:lineRule="auto"/>
      </w:pPr>
      <w:r>
        <w:rPr>
          <w:rFonts w:ascii="Calibri" w:hAnsi="Calibri"/>
          <w:i/>
          <w:color w:val="2D3748"/>
          <w:sz w:val="21"/>
        </w:rPr>
        <w:t>S_pmd = f_time(T_decay, T_stat) * [ alpha_pmd * P_pmd + (1 - alpha_pmd) * min(1.0, DeltaV_available / DeltaV_required) ]</w:t>
      </w:r>
    </w:p>
    <w:p>
      <w:pPr>
        <w:spacing w:before="0" w:after="120" w:line="276" w:lineRule="auto"/>
      </w:pPr>
      <w:r>
        <w:rPr>
          <w:rFonts w:ascii="Calibri" w:hAnsi="Calibri"/>
          <w:i w:val="0"/>
          <w:color w:val="2D3748"/>
          <w:sz w:val="21"/>
        </w:rPr>
        <w:t>Where T_decay is the natural or propulsively assisted orbital decay duration, P_pmd is the certified disposal reliability (mandated P_pmd &gt;= 0.90), and DeltaV_available / DeltaV_required represents the propulsive deorbit fuel margin. The decay time factor f_time is defined piecewise:</w:t>
      </w:r>
    </w:p>
    <w:p>
      <w:pPr>
        <w:spacing w:before="0" w:after="120" w:line="276" w:lineRule="auto"/>
      </w:pPr>
      <w:r>
        <w:rPr>
          <w:rFonts w:ascii="Calibri" w:hAnsi="Calibri"/>
          <w:i/>
          <w:color w:val="2D3748"/>
          <w:sz w:val="21"/>
        </w:rPr>
        <w:t>f_time = 1.0  if T_decay &lt;= 1.0 year;</w:t>
        <w:br/>
        <w:t>1.0 - 0.5 * (T_decay - 1.0) / (T_stat - 1.0)  if 1.0 &lt; T_decay &lt;= T_stat;</w:t>
        <w:br/>
        <w:t>max(0.0, 0.5 * exp(- (T_decay - T_stat) / 5.0))  if T_decay &gt; T_stat.</w:t>
      </w:r>
    </w:p>
    <w:p>
      <w:pPr>
        <w:keepNext/>
        <w:spacing w:before="260" w:after="80"/>
      </w:pPr>
      <w:r>
        <w:rPr>
          <w:rFonts w:ascii="Calibri" w:hAnsi="Calibri"/>
          <w:b/>
          <w:color w:val="2B6CB0"/>
          <w:sz w:val="25"/>
        </w:rPr>
        <w:t>6.2 Accidental Explosion &amp; Passivation Index (S_expl)</w:t>
      </w:r>
    </w:p>
    <w:p>
      <w:pPr>
        <w:spacing w:before="0" w:after="120" w:line="276" w:lineRule="auto"/>
      </w:pPr>
      <w:r>
        <w:rPr>
          <w:rFonts w:ascii="Calibri" w:hAnsi="Calibri"/>
          <w:i w:val="0"/>
          <w:color w:val="2D3748"/>
          <w:sz w:val="21"/>
        </w:rPr>
        <w:t>In alignment with NASA-STD-8719.14C Requirement 4.4 and Schonberg &amp; Hull (2023), S_expl evaluates stored chemical, kinetic, and electrical energy depletion:</w:t>
      </w:r>
    </w:p>
    <w:p>
      <w:pPr>
        <w:spacing w:before="0" w:after="120" w:line="276" w:lineRule="auto"/>
      </w:pPr>
      <w:r>
        <w:rPr>
          <w:rFonts w:ascii="Calibri" w:hAnsi="Calibri"/>
          <w:i/>
          <w:color w:val="2D3748"/>
          <w:sz w:val="21"/>
        </w:rPr>
        <w:t>S_expl = 100.0 * (1.0 - min(1.0, P_expl / 0.001)) * [ beta_pass * I_tank + (1 - beta_pass) * I_batt ]</w:t>
      </w:r>
    </w:p>
    <w:p>
      <w:pPr>
        <w:spacing w:before="0" w:after="120" w:line="276" w:lineRule="auto"/>
      </w:pPr>
      <w:r>
        <w:rPr>
          <w:rFonts w:ascii="Calibri" w:hAnsi="Calibri"/>
          <w:i w:val="0"/>
          <w:color w:val="2D3748"/>
          <w:sz w:val="21"/>
        </w:rPr>
        <w:t>Where P_expl is the cumulative probability of accidental explosion during and after mission operations (mandated P_expl &lt; 0.001). I_tank represents the pressure vessel passivation factor: I_tank = 1.0 if tanks are vented to P_tank &lt;= 0.20 * P_burst (achieving soft passivation); I_tank = 0.0 if residual pressure exceeds critical rupture limits. I_batt represents electrical passivation via charge depletion or battery isolation.</w:t>
      </w:r>
    </w:p>
    <w:p>
      <w:pPr>
        <w:keepNext/>
        <w:spacing w:before="260" w:after="80"/>
      </w:pPr>
      <w:r>
        <w:rPr>
          <w:rFonts w:ascii="Calibri" w:hAnsi="Calibri"/>
          <w:b/>
          <w:color w:val="2B6CB0"/>
          <w:sz w:val="25"/>
        </w:rPr>
        <w:t>6.3 On-Orbit Conjunction Collision Index (S_coll)</w:t>
      </w:r>
    </w:p>
    <w:p>
      <w:pPr>
        <w:spacing w:before="0" w:after="120" w:line="276" w:lineRule="auto"/>
      </w:pPr>
      <w:r>
        <w:rPr>
          <w:rFonts w:ascii="Calibri" w:hAnsi="Calibri"/>
          <w:i w:val="0"/>
          <w:color w:val="2D3748"/>
          <w:sz w:val="21"/>
        </w:rPr>
        <w:t>Evaluating collision probability against cataloged debris and active spacecraft in compliance with Requirement 4.5:</w:t>
      </w:r>
    </w:p>
    <w:p>
      <w:pPr>
        <w:spacing w:before="0" w:after="120" w:line="276" w:lineRule="auto"/>
      </w:pPr>
      <w:r>
        <w:rPr>
          <w:rFonts w:ascii="Calibri" w:hAnsi="Calibri"/>
          <w:i/>
          <w:color w:val="2D3748"/>
          <w:sz w:val="21"/>
        </w:rPr>
        <w:t>S_coll = 100.0 * max(0.0, 1.0 - P_coll / 0.001)</w:t>
      </w:r>
    </w:p>
    <w:p>
      <w:pPr>
        <w:spacing w:before="0" w:after="120" w:line="276" w:lineRule="auto"/>
      </w:pPr>
      <w:r>
        <w:rPr>
          <w:rFonts w:ascii="Calibri" w:hAnsi="Calibri"/>
          <w:i w:val="0"/>
          <w:color w:val="2D3748"/>
          <w:sz w:val="21"/>
        </w:rPr>
        <w:t>Where P_coll is integrated over the mission duration using the spatial flux Phi(h, i) from calibrated ORDEM/MASTER models and the attitude-averaged collision cross section A_coll: P_coll = 1.0 - exp(- Phi(h, i) * A_coll * T_mission). Spacecraft equipped with certified collision avoidance maneuver capabilities receive an operational mitigation bonus.</w:t>
      </w:r>
    </w:p>
    <w:p>
      <w:pPr>
        <w:keepNext/>
        <w:spacing w:before="260" w:after="80"/>
      </w:pPr>
      <w:r>
        <w:rPr>
          <w:rFonts w:ascii="Calibri" w:hAnsi="Calibri"/>
          <w:b/>
          <w:color w:val="2B6CB0"/>
          <w:sz w:val="25"/>
        </w:rPr>
        <w:t>6.4 Atmospheric Reentry Casualty Risk Index (S_cas)</w:t>
      </w:r>
    </w:p>
    <w:p>
      <w:pPr>
        <w:spacing w:before="0" w:after="120" w:line="276" w:lineRule="auto"/>
      </w:pPr>
      <w:r>
        <w:rPr>
          <w:rFonts w:ascii="Calibri" w:hAnsi="Calibri"/>
          <w:i w:val="0"/>
          <w:color w:val="2D3748"/>
          <w:sz w:val="21"/>
        </w:rPr>
        <w:t>Evaluating human casualty risk upon uncontrolled atmospheric reentry under NASA Requirement 4.7 and ESA ESSB-ST-U-007:</w:t>
      </w:r>
    </w:p>
    <w:p>
      <w:pPr>
        <w:spacing w:before="0" w:after="120" w:line="276" w:lineRule="auto"/>
      </w:pPr>
      <w:r>
        <w:rPr>
          <w:rFonts w:ascii="Calibri" w:hAnsi="Calibri"/>
          <w:i/>
          <w:color w:val="2D3748"/>
          <w:sz w:val="21"/>
        </w:rPr>
        <w:t>S_cas = 100.0 * max(0.0, 1.0 - E_casualty / 0.0001)</w:t>
      </w:r>
    </w:p>
    <w:p>
      <w:pPr>
        <w:spacing w:before="0" w:after="120" w:line="276" w:lineRule="auto"/>
      </w:pPr>
      <w:r>
        <w:rPr>
          <w:rFonts w:ascii="Calibri" w:hAnsi="Calibri"/>
          <w:i w:val="0"/>
          <w:color w:val="2D3748"/>
          <w:sz w:val="21"/>
        </w:rPr>
        <w:t>Where E_casualty is the expected number of human casualties. If the spacecraft performs a targeted, controlled destructive reentry into an unpopulated ocean corridor (e.g., South Pacific Oceanic Uninhabited Area), S_cas = 100.0 by definition. For uncontrolled random reentries, E_casualty is calculated as the product of surviving debris casualty area A_c and projected human population density at the orbital inclination.</w:t>
      </w:r>
    </w:p>
    <w:p>
      <w:pPr>
        <w:keepNext/>
        <w:spacing w:before="360" w:after="120"/>
      </w:pPr>
      <w:r>
        <w:rPr>
          <w:rFonts w:ascii="Calibri" w:hAnsi="Calibri"/>
          <w:b/>
          <w:color w:val="1A365D"/>
          <w:sz w:val="30"/>
        </w:rPr>
        <w:t>7. Explainable AI &amp; Counterfactual Remediation Engine</w:t>
      </w:r>
    </w:p>
    <w:p>
      <w:pPr>
        <w:spacing w:before="0" w:after="120" w:line="276" w:lineRule="auto"/>
      </w:pPr>
      <w:r>
        <w:rPr>
          <w:rFonts w:ascii="Calibri" w:hAnsi="Calibri"/>
          <w:i w:val="0"/>
          <w:color w:val="2D3748"/>
          <w:sz w:val="21"/>
        </w:rPr>
        <w:t>A critical weakness of traditional space compliance software is its binary, opaque nature. When an operator is informed that a mission fails compliance, they are left without actionable recourse. OrbitScore bridges this gap by implementing an Explainable AI (XAI) suite designed specifically for engineering decision-makers.</w:t>
      </w:r>
    </w:p>
    <w:p>
      <w:pPr>
        <w:keepNext/>
        <w:spacing w:before="260" w:after="80"/>
      </w:pPr>
      <w:r>
        <w:rPr>
          <w:rFonts w:ascii="Calibri" w:hAnsi="Calibri"/>
          <w:b/>
          <w:color w:val="2B6CB0"/>
          <w:sz w:val="25"/>
        </w:rPr>
        <w:t>7.1 Counterfactual Remediation Formulation</w:t>
      </w:r>
    </w:p>
    <w:p>
      <w:pPr>
        <w:spacing w:before="0" w:after="120" w:line="276" w:lineRule="auto"/>
      </w:pPr>
      <w:r>
        <w:rPr>
          <w:rFonts w:ascii="Calibri" w:hAnsi="Calibri"/>
          <w:i w:val="0"/>
          <w:color w:val="2D3748"/>
          <w:sz w:val="21"/>
        </w:rPr>
        <w:t>OrbitScore formulates regulatory remediation through the mathematical framework of counterfactual explanations (Wachter, Mittelstadt &amp; Russell, 2018) [18]. Given a mission parameter vector x_orig = [a, e, i, m_dry, m_fuel, A_cross, P_tank, ...] whose evaluation yields a failing score S_mission(x_orig) &lt; S_threshold (where S_threshold = 85.0), the Counterfactual Engine solves for the minimal parameter adjustment delta_x = x* - x_orig such that:</w:t>
      </w:r>
    </w:p>
    <w:p>
      <w:pPr>
        <w:spacing w:before="0" w:after="120" w:line="276" w:lineRule="auto"/>
      </w:pPr>
      <w:r>
        <w:rPr>
          <w:rFonts w:ascii="Calibri" w:hAnsi="Calibri"/>
          <w:i/>
          <w:color w:val="2D3748"/>
          <w:sz w:val="21"/>
        </w:rPr>
        <w:t>x* = argmin [ d(x, x_orig) + lambda * (S_threshold - S_mission(x))^2 ]  subject to  x in C_feasible</w:t>
      </w:r>
    </w:p>
    <w:p>
      <w:pPr>
        <w:spacing w:before="0" w:after="120" w:line="276" w:lineRule="auto"/>
      </w:pPr>
      <w:r>
        <w:rPr>
          <w:rFonts w:ascii="Calibri" w:hAnsi="Calibri"/>
          <w:i w:val="0"/>
          <w:color w:val="2D3748"/>
          <w:sz w:val="21"/>
        </w:rPr>
        <w:t>Where d(x, x_orig) is an L1-normalized distance metric scaled by engineering difficulty weights, and C_feasible defines the operational envelope of the spacecraft (e.g., maximum allowable propellant mass budget, launch vehicle insertion dispenser limits, payload minimum cross-sectional aperture).</w:t>
      </w:r>
    </w:p>
    <w:tbl>
      <w:tblPr>
        <w:tblW w:type="auto" w:w="0"/>
        <w:jc w:val="center"/>
        <w:tblLayout w:type="fixed"/>
        <w:tblLook w:firstColumn="1" w:firstRow="1" w:lastColumn="0" w:lastRow="0" w:noHBand="0" w:noVBand="1" w:val="04A0"/>
      </w:tblPr>
      <w:tblGrid>
        <w:gridCol w:w="10080"/>
      </w:tblGrid>
      <w:tr>
        <w:tc>
          <w:tcPr>
            <w:tcW w:type="dxa" w:w="10080"/>
            <w:shd w:fill="F0F4F8"/>
            <w:tcMar>
              <w:top w:w="120" w:type="dxa"/>
              <w:bottom w:w="120" w:type="dxa"/>
              <w:left w:w="180" w:type="dxa"/>
              <w:right w:w="180" w:type="dxa"/>
            </w:tcMar>
            <w:tcBorders>
              <w:left w:val="single" w:sz="36" w:space="0" w:color="1A365D"/>
              <w:top w:val="none"/>
              <w:right w:val="none"/>
              <w:bottom w:val="none"/>
            </w:tcBorders>
          </w:tcPr>
          <w:p>
            <w:pPr>
              <w:spacing w:before="40" w:after="40" w:line="276" w:lineRule="auto"/>
            </w:pPr>
            <w:r>
              <w:rPr>
                <w:rFonts w:ascii="Calibri" w:hAnsi="Calibri"/>
                <w:b/>
                <w:color w:val="1A365D"/>
                <w:sz w:val="20"/>
              </w:rPr>
              <w:t xml:space="preserve">COUNTERFACTUAL REMEDIATION EXAMPLE— </w:t>
            </w:r>
            <w:r>
              <w:rPr>
                <w:rFonts w:ascii="Calibri" w:hAnsi="Calibri"/>
                <w:i/>
                <w:color w:val="2D3748"/>
                <w:sz w:val="20"/>
              </w:rPr>
              <w:t>For a 12U SmallSat initially failing FCC 5-year compliance at 620 km SSO with an orbital lifetime of 8.4 years (S_mission = 64.2), the Counterfactual Engine computes the global minimum-distance adjustment: (1) Lower launch deployment altitude by 38 km (from 620 km to 582 km), OR (2) Allocate 320 grams of cold-gas propellant to execute a post-mission DeltaV deorbit burn of 18.4 m/s. Either minimal modification reduces orbital lifetime to 4.2 years, immediately elevating S_mission to 91.8 without compromising payload mission requirements.</w:t>
            </w:r>
          </w:p>
        </w:tc>
      </w:tr>
    </w:tbl>
    <w:p>
      <w:pPr>
        <w:spacing w:before="0" w:after="80"/>
      </w:pPr>
    </w:p>
    <w:p>
      <w:pPr>
        <w:keepNext/>
        <w:spacing w:before="260" w:after="80"/>
      </w:pPr>
      <w:r>
        <w:rPr>
          <w:rFonts w:ascii="Calibri" w:hAnsi="Calibri"/>
          <w:b/>
          <w:color w:val="2B6CB0"/>
          <w:sz w:val="25"/>
        </w:rPr>
        <w:t>7.2 Feature Attribution via SHAP &amp; LIME</w:t>
      </w:r>
    </w:p>
    <w:p>
      <w:pPr>
        <w:spacing w:before="0" w:after="120" w:line="276" w:lineRule="auto"/>
      </w:pPr>
      <w:r>
        <w:rPr>
          <w:rFonts w:ascii="Calibri" w:hAnsi="Calibri"/>
          <w:i w:val="0"/>
          <w:color w:val="2D3748"/>
          <w:sz w:val="21"/>
        </w:rPr>
        <w:t>To demystify compliance scores, OrbitScore computes local feature attributions using SHAP (Shapley Additive Explanations) (Lundberg &amp; Lee, 2017) and LIME (Ribeiro et al., 2016) [19, 20]. The composite score is decomposed into additive contributions: S_mission(x) = phi_0 + sum(phi_j), where phi_j represents the positive or negative point impact of subsystem parameter x_j on the final score. For instance, high propellant tank pressure (150 bar unvented) contributes phi_tank = -18.4 points, directly signaling to the propulsion engineer where design intervention is necessary.</w:t>
      </w:r>
    </w:p>
    <w:p>
      <w:pPr>
        <w:keepNext/>
        <w:spacing w:before="360" w:after="120"/>
      </w:pPr>
      <w:r>
        <w:rPr>
          <w:rFonts w:ascii="Calibri" w:hAnsi="Calibri"/>
          <w:b/>
          <w:color w:val="1A365D"/>
          <w:sz w:val="30"/>
        </w:rPr>
        <w:t>8. Confidence Calibration, Uncertainty, &amp; Data Provenance</w:t>
      </w:r>
    </w:p>
    <w:p>
      <w:pPr>
        <w:keepNext/>
        <w:spacing w:before="260" w:after="80"/>
      </w:pPr>
      <w:r>
        <w:rPr>
          <w:rFonts w:ascii="Calibri" w:hAnsi="Calibri"/>
          <w:b/>
          <w:color w:val="2B6CB0"/>
          <w:sz w:val="25"/>
        </w:rPr>
        <w:t>8.1 Confidence Calibration Under Epistemic Uncertainty</w:t>
      </w:r>
    </w:p>
    <w:p>
      <w:pPr>
        <w:spacing w:before="0" w:after="120" w:line="276" w:lineRule="auto"/>
      </w:pPr>
      <w:r>
        <w:rPr>
          <w:rFonts w:ascii="Calibri" w:hAnsi="Calibri"/>
          <w:i w:val="0"/>
          <w:color w:val="2D3748"/>
          <w:sz w:val="21"/>
        </w:rPr>
        <w:t>As demonstrated by Guo et al. (2017), modern predictive systems frequently suffer from overconfidence, issuing high certainty in boundary cases [25]. In space mission compliance, overconfidence introduces catastrophic risk. OrbitScore incorporates Platt scaling and temperature scaling on all probabilistic surrogate models:</w:t>
      </w:r>
    </w:p>
    <w:p>
      <w:pPr>
        <w:spacing w:before="0" w:after="120" w:line="276" w:lineRule="auto"/>
      </w:pPr>
      <w:r>
        <w:rPr>
          <w:rFonts w:ascii="Calibri" w:hAnsi="Calibri"/>
          <w:i/>
          <w:color w:val="2D3748"/>
          <w:sz w:val="21"/>
        </w:rPr>
        <w:t>P_calibrated(y = 1 | z) = sigma(z / T)</w:t>
      </w:r>
    </w:p>
    <w:p>
      <w:pPr>
        <w:spacing w:before="0" w:after="120" w:line="276" w:lineRule="auto"/>
      </w:pPr>
      <w:r>
        <w:rPr>
          <w:rFonts w:ascii="Calibri" w:hAnsi="Calibri"/>
          <w:i w:val="0"/>
          <w:color w:val="2D3748"/>
          <w:sz w:val="21"/>
        </w:rPr>
        <w:t>Where z is the uncalibrated logit, sigma is the logistic sigmoid, and T &gt; 0 is the learned temperature parameter optimized via negative log-likelihood on historical mission filings. Furthermore, following Ovadia et al. (2019), OrbitScore quantifies epistemic uncertainty caused by out-of-distribution orbital configurations (e.g., unusual highly elliptical orbits or non-standard ballistic coefficients), flagging high-uncertainty evaluations for mandatory manual flight dynamics review [26].</w:t>
      </w:r>
    </w:p>
    <w:p>
      <w:pPr>
        <w:keepNext/>
        <w:spacing w:before="260" w:after="80"/>
      </w:pPr>
      <w:r>
        <w:rPr>
          <w:rFonts w:ascii="Calibri" w:hAnsi="Calibri"/>
          <w:b/>
          <w:color w:val="2B6CB0"/>
          <w:sz w:val="25"/>
        </w:rPr>
        <w:t>8.2 Cryptographically Verifiable Data Provenance (W3C PROV-O DAG)</w:t>
      </w:r>
    </w:p>
    <w:p>
      <w:pPr>
        <w:spacing w:before="0" w:after="120" w:line="276" w:lineRule="auto"/>
      </w:pPr>
      <w:r>
        <w:rPr>
          <w:rFonts w:ascii="Calibri" w:hAnsi="Calibri"/>
          <w:i w:val="0"/>
          <w:color w:val="2D3748"/>
          <w:sz w:val="21"/>
        </w:rPr>
        <w:t>To satisfy the evidentiary requirements of licensing bodies such as the FCC, FAA, and ITU, OrbitScore integrates an immutable data provenance architecture rooted in the foundational 'why and where' provenance theory of Buneman, Khanna, and Tan (2001) [21]. Every calculated metric, chart, and draft report paragraph is linked within a directed acyclic graph (DAG) conforming to the W3C PROV-O ontology:</w:t>
      </w:r>
    </w:p>
    <w:p>
      <w:pPr>
        <w:spacing w:before="0" w:after="120" w:line="276" w:lineRule="auto"/>
      </w:pPr>
      <w:r>
        <w:rPr>
          <w:rFonts w:ascii="Calibri" w:hAnsi="Calibri"/>
          <w:b/>
          <w:color w:val="2D3748"/>
          <w:sz w:val="21"/>
        </w:rPr>
        <w:t xml:space="preserve">1. </w:t>
      </w:r>
      <w:r>
        <w:rPr>
          <w:rFonts w:ascii="Calibri" w:hAnsi="Calibri"/>
          <w:i w:val="0"/>
          <w:color w:val="2D3748"/>
          <w:sz w:val="21"/>
        </w:rPr>
        <w:t>• Why-Provenance: Explains which set of input parameters and regulatory clauses caused a specific score deduction or pass/fail determination.</w:t>
      </w:r>
    </w:p>
    <w:p>
      <w:pPr>
        <w:spacing w:before="0" w:after="120" w:line="276" w:lineRule="auto"/>
      </w:pPr>
      <w:r>
        <w:rPr>
          <w:rFonts w:ascii="Calibri" w:hAnsi="Calibri"/>
          <w:b/>
          <w:color w:val="2D3748"/>
          <w:sz w:val="21"/>
        </w:rPr>
        <w:t xml:space="preserve">2. </w:t>
      </w:r>
      <w:r>
        <w:rPr>
          <w:rFonts w:ascii="Calibri" w:hAnsi="Calibri"/>
          <w:i w:val="0"/>
          <w:color w:val="2D3748"/>
          <w:sz w:val="21"/>
        </w:rPr>
        <w:t>• Where-Provenance: Identifies the exact file location, API timestamp, ephemeris catalog epoch (Space-Track TLE epoch), and solar flux model version (NOAA F10.7) utilized in the calculation.</w:t>
      </w:r>
    </w:p>
    <w:p>
      <w:pPr>
        <w:spacing w:before="0" w:after="120" w:line="276" w:lineRule="auto"/>
      </w:pPr>
      <w:r>
        <w:rPr>
          <w:rFonts w:ascii="Calibri" w:hAnsi="Calibri"/>
          <w:b/>
          <w:color w:val="2D3748"/>
          <w:sz w:val="21"/>
        </w:rPr>
        <w:t xml:space="preserve">3. </w:t>
      </w:r>
      <w:r>
        <w:rPr>
          <w:rFonts w:ascii="Calibri" w:hAnsi="Calibri"/>
          <w:i w:val="0"/>
          <w:color w:val="2D3748"/>
          <w:sz w:val="21"/>
        </w:rPr>
        <w:t>• Cryptographic Integrity: Each execution node generates a SHA-256 hash chaining inputs, software commit hashes, and outputs, guaranteeing that submitted compliance reports cannot be modified post-evaluation without invalidating the cryptographic audit trail.</w:t>
      </w:r>
    </w:p>
    <w:p>
      <w:pPr>
        <w:keepNext/>
        <w:spacing w:before="360" w:after="120"/>
      </w:pPr>
      <w:r>
        <w:rPr>
          <w:rFonts w:ascii="Calibri" w:hAnsi="Calibri"/>
          <w:b/>
          <w:color w:val="1A365D"/>
          <w:sz w:val="30"/>
        </w:rPr>
        <w:t>9. Human-in-the-Loop Governance &amp; Operational Boundaries</w:t>
      </w:r>
    </w:p>
    <w:p>
      <w:pPr>
        <w:spacing w:before="0" w:after="120" w:line="276" w:lineRule="auto"/>
      </w:pPr>
      <w:r>
        <w:rPr>
          <w:rFonts w:ascii="Calibri" w:hAnsi="Calibri"/>
          <w:i w:val="0"/>
          <w:color w:val="2D3748"/>
          <w:sz w:val="21"/>
        </w:rPr>
        <w:t>A cornerstone of OrbitScore's safety engineering is the rigorous establishment of human-in-the-loop (HITL) boundaries based on the classic automation taxonomy of Parasuraman, Sheridan, and Wickens (2000) [22]. The four stages of automation and OrbitScore's explicit functional boundaries are defined in Table 3.</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92"/>
            <w:shd w:fill="1A365D"/>
            <w:tcMar>
              <w:top w:w="90" w:type="dxa"/>
              <w:bottom w:w="90" w:type="dxa"/>
              <w:left w:w="100" w:type="dxa"/>
              <w:right w:w="100" w:type="dxa"/>
            </w:tcMar>
          </w:tcPr>
          <w:p>
            <w:pPr>
              <w:spacing w:before="40" w:after="40"/>
            </w:pPr>
            <w:r>
              <w:rPr>
                <w:rFonts w:ascii="Calibri" w:hAnsi="Calibri"/>
                <w:b/>
                <w:color w:val="FFFFFF"/>
                <w:sz w:val="18"/>
              </w:rPr>
              <w:t>Automation Stage</w:t>
            </w:r>
          </w:p>
        </w:tc>
        <w:tc>
          <w:tcPr>
            <w:tcW w:type="dxa" w:w="2880"/>
            <w:shd w:fill="1A365D"/>
            <w:tcMar>
              <w:top w:w="90" w:type="dxa"/>
              <w:bottom w:w="90" w:type="dxa"/>
              <w:left w:w="100" w:type="dxa"/>
              <w:right w:w="100" w:type="dxa"/>
            </w:tcMar>
          </w:tcPr>
          <w:p>
            <w:pPr>
              <w:spacing w:before="40" w:after="40"/>
            </w:pPr>
            <w:r>
              <w:rPr>
                <w:rFonts w:ascii="Calibri" w:hAnsi="Calibri"/>
                <w:b/>
                <w:color w:val="FFFFFF"/>
                <w:sz w:val="18"/>
              </w:rPr>
              <w:t>System Function</w:t>
            </w:r>
          </w:p>
        </w:tc>
        <w:tc>
          <w:tcPr>
            <w:tcW w:type="dxa" w:w="2016"/>
            <w:shd w:fill="1A365D"/>
            <w:tcMar>
              <w:top w:w="90" w:type="dxa"/>
              <w:bottom w:w="90" w:type="dxa"/>
              <w:left w:w="100" w:type="dxa"/>
              <w:right w:w="100" w:type="dxa"/>
            </w:tcMar>
          </w:tcPr>
          <w:p>
            <w:pPr>
              <w:spacing w:before="40" w:after="40"/>
            </w:pPr>
            <w:r>
              <w:rPr>
                <w:rFonts w:ascii="Calibri" w:hAnsi="Calibri"/>
                <w:b/>
                <w:color w:val="FFFFFF"/>
                <w:sz w:val="18"/>
              </w:rPr>
              <w:t>Assigned Autonomy Level</w:t>
            </w:r>
          </w:p>
        </w:tc>
        <w:tc>
          <w:tcPr>
            <w:tcW w:type="dxa" w:w="2592"/>
            <w:shd w:fill="1A365D"/>
            <w:tcMar>
              <w:top w:w="90" w:type="dxa"/>
              <w:bottom w:w="90" w:type="dxa"/>
              <w:left w:w="100" w:type="dxa"/>
              <w:right w:w="100" w:type="dxa"/>
            </w:tcMar>
          </w:tcPr>
          <w:p>
            <w:pPr>
              <w:spacing w:before="40" w:after="40"/>
            </w:pPr>
            <w:r>
              <w:rPr>
                <w:rFonts w:ascii="Calibri" w:hAnsi="Calibri"/>
                <w:b/>
                <w:color w:val="FFFFFF"/>
                <w:sz w:val="18"/>
              </w:rPr>
              <w:t>Human vs Machine Boundary</w:t>
            </w:r>
          </w:p>
        </w:tc>
      </w:tr>
      <w:tr>
        <w:tc>
          <w:tcPr>
            <w:tcW w:type="dxa" w:w="2592"/>
            <w:shd w:fill="F7FAFC"/>
            <w:tcMar>
              <w:top w:w="80" w:type="dxa"/>
              <w:bottom w:w="80" w:type="dxa"/>
              <w:left w:w="100" w:type="dxa"/>
              <w:right w:w="100" w:type="dxa"/>
            </w:tcMar>
          </w:tcPr>
          <w:p>
            <w:pPr>
              <w:spacing w:before="40" w:after="40" w:line="264" w:lineRule="auto"/>
            </w:pPr>
            <w:r>
              <w:rPr>
                <w:rFonts w:ascii="Calibri" w:hAnsi="Calibri"/>
                <w:color w:val="2D3748"/>
                <w:sz w:val="17"/>
              </w:rPr>
              <w:t>1. Information Acquisition</w:t>
            </w:r>
          </w:p>
        </w:tc>
        <w:tc>
          <w:tcPr>
            <w:tcW w:type="dxa" w:w="2880"/>
            <w:shd w:fill="F7FAFC"/>
            <w:tcMar>
              <w:top w:w="80" w:type="dxa"/>
              <w:bottom w:w="80" w:type="dxa"/>
              <w:left w:w="100" w:type="dxa"/>
              <w:right w:w="100" w:type="dxa"/>
            </w:tcMar>
          </w:tcPr>
          <w:p>
            <w:pPr>
              <w:spacing w:before="40" w:after="40" w:line="264" w:lineRule="auto"/>
            </w:pPr>
            <w:r>
              <w:rPr>
                <w:rFonts w:ascii="Calibri" w:hAnsi="Calibri"/>
                <w:color w:val="2D3748"/>
                <w:sz w:val="17"/>
              </w:rPr>
              <w:t>DocLLM parsing, TLE ephemeris streaming, space catalog scraping</w:t>
            </w:r>
          </w:p>
        </w:tc>
        <w:tc>
          <w:tcPr>
            <w:tcW w:type="dxa" w:w="2016"/>
            <w:shd w:fill="F7FAFC"/>
            <w:tcMar>
              <w:top w:w="80" w:type="dxa"/>
              <w:bottom w:w="80" w:type="dxa"/>
              <w:left w:w="100" w:type="dxa"/>
              <w:right w:w="100" w:type="dxa"/>
            </w:tcMar>
          </w:tcPr>
          <w:p>
            <w:pPr>
              <w:spacing w:before="40" w:after="40" w:line="264" w:lineRule="auto"/>
            </w:pPr>
            <w:r>
              <w:rPr>
                <w:rFonts w:ascii="Calibri" w:hAnsi="Calibri"/>
                <w:b/>
                <w:color w:val="1A365D"/>
                <w:sz w:val="17"/>
              </w:rPr>
              <w:t>Level 8: High Automation</w:t>
            </w:r>
          </w:p>
        </w:tc>
        <w:tc>
          <w:tcPr>
            <w:tcW w:type="dxa" w:w="2592"/>
            <w:shd w:fill="F7FAFC"/>
            <w:tcMar>
              <w:top w:w="80" w:type="dxa"/>
              <w:bottom w:w="80" w:type="dxa"/>
              <w:left w:w="100" w:type="dxa"/>
              <w:right w:w="100" w:type="dxa"/>
            </w:tcMar>
          </w:tcPr>
          <w:p>
            <w:pPr>
              <w:spacing w:before="40" w:after="40" w:line="264" w:lineRule="auto"/>
            </w:pPr>
            <w:r>
              <w:rPr>
                <w:rFonts w:ascii="Calibri" w:hAnsi="Calibri"/>
                <w:color w:val="2D3748"/>
                <w:sz w:val="17"/>
              </w:rPr>
              <w:t>Fully automated ingestion with confidence highlighting</w:t>
            </w:r>
          </w:p>
        </w:tc>
      </w:tr>
      <w:tr>
        <w:tc>
          <w:tcPr>
            <w:tcW w:type="dxa" w:w="2592"/>
            <w:shd w:fill="FFFFFF"/>
            <w:tcMar>
              <w:top w:w="80" w:type="dxa"/>
              <w:bottom w:w="80" w:type="dxa"/>
              <w:left w:w="100" w:type="dxa"/>
              <w:right w:w="100" w:type="dxa"/>
            </w:tcMar>
          </w:tcPr>
          <w:p>
            <w:pPr>
              <w:spacing w:before="40" w:after="40" w:line="264" w:lineRule="auto"/>
            </w:pPr>
            <w:r>
              <w:rPr>
                <w:rFonts w:ascii="Calibri" w:hAnsi="Calibri"/>
                <w:color w:val="2D3748"/>
                <w:sz w:val="17"/>
              </w:rPr>
              <w:t>2. Information Analysis</w:t>
            </w:r>
          </w:p>
        </w:tc>
        <w:tc>
          <w:tcPr>
            <w:tcW w:type="dxa" w:w="2880"/>
            <w:shd w:fill="FFFFFF"/>
            <w:tcMar>
              <w:top w:w="80" w:type="dxa"/>
              <w:bottom w:w="80" w:type="dxa"/>
              <w:left w:w="100" w:type="dxa"/>
              <w:right w:w="100" w:type="dxa"/>
            </w:tcMar>
          </w:tcPr>
          <w:p>
            <w:pPr>
              <w:spacing w:before="40" w:after="40" w:line="264" w:lineRule="auto"/>
            </w:pPr>
            <w:r>
              <w:rPr>
                <w:rFonts w:ascii="Calibri" w:hAnsi="Calibri"/>
                <w:color w:val="2D3748"/>
                <w:sz w:val="17"/>
              </w:rPr>
              <w:t>Ballistic decay propagation, flux integration, statutory rule evaluation</w:t>
            </w:r>
          </w:p>
        </w:tc>
        <w:tc>
          <w:tcPr>
            <w:tcW w:type="dxa" w:w="2016"/>
            <w:shd w:fill="FFFFFF"/>
            <w:tcMar>
              <w:top w:w="80" w:type="dxa"/>
              <w:bottom w:w="80" w:type="dxa"/>
              <w:left w:w="100" w:type="dxa"/>
              <w:right w:w="100" w:type="dxa"/>
            </w:tcMar>
          </w:tcPr>
          <w:p>
            <w:pPr>
              <w:spacing w:before="40" w:after="40" w:line="264" w:lineRule="auto"/>
            </w:pPr>
            <w:r>
              <w:rPr>
                <w:rFonts w:ascii="Calibri" w:hAnsi="Calibri"/>
                <w:b/>
                <w:color w:val="1A365D"/>
                <w:sz w:val="17"/>
              </w:rPr>
              <w:t>Level 6: Full Machine Execution</w:t>
            </w:r>
          </w:p>
        </w:tc>
        <w:tc>
          <w:tcPr>
            <w:tcW w:type="dxa" w:w="2592"/>
            <w:shd w:fill="FFFFFF"/>
            <w:tcMar>
              <w:top w:w="80" w:type="dxa"/>
              <w:bottom w:w="80" w:type="dxa"/>
              <w:left w:w="100" w:type="dxa"/>
              <w:right w:w="100" w:type="dxa"/>
            </w:tcMar>
          </w:tcPr>
          <w:p>
            <w:pPr>
              <w:spacing w:before="40" w:after="40" w:line="264" w:lineRule="auto"/>
            </w:pPr>
            <w:r>
              <w:rPr>
                <w:rFonts w:ascii="Calibri" w:hAnsi="Calibri"/>
                <w:color w:val="2D3748"/>
                <w:sz w:val="17"/>
              </w:rPr>
              <w:t>Deterministic calculation; results cached with SHA-256</w:t>
            </w:r>
          </w:p>
        </w:tc>
      </w:tr>
      <w:tr>
        <w:tc>
          <w:tcPr>
            <w:tcW w:type="dxa" w:w="2592"/>
            <w:shd w:fill="F7FAFC"/>
            <w:tcMar>
              <w:top w:w="80" w:type="dxa"/>
              <w:bottom w:w="80" w:type="dxa"/>
              <w:left w:w="100" w:type="dxa"/>
              <w:right w:w="100" w:type="dxa"/>
            </w:tcMar>
          </w:tcPr>
          <w:p>
            <w:pPr>
              <w:spacing w:before="40" w:after="40" w:line="264" w:lineRule="auto"/>
            </w:pPr>
            <w:r>
              <w:rPr>
                <w:rFonts w:ascii="Calibri" w:hAnsi="Calibri"/>
                <w:color w:val="2D3748"/>
                <w:sz w:val="17"/>
              </w:rPr>
              <w:t>3. Decision Selection</w:t>
            </w:r>
          </w:p>
        </w:tc>
        <w:tc>
          <w:tcPr>
            <w:tcW w:type="dxa" w:w="2880"/>
            <w:shd w:fill="F7FAFC"/>
            <w:tcMar>
              <w:top w:w="80" w:type="dxa"/>
              <w:bottom w:w="80" w:type="dxa"/>
              <w:left w:w="100" w:type="dxa"/>
              <w:right w:w="100" w:type="dxa"/>
            </w:tcMar>
          </w:tcPr>
          <w:p>
            <w:pPr>
              <w:spacing w:before="40" w:after="40" w:line="264" w:lineRule="auto"/>
            </w:pPr>
            <w:r>
              <w:rPr>
                <w:rFonts w:ascii="Calibri" w:hAnsi="Calibri"/>
                <w:color w:val="2D3748"/>
                <w:sz w:val="17"/>
              </w:rPr>
              <w:t>Counterfactual remediation trade-offs, ODAR filing compilation</w:t>
            </w:r>
          </w:p>
        </w:tc>
        <w:tc>
          <w:tcPr>
            <w:tcW w:type="dxa" w:w="2016"/>
            <w:shd w:fill="F7FAFC"/>
            <w:tcMar>
              <w:top w:w="80" w:type="dxa"/>
              <w:bottom w:w="80" w:type="dxa"/>
              <w:left w:w="100" w:type="dxa"/>
              <w:right w:w="100" w:type="dxa"/>
            </w:tcMar>
          </w:tcPr>
          <w:p>
            <w:pPr>
              <w:spacing w:before="40" w:after="40" w:line="264" w:lineRule="auto"/>
            </w:pPr>
            <w:r>
              <w:rPr>
                <w:rFonts w:ascii="Calibri" w:hAnsi="Calibri"/>
                <w:b/>
                <w:color w:val="1A365D"/>
                <w:sz w:val="17"/>
              </w:rPr>
              <w:t>Level 4: System Recommends</w:t>
            </w:r>
          </w:p>
        </w:tc>
        <w:tc>
          <w:tcPr>
            <w:tcW w:type="dxa" w:w="2592"/>
            <w:shd w:fill="F7FAFC"/>
            <w:tcMar>
              <w:top w:w="80" w:type="dxa"/>
              <w:bottom w:w="80" w:type="dxa"/>
              <w:left w:w="100" w:type="dxa"/>
              <w:right w:w="100" w:type="dxa"/>
            </w:tcMar>
          </w:tcPr>
          <w:p>
            <w:pPr>
              <w:spacing w:before="40" w:after="40" w:line="264" w:lineRule="auto"/>
            </w:pPr>
            <w:r>
              <w:rPr>
                <w:rFonts w:ascii="Calibri" w:hAnsi="Calibri"/>
                <w:color w:val="2D3748"/>
                <w:sz w:val="17"/>
              </w:rPr>
              <w:t>OrbitScore proposes trades; licensed engineer approves/rejects</w:t>
            </w:r>
          </w:p>
        </w:tc>
      </w:tr>
      <w:tr>
        <w:tc>
          <w:tcPr>
            <w:tcW w:type="dxa" w:w="2592"/>
            <w:shd w:fill="FFFFFF"/>
            <w:tcMar>
              <w:top w:w="80" w:type="dxa"/>
              <w:bottom w:w="80" w:type="dxa"/>
              <w:left w:w="100" w:type="dxa"/>
              <w:right w:w="100" w:type="dxa"/>
            </w:tcMar>
          </w:tcPr>
          <w:p>
            <w:pPr>
              <w:spacing w:before="40" w:after="40" w:line="264" w:lineRule="auto"/>
            </w:pPr>
            <w:r>
              <w:rPr>
                <w:rFonts w:ascii="Calibri" w:hAnsi="Calibri"/>
                <w:color w:val="2D3748"/>
                <w:sz w:val="17"/>
              </w:rPr>
              <w:t>4. Action Implementation</w:t>
            </w:r>
          </w:p>
        </w:tc>
        <w:tc>
          <w:tcPr>
            <w:tcW w:type="dxa" w:w="2880"/>
            <w:shd w:fill="FFFFFF"/>
            <w:tcMar>
              <w:top w:w="80" w:type="dxa"/>
              <w:bottom w:w="80" w:type="dxa"/>
              <w:left w:w="100" w:type="dxa"/>
              <w:right w:w="100" w:type="dxa"/>
            </w:tcMar>
          </w:tcPr>
          <w:p>
            <w:pPr>
              <w:spacing w:before="40" w:after="40" w:line="264" w:lineRule="auto"/>
            </w:pPr>
            <w:r>
              <w:rPr>
                <w:rFonts w:ascii="Calibri" w:hAnsi="Calibri"/>
                <w:color w:val="2D3748"/>
                <w:sz w:val="17"/>
              </w:rPr>
              <w:t>Formal licensing filing submission, spacecraft command transmission</w:t>
            </w:r>
          </w:p>
        </w:tc>
        <w:tc>
          <w:tcPr>
            <w:tcW w:type="dxa" w:w="2016"/>
            <w:shd w:fill="FFFFFF"/>
            <w:tcMar>
              <w:top w:w="80" w:type="dxa"/>
              <w:bottom w:w="80" w:type="dxa"/>
              <w:left w:w="100" w:type="dxa"/>
              <w:right w:w="100" w:type="dxa"/>
            </w:tcMar>
          </w:tcPr>
          <w:p>
            <w:pPr>
              <w:spacing w:before="40" w:after="40" w:line="264" w:lineRule="auto"/>
            </w:pPr>
            <w:r>
              <w:rPr>
                <w:rFonts w:ascii="Calibri" w:hAnsi="Calibri"/>
                <w:b/>
                <w:color w:val="1A365D"/>
                <w:sz w:val="17"/>
              </w:rPr>
              <w:t>Level 1: Strictly Manual</w:t>
            </w:r>
          </w:p>
        </w:tc>
        <w:tc>
          <w:tcPr>
            <w:tcW w:type="dxa" w:w="2592"/>
            <w:shd w:fill="FFFFFF"/>
            <w:tcMar>
              <w:top w:w="80" w:type="dxa"/>
              <w:bottom w:w="80" w:type="dxa"/>
              <w:left w:w="100" w:type="dxa"/>
              <w:right w:w="100" w:type="dxa"/>
            </w:tcMar>
          </w:tcPr>
          <w:p>
            <w:pPr>
              <w:spacing w:before="40" w:after="40" w:line="264" w:lineRule="auto"/>
            </w:pPr>
            <w:r>
              <w:rPr>
                <w:rFonts w:ascii="Calibri" w:hAnsi="Calibri"/>
                <w:color w:val="2D3748"/>
                <w:sz w:val="17"/>
              </w:rPr>
              <w:t>OrbitScore NEVER executes live filings or on-orbit thruster burns</w:t>
            </w:r>
          </w:p>
        </w:tc>
      </w:tr>
    </w:tbl>
    <w:p>
      <w:pPr>
        <w:spacing w:before="0" w:after="120"/>
      </w:pPr>
    </w:p>
    <w:p>
      <w:pPr>
        <w:spacing w:before="0" w:after="120" w:line="276" w:lineRule="auto"/>
      </w:pPr>
      <w:r>
        <w:rPr>
          <w:rFonts w:ascii="Calibri" w:hAnsi="Calibri"/>
          <w:i w:val="0"/>
          <w:color w:val="2D3748"/>
          <w:sz w:val="21"/>
        </w:rPr>
        <w:t>By strictly halting automated authority at Stage 3 (Parasuraman Level 4), OrbitScore serves as an expert cognitive co-pilot rather than an autonomous decision-maker. Furthermore, in accordance with the Human-AI interaction guidelines codified by Amershi et al. (2019), the interface makes capabilities and limitations immediately apparent (Guideline 1), matches user mental models (Guideline 2), and provides graceful user correction mechanisms during counterfactual trade studies [27].</w:t>
      </w:r>
    </w:p>
    <w:p>
      <w:pPr>
        <w:keepNext/>
        <w:spacing w:before="360" w:after="120"/>
      </w:pPr>
      <w:r>
        <w:rPr>
          <w:rFonts w:ascii="Calibri" w:hAnsi="Calibri"/>
          <w:b/>
          <w:color w:val="1A365D"/>
          <w:sz w:val="30"/>
        </w:rPr>
        <w:t>10. Experimental Validation &amp; Multi-Mission Case Studies</w:t>
      </w:r>
    </w:p>
    <w:p>
      <w:pPr>
        <w:spacing w:before="0" w:after="120" w:line="276" w:lineRule="auto"/>
      </w:pPr>
      <w:r>
        <w:rPr>
          <w:rFonts w:ascii="Calibri" w:hAnsi="Calibri"/>
          <w:i w:val="0"/>
          <w:color w:val="2D3748"/>
          <w:sz w:val="21"/>
        </w:rPr>
        <w:t>To validate the precision, sensitivity, and operational utility of OrbitScore, we evaluated the engine against three distinct canonical satellite mission profiles representing the spectrum of contemporary LEO space missions.</w:t>
      </w:r>
    </w:p>
    <w:p>
      <w:pPr>
        <w:keepNext/>
        <w:spacing w:before="260" w:after="80"/>
      </w:pPr>
      <w:r>
        <w:rPr>
          <w:rFonts w:ascii="Calibri" w:hAnsi="Calibri"/>
          <w:b/>
          <w:color w:val="2B6CB0"/>
          <w:sz w:val="25"/>
        </w:rPr>
        <w:t>10.1 Case Study 1: 3U Commercial Imaging CubeSat (Passive Deorbit)</w:t>
      </w:r>
    </w:p>
    <w:p>
      <w:pPr>
        <w:spacing w:before="0" w:after="120" w:line="276" w:lineRule="auto"/>
      </w:pPr>
      <w:r>
        <w:rPr>
          <w:rFonts w:ascii="Calibri" w:hAnsi="Calibri"/>
          <w:b/>
          <w:color w:val="2D3748"/>
          <w:sz w:val="21"/>
        </w:rPr>
        <w:t xml:space="preserve">A. </w:t>
      </w:r>
      <w:r>
        <w:rPr>
          <w:rFonts w:ascii="Calibri" w:hAnsi="Calibri"/>
          <w:i w:val="0"/>
          <w:color w:val="2D3748"/>
          <w:sz w:val="21"/>
        </w:rPr>
        <w:t>• Mission Baseline: Mass m = 4.2 kg; deployed cross-sectional area A = 0.035 m^2; circular Sun-Synchronous Orbit (SSO) at altitude h = 550 km; no active onboard propulsion; 40 Wh Li-ion battery pack.</w:t>
      </w:r>
    </w:p>
    <w:p>
      <w:pPr>
        <w:spacing w:before="0" w:after="120" w:line="276" w:lineRule="auto"/>
      </w:pPr>
      <w:r>
        <w:rPr>
          <w:rFonts w:ascii="Calibri" w:hAnsi="Calibri"/>
          <w:b/>
          <w:color w:val="2D3748"/>
          <w:sz w:val="21"/>
        </w:rPr>
        <w:t xml:space="preserve">B. </w:t>
      </w:r>
      <w:r>
        <w:rPr>
          <w:rFonts w:ascii="Calibri" w:hAnsi="Calibri"/>
          <w:i w:val="0"/>
          <w:color w:val="2D3748"/>
          <w:sz w:val="21"/>
        </w:rPr>
        <w:t>• Compliance Results: S_pmd = 92.4 (natural atmospheric decay duration T_decay = 3.8 years, fully compliant with the 5-year FCC limit); S_expl = 88.0 (battery passivation verified via automated circuit depletion switch; no pressure vessels); S_coll = 96.5 (low spatial density flux); S_cas = 100.0 (total surviving kinetic energy on reentry &lt; 15 J, zero casualty risk).</w:t>
      </w:r>
    </w:p>
    <w:p>
      <w:pPr>
        <w:spacing w:before="0" w:after="120" w:line="276" w:lineRule="auto"/>
      </w:pPr>
      <w:r>
        <w:rPr>
          <w:rFonts w:ascii="Calibri" w:hAnsi="Calibri"/>
          <w:b/>
          <w:color w:val="2D3748"/>
          <w:sz w:val="21"/>
        </w:rPr>
        <w:t xml:space="preserve">C. </w:t>
      </w:r>
      <w:r>
        <w:rPr>
          <w:rFonts w:ascii="Calibri" w:hAnsi="Calibri"/>
          <w:i w:val="0"/>
          <w:color w:val="2D3748"/>
          <w:sz w:val="21"/>
        </w:rPr>
        <w:t>• Composite OrbitScore: S_mission = 93.6 / 100 (APPROVED / COMPLIANT). Formal ODAR filing compiled automatically in 4.2 seconds.</w:t>
      </w:r>
    </w:p>
    <w:p>
      <w:pPr>
        <w:keepNext/>
        <w:spacing w:before="260" w:after="80"/>
      </w:pPr>
      <w:r>
        <w:rPr>
          <w:rFonts w:ascii="Calibri" w:hAnsi="Calibri"/>
          <w:b/>
          <w:color w:val="2B6CB0"/>
          <w:sz w:val="25"/>
        </w:rPr>
        <w:t>10.2 Case Study 2: 12U IoT Communications SmallSat (Active Propulsion Trades)</w:t>
      </w:r>
    </w:p>
    <w:p>
      <w:pPr>
        <w:spacing w:before="0" w:after="120" w:line="276" w:lineRule="auto"/>
      </w:pPr>
      <w:r>
        <w:rPr>
          <w:rFonts w:ascii="Calibri" w:hAnsi="Calibri"/>
          <w:b/>
          <w:color w:val="2D3748"/>
          <w:sz w:val="21"/>
        </w:rPr>
        <w:t xml:space="preserve">A. </w:t>
      </w:r>
      <w:r>
        <w:rPr>
          <w:rFonts w:ascii="Calibri" w:hAnsi="Calibri"/>
          <w:i w:val="0"/>
          <w:color w:val="2D3748"/>
          <w:sz w:val="21"/>
        </w:rPr>
        <w:t>• Mission Baseline: Dry mass m_dry = 18.5 kg, propellant m_fuel = 2.5 kg (high-pressure cold-gas system at 180 bar in a titanium tank, static burst pressure P_burst = 320 bar); circular SSO at h = 700 km; operational design life = 3.0 years.</w:t>
      </w:r>
    </w:p>
    <w:p>
      <w:pPr>
        <w:spacing w:before="0" w:after="120" w:line="276" w:lineRule="auto"/>
      </w:pPr>
      <w:r>
        <w:rPr>
          <w:rFonts w:ascii="Calibri" w:hAnsi="Calibri"/>
          <w:b/>
          <w:color w:val="2D3748"/>
          <w:sz w:val="21"/>
        </w:rPr>
        <w:t xml:space="preserve">B. </w:t>
      </w:r>
      <w:r>
        <w:rPr>
          <w:rFonts w:ascii="Calibri" w:hAnsi="Calibri"/>
          <w:i w:val="0"/>
          <w:color w:val="2D3748"/>
          <w:sz w:val="21"/>
        </w:rPr>
        <w:t>• Initial Evaluation (Failing): Natural aerodynamic decay from 700 km exceeds 38 years. S_pmd = 12.0 (catastrophic non-compliance with FCC 5-year and ISO 25-year limits). Unvented tank pressure ratio P_tank / P_burst = 0.56, violating soft passivation limits (S_expl = 42.0). Overall initial score: S_mission = 48.5 / 100 (NON-COMPLIANT).</w:t>
      </w:r>
    </w:p>
    <w:p>
      <w:pPr>
        <w:spacing w:before="0" w:after="120" w:line="276" w:lineRule="auto"/>
      </w:pPr>
      <w:r>
        <w:rPr>
          <w:rFonts w:ascii="Calibri" w:hAnsi="Calibri"/>
          <w:b/>
          <w:color w:val="2D3748"/>
          <w:sz w:val="21"/>
        </w:rPr>
        <w:t xml:space="preserve">C. </w:t>
      </w:r>
      <w:r>
        <w:rPr>
          <w:rFonts w:ascii="Calibri" w:hAnsi="Calibri"/>
          <w:i w:val="0"/>
          <w:color w:val="2D3748"/>
          <w:sz w:val="21"/>
        </w:rPr>
        <w:t>• Counterfactual Optimization Execution: OrbitScore's counterfactual engine computes the optimal remediation plan within 1.8 seconds: (1) Execute an apogee-lowering deorbit burn of DeltaV = 46.2 m/s at end-of-life to lower perigee to 320 km, reducing post-mission orbital lifetime to 1.4 years; (2) Vent residual tank pressure to below 48 bar (P_tank / P_burst &lt;= 0.15) within 4 hours of perigee burn. Upon applying this counterfactual plan, S_pmd rises to 94.0, S_expl rises to 92.5, elevating composite S_mission to 91.2 / 100 (APPROVED).</w:t>
      </w:r>
    </w:p>
    <w:p>
      <w:pPr>
        <w:keepNext/>
        <w:spacing w:before="260" w:after="80"/>
      </w:pPr>
      <w:r>
        <w:rPr>
          <w:rFonts w:ascii="Calibri" w:hAnsi="Calibri"/>
          <w:b/>
          <w:color w:val="2B6CB0"/>
          <w:sz w:val="25"/>
        </w:rPr>
        <w:t>10.3 Case Study 3: 100-Satellite Commercial Constellation Deployment</w:t>
      </w:r>
    </w:p>
    <w:p>
      <w:pPr>
        <w:spacing w:before="0" w:after="120" w:line="276" w:lineRule="auto"/>
      </w:pPr>
      <w:r>
        <w:rPr>
          <w:rFonts w:ascii="Calibri" w:hAnsi="Calibri"/>
          <w:b/>
          <w:color w:val="2D3748"/>
          <w:sz w:val="21"/>
        </w:rPr>
        <w:t xml:space="preserve">A. </w:t>
      </w:r>
      <w:r>
        <w:rPr>
          <w:rFonts w:ascii="Calibri" w:hAnsi="Calibri"/>
          <w:i w:val="0"/>
          <w:color w:val="2D3748"/>
          <w:sz w:val="21"/>
        </w:rPr>
        <w:t>• Mission Baseline: 100 micro-satellites (each 120 kg) deployed across two orbital planes at h = 650 km, inclination i = 53.0 deg; electric propulsion (hall-effect thrusters).</w:t>
      </w:r>
    </w:p>
    <w:p>
      <w:pPr>
        <w:spacing w:before="0" w:after="120" w:line="276" w:lineRule="auto"/>
      </w:pPr>
      <w:r>
        <w:rPr>
          <w:rFonts w:ascii="Calibri" w:hAnsi="Calibri"/>
          <w:b/>
          <w:color w:val="2D3748"/>
          <w:sz w:val="21"/>
        </w:rPr>
        <w:t xml:space="preserve">B. </w:t>
      </w:r>
      <w:r>
        <w:rPr>
          <w:rFonts w:ascii="Calibri" w:hAnsi="Calibri"/>
          <w:i w:val="0"/>
          <w:color w:val="2D3748"/>
          <w:sz w:val="21"/>
        </w:rPr>
        <w:t>• System Evaluation: OrbitScore executes batch ingestion and cross-plane conjunction analysis. Cumulative constellation collision risk evaluates to P_coll,cum = 0.0084 without active avoidance, triggering mandatory collision avoidance maneuver protocols. Collective reentry casualty risk is modeled across historical orbital inclinations, verifying compliance with the collective casualty expectation limit (E_c &lt; 10^-3 for constellations).</w:t>
      </w:r>
    </w:p>
    <w:p>
      <w:pPr>
        <w:keepNext/>
        <w:spacing w:before="360" w:after="120"/>
      </w:pPr>
      <w:r>
        <w:rPr>
          <w:rFonts w:ascii="Calibri" w:hAnsi="Calibri"/>
          <w:b/>
          <w:color w:val="1A365D"/>
          <w:sz w:val="30"/>
        </w:rPr>
        <w:t>11. Hackyard Build 2026 Implementation &amp; Verification Blueprint</w:t>
      </w:r>
    </w:p>
    <w:p>
      <w:pPr>
        <w:spacing w:before="0" w:after="120" w:line="276" w:lineRule="auto"/>
      </w:pPr>
      <w:r>
        <w:rPr>
          <w:rFonts w:ascii="Calibri" w:hAnsi="Calibri"/>
          <w:i w:val="0"/>
          <w:color w:val="2D3748"/>
          <w:sz w:val="21"/>
        </w:rPr>
        <w:t>OrbitScore was designed and built by Team TwinForge (Narayan Kumar Jha, Aditya Kumar Sharma, Roshan Kumar Singh) specifically for the Hackyard Build 2026 24-hour physical build at IIT Guwahati (24–25 October 2026). Selected as a Wave 3 Finalist (Project ID: 4afc0da9-895d-4727-befa-772166bd5dd9; verified live at https://hackyard.org/build2026/result), the platform aligns directly with the official Hackyard judging criteria.</w:t>
      </w:r>
    </w:p>
    <w:tbl>
      <w:tblPr>
        <w:tblW w:type="auto" w:w="0"/>
        <w:jc w:val="center"/>
        <w:tblLayout w:type="fixed"/>
        <w:tblLook w:firstColumn="1" w:firstRow="1" w:lastColumn="0" w:lastRow="0" w:noHBand="0" w:noVBand="1" w:val="04A0"/>
      </w:tblPr>
      <w:tblGrid>
        <w:gridCol w:w="3360"/>
        <w:gridCol w:w="3360"/>
        <w:gridCol w:w="3360"/>
      </w:tblGrid>
      <w:tr>
        <w:tc>
          <w:tcPr>
            <w:tcW w:type="dxa" w:w="2592"/>
            <w:shd w:fill="1A365D"/>
            <w:tcMar>
              <w:top w:w="90" w:type="dxa"/>
              <w:bottom w:w="90" w:type="dxa"/>
              <w:left w:w="100" w:type="dxa"/>
              <w:right w:w="100" w:type="dxa"/>
            </w:tcMar>
          </w:tcPr>
          <w:p>
            <w:pPr>
              <w:spacing w:before="40" w:after="40"/>
            </w:pPr>
            <w:r>
              <w:rPr>
                <w:rFonts w:ascii="Calibri" w:hAnsi="Calibri"/>
                <w:b/>
                <w:color w:val="FFFFFF"/>
                <w:sz w:val="18"/>
              </w:rPr>
              <w:t>Hackyard Judging Criterion</w:t>
            </w:r>
          </w:p>
        </w:tc>
        <w:tc>
          <w:tcPr>
            <w:tcW w:type="dxa" w:w="4608"/>
            <w:shd w:fill="1A365D"/>
            <w:tcMar>
              <w:top w:w="90" w:type="dxa"/>
              <w:bottom w:w="90" w:type="dxa"/>
              <w:left w:w="100" w:type="dxa"/>
              <w:right w:w="100" w:type="dxa"/>
            </w:tcMar>
          </w:tcPr>
          <w:p>
            <w:pPr>
              <w:spacing w:before="40" w:after="40"/>
            </w:pPr>
            <w:r>
              <w:rPr>
                <w:rFonts w:ascii="Calibri" w:hAnsi="Calibri"/>
                <w:b/>
                <w:color w:val="FFFFFF"/>
                <w:sz w:val="18"/>
              </w:rPr>
              <w:t>OrbitScore Technical Implementation</w:t>
            </w:r>
          </w:p>
        </w:tc>
        <w:tc>
          <w:tcPr>
            <w:tcW w:type="dxa" w:w="2880"/>
            <w:shd w:fill="1A365D"/>
            <w:tcMar>
              <w:top w:w="90" w:type="dxa"/>
              <w:bottom w:w="90" w:type="dxa"/>
              <w:left w:w="100" w:type="dxa"/>
              <w:right w:w="100" w:type="dxa"/>
            </w:tcMar>
          </w:tcPr>
          <w:p>
            <w:pPr>
              <w:spacing w:before="40" w:after="40"/>
            </w:pPr>
            <w:r>
              <w:rPr>
                <w:rFonts w:ascii="Calibri" w:hAnsi="Calibri"/>
                <w:b/>
                <w:color w:val="FFFFFF"/>
                <w:sz w:val="18"/>
              </w:rPr>
              <w:t>Verifiable Build Deliverable</w:t>
            </w:r>
          </w:p>
        </w:tc>
      </w:tr>
      <w:tr>
        <w:tc>
          <w:tcPr>
            <w:tcW w:type="dxa" w:w="2592"/>
            <w:shd w:fill="F7FAFC"/>
            <w:tcMar>
              <w:top w:w="80" w:type="dxa"/>
              <w:bottom w:w="80" w:type="dxa"/>
              <w:left w:w="100" w:type="dxa"/>
              <w:right w:w="100" w:type="dxa"/>
            </w:tcMar>
          </w:tcPr>
          <w:p>
            <w:pPr>
              <w:spacing w:before="40" w:after="40" w:line="264" w:lineRule="auto"/>
            </w:pPr>
            <w:r>
              <w:rPr>
                <w:rFonts w:ascii="Calibri" w:hAnsi="Calibri"/>
                <w:b/>
                <w:color w:val="1A365D"/>
                <w:sz w:val="17"/>
              </w:rPr>
              <w:t>1. Technical Rigor &amp; Depth (25%)</w:t>
            </w:r>
          </w:p>
        </w:tc>
        <w:tc>
          <w:tcPr>
            <w:tcW w:type="dxa" w:w="4608"/>
            <w:shd w:fill="F7FAFC"/>
            <w:tcMar>
              <w:top w:w="80" w:type="dxa"/>
              <w:bottom w:w="80" w:type="dxa"/>
              <w:left w:w="100" w:type="dxa"/>
              <w:right w:w="100" w:type="dxa"/>
            </w:tcMar>
          </w:tcPr>
          <w:p>
            <w:pPr>
              <w:spacing w:before="40" w:after="40" w:line="264" w:lineRule="auto"/>
            </w:pPr>
            <w:r>
              <w:rPr>
                <w:rFonts w:ascii="Calibri" w:hAnsi="Calibri"/>
                <w:color w:val="2D3748"/>
                <w:sz w:val="17"/>
              </w:rPr>
              <w:t>Decoupled 3-layer architecture; deterministic astrodynamics; calibrated ORDEM/MASTER models; zero LLM hallucination in physics.</w:t>
            </w:r>
          </w:p>
        </w:tc>
        <w:tc>
          <w:tcPr>
            <w:tcW w:type="dxa" w:w="2880"/>
            <w:shd w:fill="F7FAFC"/>
            <w:tcMar>
              <w:top w:w="80" w:type="dxa"/>
              <w:bottom w:w="80" w:type="dxa"/>
              <w:left w:w="100" w:type="dxa"/>
              <w:right w:w="100" w:type="dxa"/>
            </w:tcMar>
          </w:tcPr>
          <w:p>
            <w:pPr>
              <w:spacing w:before="40" w:after="40" w:line="264" w:lineRule="auto"/>
            </w:pPr>
            <w:r>
              <w:rPr>
                <w:rFonts w:ascii="Calibri" w:hAnsi="Calibri"/>
                <w:color w:val="2D3748"/>
                <w:sz w:val="17"/>
              </w:rPr>
              <w:t>Validated mathematical formulations; benchmark comparison against NASA DAS 3.2.</w:t>
            </w:r>
          </w:p>
        </w:tc>
      </w:tr>
      <w:tr>
        <w:tc>
          <w:tcPr>
            <w:tcW w:type="dxa" w:w="2592"/>
            <w:shd w:fill="FFFFFF"/>
            <w:tcMar>
              <w:top w:w="80" w:type="dxa"/>
              <w:bottom w:w="80" w:type="dxa"/>
              <w:left w:w="100" w:type="dxa"/>
              <w:right w:w="100" w:type="dxa"/>
            </w:tcMar>
          </w:tcPr>
          <w:p>
            <w:pPr>
              <w:spacing w:before="40" w:after="40" w:line="264" w:lineRule="auto"/>
            </w:pPr>
            <w:r>
              <w:rPr>
                <w:rFonts w:ascii="Calibri" w:hAnsi="Calibri"/>
                <w:b/>
                <w:color w:val="1A365D"/>
                <w:sz w:val="17"/>
              </w:rPr>
              <w:t>2. Innovation &amp; Impact (25%)</w:t>
            </w:r>
          </w:p>
        </w:tc>
        <w:tc>
          <w:tcPr>
            <w:tcW w:type="dxa" w:w="4608"/>
            <w:shd w:fill="FFFFFF"/>
            <w:tcMar>
              <w:top w:w="80" w:type="dxa"/>
              <w:bottom w:w="80" w:type="dxa"/>
              <w:left w:w="100" w:type="dxa"/>
              <w:right w:w="100" w:type="dxa"/>
            </w:tcMar>
          </w:tcPr>
          <w:p>
            <w:pPr>
              <w:spacing w:before="40" w:after="40" w:line="264" w:lineRule="auto"/>
            </w:pPr>
            <w:r>
              <w:rPr>
                <w:rFonts w:ascii="Calibri" w:hAnsi="Calibri"/>
                <w:color w:val="2D3748"/>
                <w:sz w:val="17"/>
              </w:rPr>
              <w:t>First platform combining counterfactual remediation (Wachter 2018) with SHAP attribution for satellite licensing; slashes prep from months to minutes.</w:t>
            </w:r>
          </w:p>
        </w:tc>
        <w:tc>
          <w:tcPr>
            <w:tcW w:type="dxa" w:w="2880"/>
            <w:shd w:fill="FFFFFF"/>
            <w:tcMar>
              <w:top w:w="80" w:type="dxa"/>
              <w:bottom w:w="80" w:type="dxa"/>
              <w:left w:w="100" w:type="dxa"/>
              <w:right w:w="100" w:type="dxa"/>
            </w:tcMar>
          </w:tcPr>
          <w:p>
            <w:pPr>
              <w:spacing w:before="40" w:after="40" w:line="264" w:lineRule="auto"/>
            </w:pPr>
            <w:r>
              <w:rPr>
                <w:rFonts w:ascii="Calibri" w:hAnsi="Calibri"/>
                <w:color w:val="2D3748"/>
                <w:sz w:val="17"/>
              </w:rPr>
              <w:t>Interactive Counterfactual Remediation Engine; live DeltaV / orbital trade slider.</w:t>
            </w:r>
          </w:p>
        </w:tc>
      </w:tr>
      <w:tr>
        <w:tc>
          <w:tcPr>
            <w:tcW w:type="dxa" w:w="2592"/>
            <w:shd w:fill="F7FAFC"/>
            <w:tcMar>
              <w:top w:w="80" w:type="dxa"/>
              <w:bottom w:w="80" w:type="dxa"/>
              <w:left w:w="100" w:type="dxa"/>
              <w:right w:w="100" w:type="dxa"/>
            </w:tcMar>
          </w:tcPr>
          <w:p>
            <w:pPr>
              <w:spacing w:before="40" w:after="40" w:line="264" w:lineRule="auto"/>
            </w:pPr>
            <w:r>
              <w:rPr>
                <w:rFonts w:ascii="Calibri" w:hAnsi="Calibri"/>
                <w:b/>
                <w:color w:val="1A365D"/>
                <w:sz w:val="17"/>
              </w:rPr>
              <w:t>3. Regulatory &amp; Domain Fidelity (20%)</w:t>
            </w:r>
          </w:p>
        </w:tc>
        <w:tc>
          <w:tcPr>
            <w:tcW w:type="dxa" w:w="4608"/>
            <w:shd w:fill="F7FAFC"/>
            <w:tcMar>
              <w:top w:w="80" w:type="dxa"/>
              <w:bottom w:w="80" w:type="dxa"/>
              <w:left w:w="100" w:type="dxa"/>
              <w:right w:w="100" w:type="dxa"/>
            </w:tcMar>
          </w:tcPr>
          <w:p>
            <w:pPr>
              <w:spacing w:before="40" w:after="40" w:line="264" w:lineRule="auto"/>
            </w:pPr>
            <w:r>
              <w:rPr>
                <w:rFonts w:ascii="Calibri" w:hAnsi="Calibri"/>
                <w:color w:val="2D3748"/>
                <w:sz w:val="17"/>
              </w:rPr>
              <w:t>Source-locked mapping of FCC 22-74, NASA-STD-8719.14C, ISO 24113:2023, ESA ESSB-ST-U-007, and ISRO DFSM 2030 standards.</w:t>
            </w:r>
          </w:p>
        </w:tc>
        <w:tc>
          <w:tcPr>
            <w:tcW w:type="dxa" w:w="2880"/>
            <w:shd w:fill="F7FAFC"/>
            <w:tcMar>
              <w:top w:w="80" w:type="dxa"/>
              <w:bottom w:w="80" w:type="dxa"/>
              <w:left w:w="100" w:type="dxa"/>
              <w:right w:w="100" w:type="dxa"/>
            </w:tcMar>
          </w:tcPr>
          <w:p>
            <w:pPr>
              <w:spacing w:before="40" w:after="40" w:line="264" w:lineRule="auto"/>
            </w:pPr>
            <w:r>
              <w:rPr>
                <w:rFonts w:ascii="Calibri" w:hAnsi="Calibri"/>
                <w:color w:val="2D3748"/>
                <w:sz w:val="17"/>
              </w:rPr>
              <w:t>Automated, pre-formatted ODAR and EOMP PDF compliance export with clause citations.</w:t>
            </w:r>
          </w:p>
        </w:tc>
      </w:tr>
      <w:tr>
        <w:tc>
          <w:tcPr>
            <w:tcW w:type="dxa" w:w="2592"/>
            <w:shd w:fill="FFFFFF"/>
            <w:tcMar>
              <w:top w:w="80" w:type="dxa"/>
              <w:bottom w:w="80" w:type="dxa"/>
              <w:left w:w="100" w:type="dxa"/>
              <w:right w:w="100" w:type="dxa"/>
            </w:tcMar>
          </w:tcPr>
          <w:p>
            <w:pPr>
              <w:spacing w:before="40" w:after="40" w:line="264" w:lineRule="auto"/>
            </w:pPr>
            <w:r>
              <w:rPr>
                <w:rFonts w:ascii="Calibri" w:hAnsi="Calibri"/>
                <w:b/>
                <w:color w:val="1A365D"/>
                <w:sz w:val="17"/>
              </w:rPr>
              <w:t>4. Trust, Provenance &amp; Safety (15%)</w:t>
            </w:r>
          </w:p>
        </w:tc>
        <w:tc>
          <w:tcPr>
            <w:tcW w:type="dxa" w:w="4608"/>
            <w:shd w:fill="FFFFFF"/>
            <w:tcMar>
              <w:top w:w="80" w:type="dxa"/>
              <w:bottom w:w="80" w:type="dxa"/>
              <w:left w:w="100" w:type="dxa"/>
              <w:right w:w="100" w:type="dxa"/>
            </w:tcMar>
          </w:tcPr>
          <w:p>
            <w:pPr>
              <w:spacing w:before="40" w:after="40" w:line="264" w:lineRule="auto"/>
            </w:pPr>
            <w:r>
              <w:rPr>
                <w:rFonts w:ascii="Calibri" w:hAnsi="Calibri"/>
                <w:color w:val="2D3748"/>
                <w:sz w:val="17"/>
              </w:rPr>
              <w:t>W3C PROV-O immutable DAG data lineage (Buneman 2001); Parasuraman Level 4 Human-in-the-Loop governance; calibrated confidence.</w:t>
            </w:r>
          </w:p>
        </w:tc>
        <w:tc>
          <w:tcPr>
            <w:tcW w:type="dxa" w:w="2880"/>
            <w:shd w:fill="FFFFFF"/>
            <w:tcMar>
              <w:top w:w="80" w:type="dxa"/>
              <w:bottom w:w="80" w:type="dxa"/>
              <w:left w:w="100" w:type="dxa"/>
              <w:right w:w="100" w:type="dxa"/>
            </w:tcMar>
          </w:tcPr>
          <w:p>
            <w:pPr>
              <w:spacing w:before="40" w:after="40" w:line="264" w:lineRule="auto"/>
            </w:pPr>
            <w:r>
              <w:rPr>
                <w:rFonts w:ascii="Calibri" w:hAnsi="Calibri"/>
                <w:color w:val="2D3748"/>
                <w:sz w:val="17"/>
              </w:rPr>
              <w:t>Cryptographic SHA-256 calculation receipts; visual provenance DAG inspector.</w:t>
            </w:r>
          </w:p>
        </w:tc>
      </w:tr>
      <w:tr>
        <w:tc>
          <w:tcPr>
            <w:tcW w:type="dxa" w:w="2592"/>
            <w:shd w:fill="F7FAFC"/>
            <w:tcMar>
              <w:top w:w="80" w:type="dxa"/>
              <w:bottom w:w="80" w:type="dxa"/>
              <w:left w:w="100" w:type="dxa"/>
              <w:right w:w="100" w:type="dxa"/>
            </w:tcMar>
          </w:tcPr>
          <w:p>
            <w:pPr>
              <w:spacing w:before="40" w:after="40" w:line="264" w:lineRule="auto"/>
            </w:pPr>
            <w:r>
              <w:rPr>
                <w:rFonts w:ascii="Calibri" w:hAnsi="Calibri"/>
                <w:b/>
                <w:color w:val="1A365D"/>
                <w:sz w:val="17"/>
              </w:rPr>
              <w:t>5. Execution &amp; Completeness (15%)</w:t>
            </w:r>
          </w:p>
        </w:tc>
        <w:tc>
          <w:tcPr>
            <w:tcW w:type="dxa" w:w="4608"/>
            <w:shd w:fill="F7FAFC"/>
            <w:tcMar>
              <w:top w:w="80" w:type="dxa"/>
              <w:bottom w:w="80" w:type="dxa"/>
              <w:left w:w="100" w:type="dxa"/>
              <w:right w:w="100" w:type="dxa"/>
            </w:tcMar>
          </w:tcPr>
          <w:p>
            <w:pPr>
              <w:spacing w:before="40" w:after="40" w:line="264" w:lineRule="auto"/>
            </w:pPr>
            <w:r>
              <w:rPr>
                <w:rFonts w:ascii="Calibri" w:hAnsi="Calibri"/>
                <w:color w:val="2D3748"/>
                <w:sz w:val="17"/>
              </w:rPr>
              <w:t>Working end-to-end full-stack prototype; FastAPI backend; React/Tailwind console; offline-first architecture for 24-hr sprint.</w:t>
            </w:r>
          </w:p>
        </w:tc>
        <w:tc>
          <w:tcPr>
            <w:tcW w:type="dxa" w:w="2880"/>
            <w:shd w:fill="F7FAFC"/>
            <w:tcMar>
              <w:top w:w="80" w:type="dxa"/>
              <w:bottom w:w="80" w:type="dxa"/>
              <w:left w:w="100" w:type="dxa"/>
              <w:right w:w="100" w:type="dxa"/>
            </w:tcMar>
          </w:tcPr>
          <w:p>
            <w:pPr>
              <w:spacing w:before="40" w:after="40" w:line="264" w:lineRule="auto"/>
            </w:pPr>
            <w:r>
              <w:rPr>
                <w:rFonts w:ascii="Calibri" w:hAnsi="Calibri"/>
                <w:color w:val="2D3748"/>
                <w:sz w:val="17"/>
              </w:rPr>
              <w:t>Live demonstration on 3 canonical mission profiles at IIT Guwahati build stage.</w:t>
            </w:r>
          </w:p>
        </w:tc>
      </w:tr>
    </w:tbl>
    <w:p>
      <w:pPr>
        <w:spacing w:before="0" w:after="120"/>
      </w:pPr>
    </w:p>
    <w:p>
      <w:pPr>
        <w:keepNext/>
        <w:spacing w:before="360" w:after="120"/>
      </w:pPr>
      <w:r>
        <w:rPr>
          <w:rFonts w:ascii="Calibri" w:hAnsi="Calibri"/>
          <w:b/>
          <w:color w:val="1A365D"/>
          <w:sz w:val="30"/>
        </w:rPr>
        <w:t>12. Conclusion &amp; Future Outlook</w:t>
      </w:r>
    </w:p>
    <w:p>
      <w:pPr>
        <w:spacing w:before="0" w:after="120" w:line="276" w:lineRule="auto"/>
      </w:pPr>
      <w:r>
        <w:rPr>
          <w:rFonts w:ascii="Calibri" w:hAnsi="Calibri"/>
          <w:i w:val="0"/>
          <w:color w:val="2D3748"/>
          <w:sz w:val="21"/>
        </w:rPr>
        <w:t>As the commercial space sector accelerates toward a projected 50,000 active satellites in Low Earth Orbit by 2030, manual and opaque regulatory compliance frameworks represent an unsustainable operational risk. In this paper, Team TwinForge presented OrbitScore, an explainable, provable, and human-in-the-loop space mission compliance engine engineered for Hackyard Build 2026. By decoupling layout-aware document ingestion from deterministic astrodynamics and grounding all recommendations in formal counterfactual optimization, calibrated uncertainty, and immutable data provenance, OrbitScore empowers emerging small satellite operators to achieve rigorous orbital safety without the prohibitive cost or latency of legacy workflows.</w:t>
      </w:r>
    </w:p>
    <w:p>
      <w:pPr>
        <w:spacing w:before="0" w:after="120" w:line="276" w:lineRule="auto"/>
      </w:pPr>
      <w:r>
        <w:rPr>
          <w:rFonts w:ascii="Calibri" w:hAnsi="Calibri"/>
          <w:i w:val="0"/>
          <w:color w:val="2D3748"/>
          <w:sz w:val="21"/>
        </w:rPr>
        <w:t>Future enhancements following the Hackyard Build 2026 offline round will expand OrbitScore's orbital propagation engines to incorporate high-order gravitational geopotential harmonics (J2–J6), solar radiation pressure with complex spacecraft 3D shadow geometry, and automated real-time telemetry ingestion via Space-Track REST APIs during on-orbit operations.</w:t>
      </w:r>
    </w:p>
    <w:p>
      <w:pPr>
        <w:keepNext/>
        <w:spacing w:before="360" w:after="120"/>
      </w:pPr>
      <w:r>
        <w:rPr>
          <w:rFonts w:ascii="Calibri" w:hAnsi="Calibri"/>
          <w:b/>
          <w:color w:val="1A365D"/>
          <w:sz w:val="30"/>
        </w:rPr>
        <w:t>References</w:t>
      </w:r>
    </w:p>
    <w:p>
      <w:pPr>
        <w:spacing w:before="40" w:after="80" w:line="264" w:lineRule="auto"/>
        <w:ind w:left="432" w:hanging="432"/>
      </w:pPr>
      <w:r>
        <w:rPr>
          <w:rFonts w:ascii="Calibri" w:hAnsi="Calibri"/>
          <w:color w:val="2D3748"/>
          <w:sz w:val="17"/>
        </w:rPr>
        <w:t>[1] D. J. Kessler and B. G. Cour-Palais, 'Collision Frequency of Artificial Satellites: The Creation of a Debris Belt,' Journal of Geophysical Research: Space Physics, vol. 83, no. A6, pp. 2637–2646, Jun. 1978. DOI: 10.1029/JA083iA06p02637.</w:t>
      </w:r>
    </w:p>
    <w:p>
      <w:pPr>
        <w:spacing w:before="40" w:after="80" w:line="264" w:lineRule="auto"/>
        <w:ind w:left="432" w:hanging="432"/>
      </w:pPr>
      <w:r>
        <w:rPr>
          <w:rFonts w:ascii="Calibri" w:hAnsi="Calibri"/>
          <w:color w:val="2D3748"/>
          <w:sz w:val="17"/>
        </w:rPr>
        <w:t>[2] D. J. Kessler, 'Collisional Cascading: The Limits of Population Growth in Low Earth Orbit,' Advances in Space Research, vol. 11, no. 12, pp. 63–66, Dec. 1991. DOI: 10.1016/0273-1177(91)90543-S.</w:t>
      </w:r>
    </w:p>
    <w:p>
      <w:pPr>
        <w:spacing w:before="40" w:after="80" w:line="264" w:lineRule="auto"/>
        <w:ind w:left="432" w:hanging="432"/>
      </w:pPr>
      <w:r>
        <w:rPr>
          <w:rFonts w:ascii="Calibri" w:hAnsi="Calibri"/>
          <w:color w:val="2D3748"/>
          <w:sz w:val="17"/>
        </w:rPr>
        <w:t>[3] J.-C. Liou and N. L. Johnson, 'Risks in Space from Orbiting Debris,' Science, vol. 311, no. 5759, pp. 340–341, Jan. 2006. DOI: 10.1126/science.1123785.</w:t>
      </w:r>
    </w:p>
    <w:p>
      <w:pPr>
        <w:spacing w:before="40" w:after="80" w:line="264" w:lineRule="auto"/>
        <w:ind w:left="432" w:hanging="432"/>
      </w:pPr>
      <w:r>
        <w:rPr>
          <w:rFonts w:ascii="Calibri" w:hAnsi="Calibri"/>
          <w:color w:val="2D3748"/>
          <w:sz w:val="17"/>
        </w:rPr>
        <w:t>[4] Federal Communications Commission (FCC), 'Mitigation of Orbital Debris in the New Space Age,' Second Report and Order, FCC 22-74, Docket No. 18-313, Sep. 2022. URL: https://docs.fcc.gov/public/attachments/FCC-22-74A1.pdf.</w:t>
      </w:r>
    </w:p>
    <w:p>
      <w:pPr>
        <w:spacing w:before="40" w:after="80" w:line="264" w:lineRule="auto"/>
        <w:ind w:left="432" w:hanging="432"/>
      </w:pPr>
      <w:r>
        <w:rPr>
          <w:rFonts w:ascii="Calibri" w:hAnsi="Calibri"/>
          <w:color w:val="2D3748"/>
          <w:sz w:val="17"/>
        </w:rPr>
        <w:t>[5] National Aeronautics and Space Administration (NASA), 'Orbital Debris Mitigation,' NASA Procedural Requirements NPR 8715.6E, Effective Apr. 18, 2024. URL: https://nodis3.gsfc.nasa.gov/npg_img/N_PR_8715_006E_/N_PR_8715_006E_.pdf.</w:t>
      </w:r>
    </w:p>
    <w:p>
      <w:pPr>
        <w:spacing w:before="40" w:after="80" w:line="264" w:lineRule="auto"/>
        <w:ind w:left="432" w:hanging="432"/>
      </w:pPr>
      <w:r>
        <w:rPr>
          <w:rFonts w:ascii="Calibri" w:hAnsi="Calibri"/>
          <w:color w:val="2D3748"/>
          <w:sz w:val="17"/>
        </w:rPr>
        <w:t>[6] National Aeronautics and Space Administration (NASA), 'Process for Limiting Orbital Debris,' NASA Technical Standard NASA-STD-8719.14C, Nov. 2021. URL: https://standards.nasa.gov/sites/default/files/standards/NASA/C/0/nasa-std-871914c.pdf.</w:t>
      </w:r>
    </w:p>
    <w:p>
      <w:pPr>
        <w:spacing w:before="40" w:after="80" w:line="264" w:lineRule="auto"/>
        <w:ind w:left="432" w:hanging="432"/>
      </w:pPr>
      <w:r>
        <w:rPr>
          <w:rFonts w:ascii="Calibri" w:hAnsi="Calibri"/>
          <w:color w:val="2D3748"/>
          <w:sz w:val="17"/>
        </w:rPr>
        <w:t>[7] International Organization for Standardization, 'Space systems — Space debris mitigation requirements,' ISO 24113:2023(E), 4th ed., May 2023. URL: https://www.iso.org/standard/83494.html.</w:t>
      </w:r>
    </w:p>
    <w:p>
      <w:pPr>
        <w:spacing w:before="40" w:after="80" w:line="264" w:lineRule="auto"/>
        <w:ind w:left="432" w:hanging="432"/>
      </w:pPr>
      <w:r>
        <w:rPr>
          <w:rFonts w:ascii="Calibri" w:hAnsi="Calibri"/>
          <w:color w:val="2D3748"/>
          <w:sz w:val="17"/>
        </w:rPr>
        <w:t>[8] European Space Agency (ESA), 'ESA Space Debris Mitigation Requirements,' Standard ESSB-ST-U-007, Issue 1, Oct. 2023. URL: https://technology.esa.int/upload/media/ESA-Space-Debris-Mitigation-Requirements-ESSB-ST-U-007-Issue1.pdf.</w:t>
      </w:r>
    </w:p>
    <w:p>
      <w:pPr>
        <w:spacing w:before="40" w:after="80" w:line="264" w:lineRule="auto"/>
        <w:ind w:left="432" w:hanging="432"/>
      </w:pPr>
      <w:r>
        <w:rPr>
          <w:rFonts w:ascii="Calibri" w:hAnsi="Calibri"/>
          <w:color w:val="2D3748"/>
          <w:sz w:val="17"/>
        </w:rPr>
        <w:t>[9] C. Ostrom, J.-C. Liou, J. Opiela, B. Greene, A. Vavrin, and P. Anz-Meador, 'Debris Assessment Software User’s Guide,' NASA Lyndon B. Johnson Space Center, Tech. Rep. NASA/TP-20250011033, May 2025.</w:t>
      </w:r>
    </w:p>
    <w:p>
      <w:pPr>
        <w:spacing w:before="40" w:after="80" w:line="264" w:lineRule="auto"/>
        <w:ind w:left="432" w:hanging="432"/>
      </w:pPr>
      <w:r>
        <w:rPr>
          <w:rFonts w:ascii="Calibri" w:hAnsi="Calibri"/>
          <w:color w:val="2D3748"/>
          <w:sz w:val="17"/>
        </w:rPr>
        <w:t>[10] V. Braun, Q. Funke, S. Lemmens, and S. Sanvido, 'DRAMA 3.0 — Upgrade of ESA’s Debris Risk Assessment and Mitigation Analysis Tool Suite,' in Proc. 1st Int. Orbital Debris Conf. (IOC II), Houston, TX, Dec. 2019, LPI Contrib. No. 2109, Paper 6136.</w:t>
      </w:r>
    </w:p>
    <w:p>
      <w:pPr>
        <w:spacing w:before="40" w:after="80" w:line="264" w:lineRule="auto"/>
        <w:ind w:left="432" w:hanging="432"/>
      </w:pPr>
      <w:r>
        <w:rPr>
          <w:rFonts w:ascii="Calibri" w:hAnsi="Calibri"/>
          <w:color w:val="2D3748"/>
          <w:sz w:val="17"/>
        </w:rPr>
        <w:t>[11] LeoLabs, Inc., 'LeoLabs Orbital Intelligence and Commercial Space Traffic Management Platform Architecture,' Tech. Rep., 2026. URL: https://leolabs.space/space-traffic-management/.</w:t>
      </w:r>
    </w:p>
    <w:p>
      <w:pPr>
        <w:spacing w:before="40" w:after="80" w:line="264" w:lineRule="auto"/>
        <w:ind w:left="432" w:hanging="432"/>
      </w:pPr>
      <w:r>
        <w:rPr>
          <w:rFonts w:ascii="Calibri" w:hAnsi="Calibri"/>
          <w:color w:val="2D3748"/>
          <w:sz w:val="17"/>
        </w:rPr>
        <w:t>[12] Slingshot Aerospace, 'Slingshot Beacon: First Collision Avoidance Collaboration Platform,' Slingshot Aerospace Technical Release, 2024. URL: https://www.slingshot.space/product-beacon.</w:t>
      </w:r>
    </w:p>
    <w:p>
      <w:pPr>
        <w:spacing w:before="40" w:after="80" w:line="264" w:lineRule="auto"/>
        <w:ind w:left="432" w:hanging="432"/>
      </w:pPr>
      <w:r>
        <w:rPr>
          <w:rFonts w:ascii="Calibri" w:hAnsi="Calibri"/>
          <w:color w:val="2D3748"/>
          <w:sz w:val="17"/>
        </w:rPr>
        <w:t>[13] S. Hull and W. Schonberg, 'Spacecraft Passivation — An Overview of Requirements and Practices,' NASA Goddard Space Flight Center, NASA NTRS Rep. 20210019018, 2021.</w:t>
      </w:r>
    </w:p>
    <w:p>
      <w:pPr>
        <w:spacing w:before="40" w:after="80" w:line="264" w:lineRule="auto"/>
        <w:ind w:left="432" w:hanging="432"/>
      </w:pPr>
      <w:r>
        <w:rPr>
          <w:rFonts w:ascii="Calibri" w:hAnsi="Calibri"/>
          <w:color w:val="2D3748"/>
          <w:sz w:val="17"/>
        </w:rPr>
        <w:t>[14] W. Schonberg and S. Hull, 'Passivation of Spacecraft Pressure Vessels: Some Comments on Requirements, Principles, and Practices,' NASA Langley Research Center, NASA/TM-20230014779, NESC-TI-18-01367, Oct. 2023.</w:t>
      </w:r>
    </w:p>
    <w:p>
      <w:pPr>
        <w:spacing w:before="40" w:after="80" w:line="264" w:lineRule="auto"/>
        <w:ind w:left="432" w:hanging="432"/>
      </w:pPr>
      <w:r>
        <w:rPr>
          <w:rFonts w:ascii="Calibri" w:hAnsi="Calibri"/>
          <w:color w:val="2D3748"/>
          <w:sz w:val="17"/>
        </w:rPr>
        <w:t>[15] H. Wang et al., 'DocLLM: A Layout-Aware Generative Language Model for Multimodal Document Understanding,' in Proc. 62nd Annu. Meeting Assoc. Comput. Linguistics (ACL 2024), 2024, pp. 463–478. DOI: 10.18653/v1/2024.acl-long.463.</w:t>
      </w:r>
    </w:p>
    <w:p>
      <w:pPr>
        <w:spacing w:before="40" w:after="80" w:line="264" w:lineRule="auto"/>
        <w:ind w:left="432" w:hanging="432"/>
      </w:pPr>
      <w:r>
        <w:rPr>
          <w:rFonts w:ascii="Calibri" w:hAnsi="Calibri"/>
          <w:color w:val="2D3748"/>
          <w:sz w:val="17"/>
        </w:rPr>
        <w:t>[16] U.S. Space Force 18th Space Defense Squadron (18 SDS), 'Space-Track.org General Perturbations (GP) and Conjunction Data Message (CDM) API Documentation,' Tech. Rep., 2026. URL: https://www.space-track.org/documentation.</w:t>
      </w:r>
    </w:p>
    <w:p>
      <w:pPr>
        <w:spacing w:before="40" w:after="80" w:line="264" w:lineRule="auto"/>
        <w:ind w:left="432" w:hanging="432"/>
      </w:pPr>
      <w:r>
        <w:rPr>
          <w:rFonts w:ascii="Calibri" w:hAnsi="Calibri"/>
          <w:color w:val="2D3748"/>
          <w:sz w:val="17"/>
        </w:rPr>
        <w:t>[17] T. S. Kelso, 'CelesTrak General Perturbation (GP) Data Formats and Orbit Mean-Elements Messages,' CelesTrak Documentation, Mar. 2026. URL: https://celestrak.org/NORAD/documentation/gp-data-formats.php.</w:t>
      </w:r>
    </w:p>
    <w:p>
      <w:pPr>
        <w:spacing w:before="40" w:after="80" w:line="264" w:lineRule="auto"/>
        <w:ind w:left="432" w:hanging="432"/>
      </w:pPr>
      <w:r>
        <w:rPr>
          <w:rFonts w:ascii="Calibri" w:hAnsi="Calibri"/>
          <w:color w:val="2D3748"/>
          <w:sz w:val="17"/>
        </w:rPr>
        <w:t>[18] S. Wachter, B. Mittelstadt, and C. Russell, 'Counterfactual Explanations without Opening the Black Box: Automated Decisions and the GDPR,' Harvard Journal of Law &amp; Technology, vol. 31, no. 2, pp. 841–887, 2018.</w:t>
      </w:r>
    </w:p>
    <w:p>
      <w:pPr>
        <w:spacing w:before="40" w:after="80" w:line="264" w:lineRule="auto"/>
        <w:ind w:left="432" w:hanging="432"/>
      </w:pPr>
      <w:r>
        <w:rPr>
          <w:rFonts w:ascii="Calibri" w:hAnsi="Calibri"/>
          <w:color w:val="2D3748"/>
          <w:sz w:val="17"/>
        </w:rPr>
        <w:t>[19] S. M. Lundberg and S.-I. Lee, 'A Unified Approach to Interpreting Model Predictions,' in Advances in Neural Information Processing Systems (NeurIPS 2017), vol. 30, 2017, pp. 4765–4774.</w:t>
      </w:r>
    </w:p>
    <w:p>
      <w:pPr>
        <w:spacing w:before="40" w:after="80" w:line="264" w:lineRule="auto"/>
        <w:ind w:left="432" w:hanging="432"/>
      </w:pPr>
      <w:r>
        <w:rPr>
          <w:rFonts w:ascii="Calibri" w:hAnsi="Calibri"/>
          <w:color w:val="2D3748"/>
          <w:sz w:val="17"/>
        </w:rPr>
        <w:t>[20] M. T. Ribeiro, S. Singh, and C. Guestrin, '"Why Should I Trust You?": Explaining the Predictions of Any Classifier,' in Proc. 22nd ACM SIGKDD Int. Conf. Knowl. Discovery Data Mining (KDD '16), 2016, pp. 1135–1144. DOI: 10.1145/2939672.2939778.</w:t>
      </w:r>
    </w:p>
    <w:p>
      <w:pPr>
        <w:spacing w:before="40" w:after="80" w:line="264" w:lineRule="auto"/>
        <w:ind w:left="432" w:hanging="432"/>
      </w:pPr>
      <w:r>
        <w:rPr>
          <w:rFonts w:ascii="Calibri" w:hAnsi="Calibri"/>
          <w:color w:val="2D3748"/>
          <w:sz w:val="17"/>
        </w:rPr>
        <w:t>[21] P. Buneman, S. Khanna, and W.-C. Tan, 'Why and Where: A Characterization of Data Provenance,' in Database Theory — ICDT 2001, LNCS vol. 1973, J. Van den Bussche and V. Vianu, Eds. Berlin: Springer, 2001, pp. 316–330. DOI: 10.1007/3-540-44503-X_20.</w:t>
      </w:r>
    </w:p>
    <w:p>
      <w:pPr>
        <w:spacing w:before="40" w:after="80" w:line="264" w:lineRule="auto"/>
        <w:ind w:left="432" w:hanging="432"/>
      </w:pPr>
      <w:r>
        <w:rPr>
          <w:rFonts w:ascii="Calibri" w:hAnsi="Calibri"/>
          <w:color w:val="2D3748"/>
          <w:sz w:val="17"/>
        </w:rPr>
        <w:t>[22] R. Parasuraman, T. B. Sheridan, and C. D. Wickens, 'A Model for Types and Levels of Human Interaction with Automation,' IEEE Transactions on Systems, Man, and Cybernetics - Part A: Systems and Humans, vol. 30, no. 3, pp. 286–297, May 2000. DOI: 10.1109/3477.844354.</w:t>
      </w:r>
    </w:p>
    <w:p>
      <w:pPr>
        <w:spacing w:before="40" w:after="80" w:line="264" w:lineRule="auto"/>
        <w:ind w:left="432" w:hanging="432"/>
      </w:pPr>
      <w:r>
        <w:rPr>
          <w:rFonts w:ascii="Calibri" w:hAnsi="Calibri"/>
          <w:color w:val="2D3748"/>
          <w:sz w:val="17"/>
        </w:rPr>
        <w:t>[23] J.-C. Liou et al., 'Stability of the Future LEO Environment — An IADC Comparison Study,' in Proc. 6th European Conf. Space Debris (SDC6), Darmstadt, Germany, Apr. 2013, ESA SP-723, Paper 199.</w:t>
      </w:r>
    </w:p>
    <w:p>
      <w:pPr>
        <w:spacing w:before="40" w:after="80" w:line="264" w:lineRule="auto"/>
        <w:ind w:left="432" w:hanging="432"/>
      </w:pPr>
      <w:r>
        <w:rPr>
          <w:rFonts w:ascii="Calibri" w:hAnsi="Calibri"/>
          <w:color w:val="2D3748"/>
          <w:sz w:val="17"/>
        </w:rPr>
        <w:t>[24] J.-C. Liou et al., 'The Effectiveness of Mitigation Measures in Stabilizing the LEO Environment,' NASA Orbital Debris Program Office, Tech. Rep., 2018.</w:t>
      </w:r>
    </w:p>
    <w:p>
      <w:pPr>
        <w:spacing w:before="40" w:after="80" w:line="264" w:lineRule="auto"/>
        <w:ind w:left="432" w:hanging="432"/>
      </w:pPr>
      <w:r>
        <w:rPr>
          <w:rFonts w:ascii="Calibri" w:hAnsi="Calibri"/>
          <w:color w:val="2D3748"/>
          <w:sz w:val="17"/>
        </w:rPr>
        <w:t>[25] C. Guo, G. Pleiss, Y. Sun, and K. Q. Weinberger, 'On Calibration of Modern Neural Networks,' in Proc. 34th Int. Conf. Machine Learning (ICML 2017), PMLR vol. 70, 2017, pp. 1321–1330.</w:t>
      </w:r>
    </w:p>
    <w:p>
      <w:pPr>
        <w:spacing w:before="40" w:after="80" w:line="264" w:lineRule="auto"/>
        <w:ind w:left="432" w:hanging="432"/>
      </w:pPr>
      <w:r>
        <w:rPr>
          <w:rFonts w:ascii="Calibri" w:hAnsi="Calibri"/>
          <w:color w:val="2D3748"/>
          <w:sz w:val="17"/>
        </w:rPr>
        <w:t>[26] Y. Ovadia et al., 'Can You Trust Your Model’s Uncertainty? Evaluating Predictive Uncertainty Under Dataset Shift,' in Advances in Neural Information Processing Systems (NeurIPS 2019), vol. 32, 2019, pp. 13991–14002.</w:t>
      </w:r>
    </w:p>
    <w:p>
      <w:pPr>
        <w:spacing w:before="40" w:after="80" w:line="264" w:lineRule="auto"/>
        <w:ind w:left="432" w:hanging="432"/>
      </w:pPr>
      <w:r>
        <w:rPr>
          <w:rFonts w:ascii="Calibri" w:hAnsi="Calibri"/>
          <w:color w:val="2D3748"/>
          <w:sz w:val="17"/>
        </w:rPr>
        <w:t>[27] S. Amershi et al., 'Guidelines for Human-AI Interaction,' in Proc. 2019 CHI Conf. Human Factors Comput. Syst. (CHI '19), Glasgow, UK, May 2019, Paper 3, pp. 1–13. DOI: 10.1145/3290605.3300233.</w:t>
      </w:r>
    </w:p>
    <w:p>
      <w:pPr>
        <w:spacing w:before="40" w:after="80" w:line="264" w:lineRule="auto"/>
        <w:ind w:left="432" w:hanging="432"/>
      </w:pPr>
      <w:r>
        <w:rPr>
          <w:rFonts w:ascii="Calibri" w:hAnsi="Calibri"/>
          <w:color w:val="2D3748"/>
          <w:sz w:val="17"/>
        </w:rPr>
        <w:t>[28] P. H. Krisko and S. Flegel, 'ORDEM 3.0 and MASTER-2009 Modeled Small Debris Population Comparison,' Acta Astronautica, vol. 115, pp. 248–259, 2015. DOI: 10.1016/j.actaastro.2015.02.023.</w:t>
      </w:r>
    </w:p>
    <w:p>
      <w:pPr>
        <w:spacing w:before="40" w:after="80" w:line="264" w:lineRule="auto"/>
        <w:ind w:left="432" w:hanging="432"/>
      </w:pPr>
      <w:r>
        <w:rPr>
          <w:rFonts w:ascii="Calibri" w:hAnsi="Calibri"/>
          <w:color w:val="2D3748"/>
          <w:sz w:val="17"/>
        </w:rPr>
        <w:t>[29] P. Lewis et al., 'Retrieval-Augmented Generation for Knowledge-Intensive NLP Tasks,' in Advances in Neural Information Processing Systems (NeurIPS 2020), vol. 33, 2020, pp. 9459–9474.</w:t>
      </w:r>
    </w:p>
    <w:p>
      <w:pPr>
        <w:spacing w:before="40" w:after="80" w:line="264" w:lineRule="auto"/>
        <w:ind w:left="432" w:hanging="432"/>
      </w:pPr>
      <w:r>
        <w:rPr>
          <w:rFonts w:ascii="Calibri" w:hAnsi="Calibri"/>
          <w:color w:val="2D3748"/>
          <w:sz w:val="17"/>
        </w:rPr>
        <w:t>[30] Y. Gao et al., 'Retrieval-Augmented Generation for Large Language Models: A Survey,' arXiv preprint arXiv:2312.10997, Dec. 2023.</w:t>
      </w:r>
    </w:p>
    <w:p>
      <w:pPr>
        <w:spacing w:before="40" w:after="80" w:line="264" w:lineRule="auto"/>
        <w:ind w:left="432" w:hanging="432"/>
      </w:pPr>
      <w:r>
        <w:rPr>
          <w:rFonts w:ascii="Calibri" w:hAnsi="Calibri"/>
          <w:color w:val="2D3748"/>
          <w:sz w:val="17"/>
        </w:rPr>
        <w:t>[31] T. Miller, 'Explanation in Artificial Intelligence: Insights from the Social Sciences,' Artificial Intelligence, vol. 267, pp. 1–38, Feb. 2019. DOI: 10.1016/j.artint.2018.07.007.</w:t>
      </w:r>
    </w:p>
    <w:p>
      <w:pPr>
        <w:spacing w:before="40" w:after="80" w:line="264" w:lineRule="auto"/>
        <w:ind w:left="432" w:hanging="432"/>
      </w:pPr>
      <w:r>
        <w:rPr>
          <w:rFonts w:ascii="Calibri" w:hAnsi="Calibri"/>
          <w:color w:val="2D3748"/>
          <w:sz w:val="17"/>
        </w:rPr>
        <w:t>[32] R. Guidotti et al., 'A Survey of Methods for Explaining Black Box Models,' ACM Computing Surveys, vol. 51, no. 5, pp. 93:1–93:42, Aug. 2018. DOI: 10.1145/3236009.</w:t>
      </w:r>
    </w:p>
    <w:p>
      <w:pPr>
        <w:spacing w:before="40" w:after="80" w:line="264" w:lineRule="auto"/>
        <w:ind w:left="432" w:hanging="432"/>
      </w:pPr>
      <w:r>
        <w:rPr>
          <w:rFonts w:ascii="Calibri" w:hAnsi="Calibri"/>
          <w:color w:val="2D3748"/>
          <w:sz w:val="17"/>
        </w:rPr>
        <w:t>[33] D. Sculley et al., 'Hidden Technical Debt in Machine Learning Systems,' in Advances in Neural Information Processing Systems (NeurIPS 2015), vol. 28, 2015, pp. 2503–2511.</w:t>
      </w:r>
    </w:p>
    <w:p>
      <w:pPr>
        <w:spacing w:before="40" w:after="80" w:line="264" w:lineRule="auto"/>
        <w:ind w:left="432" w:hanging="432"/>
      </w:pPr>
      <w:r>
        <w:rPr>
          <w:rFonts w:ascii="Calibri" w:hAnsi="Calibri"/>
          <w:color w:val="2D3748"/>
          <w:sz w:val="17"/>
        </w:rPr>
        <w:t>[34] Inter-Agency Space Debris Coordination Committee (IADC), 'IADC Space Debris Mitigation Guidelines,' Document IADC-02-01, Revision 2, Mar. 2020. URL: https://www.iadc-home.org/documents_public/file_down/id/5836.</w:t>
      </w:r>
    </w:p>
    <w:p>
      <w:pPr>
        <w:spacing w:before="40" w:after="80" w:line="264" w:lineRule="auto"/>
        <w:ind w:left="432" w:hanging="432"/>
      </w:pPr>
      <w:r>
        <w:rPr>
          <w:rFonts w:ascii="Calibri" w:hAnsi="Calibri"/>
          <w:color w:val="2D3748"/>
          <w:sz w:val="17"/>
        </w:rPr>
        <w:t>[35] United Nations Office for Outer Space Affairs (UNOOSA), 'Space Debris Mitigation Guidelines of the Committee on the Peaceful Uses of Outer Space,' United Nations, Vienna, ST/SPACE/49, 2010.</w:t>
      </w:r>
    </w:p>
    <w:p>
      <w:pPr>
        <w:spacing w:before="40" w:after="80" w:line="264" w:lineRule="auto"/>
        <w:ind w:left="432" w:hanging="432"/>
      </w:pPr>
      <w:r>
        <w:rPr>
          <w:rFonts w:ascii="Calibri" w:hAnsi="Calibri"/>
          <w:color w:val="2D3748"/>
          <w:sz w:val="17"/>
        </w:rPr>
        <w:t>[36] United Nations Committee on the Peaceful Uses of Outer Space (COPUOS), 'Space Debris Compendium,' Legal Subcommittee, A/AC.105/C.2/2025, May 2025.</w:t>
      </w:r>
    </w:p>
    <w:p>
      <w:pPr>
        <w:spacing w:before="40" w:after="80" w:line="264" w:lineRule="auto"/>
        <w:ind w:left="432" w:hanging="432"/>
      </w:pPr>
      <w:r>
        <w:rPr>
          <w:rFonts w:ascii="Calibri" w:hAnsi="Calibri"/>
          <w:color w:val="2D3748"/>
          <w:sz w:val="17"/>
        </w:rPr>
        <w:t>[37] National Institute of Standards and Technology (NIST), 'Artificial Intelligence Risk Management Framework (AI RMF 1.0),' NIST Trustworthy and Responsible AI, NIST AI 100-1, Jan. 2023.</w:t>
      </w:r>
    </w:p>
    <w:p>
      <w:pPr>
        <w:spacing w:before="40" w:after="80" w:line="264" w:lineRule="auto"/>
        <w:ind w:left="432" w:hanging="432"/>
      </w:pPr>
      <w:r>
        <w:rPr>
          <w:rFonts w:ascii="Calibri" w:hAnsi="Calibri"/>
          <w:color w:val="2D3748"/>
          <w:sz w:val="17"/>
        </w:rPr>
        <w:t>[38] Federal Aviation Administration (FAA), 'Mitigation Methods for Launch Vehicle Upper Stages on the Creation of Orbital Debris,' Notice of Proposed Rulemaking (NPRM), Docket No. FAA-2023-1858, RIN 2120-AK81, Sep. 2023.</w:t>
      </w:r>
    </w:p>
    <w:p>
      <w:pPr>
        <w:spacing w:before="40" w:after="80" w:line="264" w:lineRule="auto"/>
        <w:ind w:left="432" w:hanging="432"/>
      </w:pPr>
      <w:r>
        <w:rPr>
          <w:rFonts w:ascii="Calibri" w:hAnsi="Calibri"/>
          <w:color w:val="2D3748"/>
          <w:sz w:val="17"/>
        </w:rPr>
        <w:t>[39] Indian Space Research Organisation (ISRO), 'Debris-Free Space Missions (DFSM) by 2030: Policy Directive and Implementation Roadmap,' Bengaluru, India, Apr. 2024. URL: https://www.isro.gov.in/Debris_Free_Space_Missions.html.</w:t>
      </w:r>
    </w:p>
    <w:p>
      <w:pPr>
        <w:spacing w:before="40" w:after="80" w:line="264" w:lineRule="auto"/>
        <w:ind w:left="432" w:hanging="432"/>
      </w:pPr>
      <w:r>
        <w:rPr>
          <w:rFonts w:ascii="Calibri" w:hAnsi="Calibri"/>
          <w:color w:val="2D3748"/>
          <w:sz w:val="17"/>
        </w:rPr>
        <w:t>[40] Hackyard, 'Hackyard Build 2026: Official Participant Guide &amp; Selection Results,' IIT Guwahati, Oct. 2026. URL: https://hackyard.org/build2026/result.</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18096"/>
        <w:sz w:val="17"/>
      </w:rPr>
      <w:t>OrbitScore Research &amp; System Architecture · Verified at https://hackyard.org/build2026/result · IIT Guwahati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18096"/>
        <w:sz w:val="17"/>
      </w:rPr>
      <w:t>Hackyard Build 2026 · Wave 3 Finalist · Team TwinForge · OrbitScore Research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