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OrbitScore: A Source-Linked Pre-Review Copilot for</w:t>
        <w:br/>
        <w:t>Spacecraft Debris-Mitigation Evidence</w:t>
      </w:r>
    </w:p>
    <w:p>
      <w:pPr>
        <w:jc w:val="center"/>
      </w:pPr>
      <w:r>
        <w:rPr>
          <w:b/>
          <w:sz w:val="21"/>
        </w:rPr>
        <w:t>Narayan Kumar Jha¹ · Aditya Kumar Sharma² · Roshan Kumar Singh³</w:t>
      </w:r>
    </w:p>
    <w:p>
      <w:pPr>
        <w:jc w:val="center"/>
      </w:pPr>
      <w:r>
        <w:rPr>
          <w:sz w:val="18"/>
        </w:rPr>
        <w:t>¹Core AI/ML · ²Flight Dynamics · ³Systems Architecture</w:t>
        <w:br/>
        <w:t>Team TwinForge · Hackyard Build 2026 · IIT Guwahati · 24–25 October 2026</w:t>
      </w:r>
    </w:p>
    <w:p>
      <w:pPr>
        <w:jc w:val="center"/>
      </w:pPr>
      <w:r>
        <w:rPr>
          <w:i/>
          <w:color w:val="5A5A5A"/>
          <w:sz w:val="17"/>
        </w:rPr>
        <w:t>Corrected and scope-controlled edition · 17 October 2026</w:t>
      </w:r>
    </w:p>
    <w:tbl>
      <w:tblPr>
        <w:tblStyle w:val="TableGrid"/>
        <w:tblW w:type="auto" w:w="0"/>
        <w:tblLook w:firstColumn="1" w:firstRow="1" w:lastColumn="0" w:lastRow="0" w:noHBand="0" w:noVBand="1" w:val="04A0"/>
      </w:tblPr>
      <w:tblGrid>
        <w:gridCol w:w="10080"/>
      </w:tblGrid>
      <w:tr>
        <w:tc>
          <w:tcPr>
            <w:tcW w:type="dxa" w:w="10080"/>
            <w:shd w:fill="EAF2F8"/>
            <w:vAlign w:val="center"/>
          </w:tcPr>
          <w:p>
            <w:pPr>
              <w:spacing w:after="0" w:before="0"/>
            </w:pPr>
            <w:r/>
            <w:r>
              <w:rPr>
                <w:b/>
                <w:color w:val="1F1F1F"/>
                <w:sz w:val="18"/>
              </w:rPr>
              <w:t>Safety boundary: OrbitScore is not an official certification tool, regulator, collision-prediction system, operator-facing conjunction-alert service, or replacement for NASA Debris Assessment Software. Its readiness band is a prioritization index, not a scientific safety probability.</w:t>
            </w:r>
          </w:p>
        </w:tc>
      </w:tr>
    </w:tbl>
    <w:p/>
    <w:p>
      <w:pPr>
        <w:pStyle w:val="Heading1"/>
        <w:keepNext/>
        <w:spacing w:after="100"/>
      </w:pPr>
      <w:r>
        <w:t>Abstract</w:t>
      </w:r>
    </w:p>
    <w:p>
      <w:pPr>
        <w:spacing w:after="100" w:line="259" w:lineRule="auto"/>
      </w:pPr>
      <w:r>
        <w:t>Small-spacecraft teams must assemble mission parameters, disposal evidence, passivation evidence, and jurisdiction-specific guidance before expert or regulatory review. These facts are often distributed across documents and spreadsheets. We present OrbitScore, a prototype source-linked pre-review copilot that accepts or extracts mission facts, applies versioned deterministic rule fixtures, identifies missing evidence, compares a controlled counterfactual, and exports a cited review packet. The prototype separates document assistance from rule evaluation and requires human review for critical findings. Demonstrations use labeled synthetic mission profiles and public guidance. OrbitScore is not a regulator, certification tool, collision-prediction system, operator-facing conjunction-alert service, or replacement for NASA Debris Assessment Software. The prototype’s readiness band is a transparent prioritization index, not a validated safety probability.</w:t>
      </w:r>
    </w:p>
    <w:p>
      <w:pPr>
        <w:spacing w:after="100" w:line="259" w:lineRule="auto"/>
      </w:pPr>
      <w:r>
        <w:t>Keywords: orbital debris; post-mission disposal; evidence traceability; human-in-the-loop; counterfactual explanation; provenance; mission review</w:t>
      </w:r>
    </w:p>
    <w:p>
      <w:pPr>
        <w:pStyle w:val="Heading1"/>
        <w:keepNext/>
        <w:spacing w:after="100"/>
      </w:pPr>
      <w:r>
        <w:t>1. Introduction</w:t>
      </w:r>
    </w:p>
    <w:p>
      <w:pPr>
        <w:spacing w:after="100" w:line="259" w:lineRule="auto"/>
      </w:pPr>
      <w:r>
        <w:t>Orbital debris mitigation is a real engineering and sustainability problem. Foundational work by Kessler and Cour-Palais and later environment studies examined how collisions and fragmentation can increase the long-term debris population and affect future operations [1–3]. These studies support mitigation as a design concern, but they do not supply a universal readiness score for every spacecraft or jurisdiction.</w:t>
      </w:r>
    </w:p>
    <w:p>
      <w:pPr>
        <w:spacing w:after="100" w:line="259" w:lineRule="auto"/>
      </w:pPr>
      <w:r>
        <w:t>The practical problem addressed here is narrower: a small spacecraft team may have a mission concept, orbit, propulsion plan, and several technical documents, but no single trace connecting each claim to its source, scope, date, and reviewer action. A late discovery that a disposal method is unproven or that a document conflicts with a spreadsheet can create rework. OrbitScore is designed as an evidence-readiness layer before specialist analysis, filing, or operational services.</w:t>
      </w:r>
    </w:p>
    <w:p>
      <w:pPr>
        <w:spacing w:after="100" w:line="259" w:lineRule="auto"/>
      </w:pPr>
      <w:r>
        <w:t>The central product thesis is therefore traceability rather than prediction. The system should answer: What is known? What is only asserted? What evidence is missing? Which source profile applies? What controlled design change would alter the review?</w:t>
      </w:r>
    </w:p>
    <w:p>
      <w:pPr>
        <w:pStyle w:val="Heading1"/>
        <w:keepNext/>
        <w:spacing w:after="100"/>
      </w:pPr>
      <w:r>
        <w:t>2. Problem and Design Objective</w:t>
      </w:r>
    </w:p>
    <w:p>
      <w:pPr>
        <w:pStyle w:val="Heading2"/>
        <w:keepNext/>
        <w:spacing w:after="100"/>
      </w:pPr>
      <w:r>
        <w:t>2.1 The operator bottleneck</w:t>
      </w:r>
    </w:p>
    <w:p>
      <w:pPr>
        <w:spacing w:after="100" w:line="259" w:lineRule="auto"/>
      </w:pPr>
      <w:r>
        <w:t>The relevant workflow crosses mission design, propulsion, spacecraft configuration, disposal planning, documentation, and policy interpretation. NASA’s orbital-debris standard describes separate technical areas for normal releases, explosions and breakups, collisions, postmission disposal, and reentry casualty risk [4]. Public FCC, NASA, ESA, ISO, UN, IADC, and ISRO materials do not form one interchangeable rulebook. A review tool must preserve the difference between a regulation, an agency standard, an international guideline, a public initiative, and an internal assumption.</w:t>
      </w:r>
    </w:p>
    <w:p>
      <w:pPr>
        <w:spacing w:after="100" w:line="259" w:lineRule="auto"/>
      </w:pPr>
      <w:r>
        <w:t>OrbitScore is intended for a systems engineer, mission designer, or university project team preparing an internal packet. It is not intended to make an operational maneuver decision, approve a mission, or replace an agency assessment.</w:t>
      </w:r>
    </w:p>
    <w:p>
      <w:pPr>
        <w:pStyle w:val="Heading2"/>
        <w:keepNext/>
        <w:spacing w:after="100"/>
      </w:pPr>
      <w:r>
        <w:t>2.2 Design objective</w:t>
      </w:r>
    </w:p>
    <w:p>
      <w:pPr>
        <w:spacing w:after="100"/>
        <w:ind w:left="360"/>
      </w:pPr>
      <w:r>
        <w:rPr>
          <w:rFonts w:ascii="Consolas" w:hAnsi="Consolas"/>
          <w:color w:val="1F4E79"/>
          <w:sz w:val="17"/>
        </w:rPr>
        <w:t>mission facts → evidence and provenance → scoped profile → deterministic findings</w:t>
        <w:br/>
        <w:t>→ missing proof / reviewer action → controlled counterfactual → cited pre-review packet</w:t>
      </w:r>
    </w:p>
    <w:p>
      <w:pPr>
        <w:pStyle w:val="Heading1"/>
        <w:keepNext/>
        <w:spacing w:after="100"/>
      </w:pPr>
      <w:r>
        <w:t>3. Scope, Policy Profiles, and Safety Boundaries</w:t>
      </w:r>
    </w:p>
    <w:p>
      <w:pPr>
        <w:spacing w:after="100" w:line="259" w:lineRule="auto"/>
      </w:pPr>
      <w:r>
        <w:t>OrbitScore stores policy profiles as versioned fixtures. A profile contains the organization, jurisdiction or scope, document version, clause reference, input fields, rule expression, evidence requirement, and human-review note. The system must never silently merge rules from different profiles.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00"/>
            <w:vAlign w:val="center"/>
            <w:shd w:fill="1F4E79"/>
          </w:tcPr>
          <w:p>
            <w:pPr>
              <w:spacing w:after="0" w:before="0"/>
            </w:pPr>
            <w:r/>
            <w:r>
              <w:rPr>
                <w:b/>
                <w:color w:val="FFFFFF"/>
                <w:sz w:val="17"/>
              </w:rPr>
              <w:t>Profile/source</w:t>
            </w:r>
          </w:p>
        </w:tc>
        <w:tc>
          <w:tcPr>
            <w:tcW w:type="dxa" w:w="3024"/>
            <w:vAlign w:val="center"/>
            <w:shd w:fill="1F4E79"/>
          </w:tcPr>
          <w:p>
            <w:pPr>
              <w:spacing w:after="0" w:before="0"/>
            </w:pPr>
            <w:r/>
            <w:r>
              <w:rPr>
                <w:b/>
                <w:color w:val="FFFFFF"/>
                <w:sz w:val="17"/>
              </w:rPr>
              <w:t>What it supports</w:t>
            </w:r>
          </w:p>
        </w:tc>
        <w:tc>
          <w:tcPr>
            <w:tcW w:type="dxa" w:w="3384"/>
            <w:vAlign w:val="center"/>
            <w:shd w:fill="1F4E79"/>
          </w:tcPr>
          <w:p>
            <w:pPr>
              <w:spacing w:after="0" w:before="0"/>
            </w:pPr>
            <w:r/>
            <w:r>
              <w:rPr>
                <w:b/>
                <w:color w:val="FFFFFF"/>
                <w:sz w:val="17"/>
              </w:rPr>
              <w:t>What OrbitScore may do</w:t>
            </w:r>
          </w:p>
        </w:tc>
        <w:tc>
          <w:tcPr>
            <w:tcW w:type="dxa" w:w="3024"/>
            <w:vAlign w:val="center"/>
            <w:shd w:fill="1F4E79"/>
          </w:tcPr>
          <w:p>
            <w:pPr>
              <w:spacing w:after="0" w:before="0"/>
            </w:pPr>
            <w:r/>
            <w:r>
              <w:rPr>
                <w:b/>
                <w:color w:val="FFFFFF"/>
                <w:sz w:val="17"/>
              </w:rPr>
              <w:t>What it must not claim</w:t>
            </w:r>
          </w:p>
        </w:tc>
      </w:tr>
      <w:tr>
        <w:tc>
          <w:tcPr>
            <w:tcW w:type="dxa" w:w="1800"/>
            <w:vAlign w:val="center"/>
          </w:tcPr>
          <w:p>
            <w:pPr>
              <w:spacing w:after="0" w:before="0"/>
            </w:pPr>
            <w:r/>
            <w:r>
              <w:rPr>
                <w:b w:val="0"/>
                <w:sz w:val="16"/>
              </w:rPr>
              <w:t>FCC 22-74</w:t>
            </w:r>
          </w:p>
        </w:tc>
        <w:tc>
          <w:tcPr>
            <w:tcW w:type="dxa" w:w="3024"/>
            <w:vAlign w:val="center"/>
          </w:tcPr>
          <w:p>
            <w:pPr>
              <w:spacing w:after="0" w:before="0"/>
            </w:pPr>
            <w:r/>
            <w:r>
              <w:rPr>
                <w:b w:val="0"/>
                <w:sz w:val="16"/>
              </w:rPr>
              <w:t>U.S. FCC disposal rule for covered space stations in defined LEO/uncontrolled-reentry scope</w:t>
            </w:r>
          </w:p>
        </w:tc>
        <w:tc>
          <w:tcPr>
            <w:tcW w:type="dxa" w:w="3384"/>
            <w:vAlign w:val="center"/>
          </w:tcPr>
          <w:p>
            <w:pPr>
              <w:spacing w:after="0" w:before="0"/>
            </w:pPr>
            <w:r/>
            <w:r>
              <w:rPr>
                <w:b w:val="0"/>
                <w:sz w:val="16"/>
              </w:rPr>
              <w:t>Show a clearly labeled FCC-inspired evidence check</w:t>
            </w:r>
          </w:p>
        </w:tc>
        <w:tc>
          <w:tcPr>
            <w:tcW w:type="dxa" w:w="3024"/>
            <w:vAlign w:val="center"/>
          </w:tcPr>
          <w:p>
            <w:pPr>
              <w:spacing w:after="0" w:before="0"/>
            </w:pPr>
            <w:r/>
            <w:r>
              <w:rPr>
                <w:b w:val="0"/>
                <w:sz w:val="16"/>
              </w:rPr>
              <w:t>Universal global five-year law or regulator approval</w:t>
            </w:r>
          </w:p>
        </w:tc>
      </w:tr>
      <w:tr>
        <w:tc>
          <w:tcPr>
            <w:tcW w:type="dxa" w:w="1800"/>
            <w:vAlign w:val="center"/>
          </w:tcPr>
          <w:p>
            <w:pPr>
              <w:spacing w:after="0" w:before="0"/>
            </w:pPr>
            <w:r/>
            <w:r>
              <w:rPr>
                <w:b w:val="0"/>
                <w:sz w:val="16"/>
              </w:rPr>
              <w:t>NASA-STD-8719.14C / DAS context</w:t>
            </w:r>
          </w:p>
        </w:tc>
        <w:tc>
          <w:tcPr>
            <w:tcW w:type="dxa" w:w="3024"/>
            <w:vAlign w:val="center"/>
          </w:tcPr>
          <w:p>
            <w:pPr>
              <w:spacing w:after="0" w:before="0"/>
            </w:pPr>
            <w:r/>
            <w:r>
              <w:rPr>
                <w:b w:val="0"/>
                <w:sz w:val="16"/>
              </w:rPr>
              <w:t>NASA program/project debris-assessment requirements and methods</w:t>
            </w:r>
          </w:p>
        </w:tc>
        <w:tc>
          <w:tcPr>
            <w:tcW w:type="dxa" w:w="3384"/>
            <w:vAlign w:val="center"/>
          </w:tcPr>
          <w:p>
            <w:pPr>
              <w:spacing w:after="0" w:before="0"/>
            </w:pPr>
            <w:r/>
            <w:r>
              <w:rPr>
                <w:b w:val="0"/>
                <w:sz w:val="16"/>
              </w:rPr>
              <w:t>Link evidence fields to a NASA-inspired pre-review fixture</w:t>
            </w:r>
          </w:p>
        </w:tc>
        <w:tc>
          <w:tcPr>
            <w:tcW w:type="dxa" w:w="3024"/>
            <w:vAlign w:val="center"/>
          </w:tcPr>
          <w:p>
            <w:pPr>
              <w:spacing w:after="0" w:before="0"/>
            </w:pPr>
            <w:r/>
            <w:r>
              <w:rPr>
                <w:b w:val="0"/>
                <w:sz w:val="16"/>
              </w:rPr>
              <w:t>NASA compliance, NASA endorsement, or DAS replacement</w:t>
            </w:r>
          </w:p>
        </w:tc>
      </w:tr>
      <w:tr>
        <w:tc>
          <w:tcPr>
            <w:tcW w:type="dxa" w:w="1800"/>
            <w:vAlign w:val="center"/>
          </w:tcPr>
          <w:p>
            <w:pPr>
              <w:spacing w:after="0" w:before="0"/>
            </w:pPr>
            <w:r/>
            <w:r>
              <w:rPr>
                <w:b w:val="0"/>
                <w:sz w:val="16"/>
              </w:rPr>
              <w:t>UN COPUOS / IADC</w:t>
            </w:r>
          </w:p>
        </w:tc>
        <w:tc>
          <w:tcPr>
            <w:tcW w:type="dxa" w:w="3024"/>
            <w:vAlign w:val="center"/>
          </w:tcPr>
          <w:p>
            <w:pPr>
              <w:spacing w:after="0" w:before="0"/>
            </w:pPr>
            <w:r/>
            <w:r>
              <w:rPr>
                <w:b w:val="0"/>
                <w:sz w:val="16"/>
              </w:rPr>
              <w:t>International guidance and technical mitigation principles</w:t>
            </w:r>
          </w:p>
        </w:tc>
        <w:tc>
          <w:tcPr>
            <w:tcW w:type="dxa" w:w="3384"/>
            <w:vAlign w:val="center"/>
          </w:tcPr>
          <w:p>
            <w:pPr>
              <w:spacing w:after="0" w:before="0"/>
            </w:pPr>
            <w:r/>
            <w:r>
              <w:rPr>
                <w:b w:val="0"/>
                <w:sz w:val="16"/>
              </w:rPr>
              <w:t>Store source-linked guidance and reviewer questions</w:t>
            </w:r>
          </w:p>
        </w:tc>
        <w:tc>
          <w:tcPr>
            <w:tcW w:type="dxa" w:w="3024"/>
            <w:vAlign w:val="center"/>
          </w:tcPr>
          <w:p>
            <w:pPr>
              <w:spacing w:after="0" w:before="0"/>
            </w:pPr>
            <w:r/>
            <w:r>
              <w:rPr>
                <w:b w:val="0"/>
                <w:sz w:val="16"/>
              </w:rPr>
              <w:t>Binding law in every jurisdiction</w:t>
            </w:r>
          </w:p>
        </w:tc>
      </w:tr>
      <w:tr>
        <w:tc>
          <w:tcPr>
            <w:tcW w:type="dxa" w:w="1800"/>
            <w:vAlign w:val="center"/>
          </w:tcPr>
          <w:p>
            <w:pPr>
              <w:spacing w:after="0" w:before="0"/>
            </w:pPr>
            <w:r/>
            <w:r>
              <w:rPr>
                <w:b w:val="0"/>
                <w:sz w:val="16"/>
              </w:rPr>
              <w:t>ISO 24113:2023</w:t>
            </w:r>
          </w:p>
        </w:tc>
        <w:tc>
          <w:tcPr>
            <w:tcW w:type="dxa" w:w="3024"/>
            <w:vAlign w:val="center"/>
          </w:tcPr>
          <w:p>
            <w:pPr>
              <w:spacing w:after="0" w:before="0"/>
            </w:pPr>
            <w:r/>
            <w:r>
              <w:rPr>
                <w:b w:val="0"/>
                <w:sz w:val="16"/>
              </w:rPr>
              <w:t>International standard scope and requirements where accessible and applicable</w:t>
            </w:r>
          </w:p>
        </w:tc>
        <w:tc>
          <w:tcPr>
            <w:tcW w:type="dxa" w:w="3384"/>
            <w:vAlign w:val="center"/>
          </w:tcPr>
          <w:p>
            <w:pPr>
              <w:spacing w:after="0" w:before="0"/>
            </w:pPr>
            <w:r/>
            <w:r>
              <w:rPr>
                <w:b w:val="0"/>
                <w:sz w:val="16"/>
              </w:rPr>
              <w:t>Record version/scope and verified clauses</w:t>
            </w:r>
          </w:p>
        </w:tc>
        <w:tc>
          <w:tcPr>
            <w:tcW w:type="dxa" w:w="3024"/>
            <w:vAlign w:val="center"/>
          </w:tcPr>
          <w:p>
            <w:pPr>
              <w:spacing w:after="0" w:before="0"/>
            </w:pPr>
            <w:r/>
            <w:r>
              <w:rPr>
                <w:b w:val="0"/>
                <w:sz w:val="16"/>
              </w:rPr>
              <w:t>Full conformance without access to and interpretation of the standard</w:t>
            </w:r>
          </w:p>
        </w:tc>
      </w:tr>
      <w:tr>
        <w:tc>
          <w:tcPr>
            <w:tcW w:type="dxa" w:w="1800"/>
            <w:vAlign w:val="center"/>
          </w:tcPr>
          <w:p>
            <w:pPr>
              <w:spacing w:after="0" w:before="0"/>
            </w:pPr>
            <w:r/>
            <w:r>
              <w:rPr>
                <w:b w:val="0"/>
                <w:sz w:val="16"/>
              </w:rPr>
              <w:t>ESA ESSB-ST-U-007</w:t>
            </w:r>
          </w:p>
        </w:tc>
        <w:tc>
          <w:tcPr>
            <w:tcW w:type="dxa" w:w="3024"/>
            <w:vAlign w:val="center"/>
          </w:tcPr>
          <w:p>
            <w:pPr>
              <w:spacing w:after="0" w:before="0"/>
            </w:pPr>
            <w:r/>
            <w:r>
              <w:rPr>
                <w:b w:val="0"/>
                <w:sz w:val="16"/>
              </w:rPr>
              <w:t>ESA-specific debris-mitigation requirements</w:t>
            </w:r>
          </w:p>
        </w:tc>
        <w:tc>
          <w:tcPr>
            <w:tcW w:type="dxa" w:w="3384"/>
            <w:vAlign w:val="center"/>
          </w:tcPr>
          <w:p>
            <w:pPr>
              <w:spacing w:after="0" w:before="0"/>
            </w:pPr>
            <w:r/>
            <w:r>
              <w:rPr>
                <w:b w:val="0"/>
                <w:sz w:val="16"/>
              </w:rPr>
              <w:t>Use an ESA-scoped profile when exact clauses are available</w:t>
            </w:r>
          </w:p>
        </w:tc>
        <w:tc>
          <w:tcPr>
            <w:tcW w:type="dxa" w:w="3024"/>
            <w:vAlign w:val="center"/>
          </w:tcPr>
          <w:p>
            <w:pPr>
              <w:spacing w:after="0" w:before="0"/>
            </w:pPr>
            <w:r/>
            <w:r>
              <w:rPr>
                <w:b w:val="0"/>
                <w:sz w:val="16"/>
              </w:rPr>
              <w:t>Universal European or global regulation</w:t>
            </w:r>
          </w:p>
        </w:tc>
      </w:tr>
      <w:tr>
        <w:tc>
          <w:tcPr>
            <w:tcW w:type="dxa" w:w="1800"/>
            <w:vAlign w:val="center"/>
          </w:tcPr>
          <w:p>
            <w:pPr>
              <w:spacing w:after="0" w:before="0"/>
            </w:pPr>
            <w:r/>
            <w:r>
              <w:rPr>
                <w:b w:val="0"/>
                <w:sz w:val="16"/>
              </w:rPr>
              <w:t>ISRO DFSM statement</w:t>
            </w:r>
          </w:p>
        </w:tc>
        <w:tc>
          <w:tcPr>
            <w:tcW w:type="dxa" w:w="3024"/>
            <w:vAlign w:val="center"/>
          </w:tcPr>
          <w:p>
            <w:pPr>
              <w:spacing w:after="0" w:before="0"/>
            </w:pPr>
            <w:r/>
            <w:r>
              <w:rPr>
                <w:b w:val="0"/>
                <w:sz w:val="16"/>
              </w:rPr>
              <w:t>Public Indian intent for debris-free missions by 2030 and described practices</w:t>
            </w:r>
          </w:p>
        </w:tc>
        <w:tc>
          <w:tcPr>
            <w:tcW w:type="dxa" w:w="3384"/>
            <w:vAlign w:val="center"/>
          </w:tcPr>
          <w:p>
            <w:pPr>
              <w:spacing w:after="0" w:before="0"/>
            </w:pPr>
            <w:r/>
            <w:r>
              <w:rPr>
                <w:b w:val="0"/>
                <w:sz w:val="16"/>
              </w:rPr>
              <w:t>Provide an India DFSM-inspired checklist with source labels</w:t>
            </w:r>
          </w:p>
        </w:tc>
        <w:tc>
          <w:tcPr>
            <w:tcW w:type="dxa" w:w="3024"/>
            <w:vAlign w:val="center"/>
          </w:tcPr>
          <w:p>
            <w:pPr>
              <w:spacing w:after="0" w:before="0"/>
            </w:pPr>
            <w:r/>
            <w:r>
              <w:rPr>
                <w:b w:val="0"/>
                <w:sz w:val="16"/>
              </w:rPr>
              <w:t>ISRO endorsement or a universal Indian certificate</w:t>
            </w:r>
          </w:p>
        </w:tc>
      </w:tr>
    </w:tbl>
    <w:p>
      <w:pPr>
        <w:spacing w:after="40"/>
      </w:pPr>
    </w:p>
    <w:p>
      <w:pPr>
        <w:spacing w:after="100" w:line="259" w:lineRule="auto"/>
      </w:pPr>
      <w:r>
        <w:t>The FCC order states that the five-year requirement applies to space stations ending their mission in or passing through the LEO region below 2,000 km and planning disposal through uncontrolled atmospheric re-entry, within the FCC’s licensing and market-access framework. It defines end of mission and includes transition provisions [5]. This is materially narrower than saying all satellites everywhere must deorbit within five years.</w:t>
      </w:r>
    </w:p>
    <w:p>
      <w:pPr>
        <w:spacing w:after="100" w:line="259" w:lineRule="auto"/>
      </w:pPr>
      <w:r>
        <w:t>NASA-STD-8719.14C is a NASA standard that provides technical requirements and methods for limiting debris. Among its separate requirements, the standard includes accidental collision probability below 0.001 for objects larger than 10 cm during a spacecraft or stage’s orbital lifetime, postmission disposal success of at least 0.90 at end of mission for applicable NASA operations, and uncontrolled-reentry human-casualty risk below 0.0001 [4]. These are not a public universal compliance API.</w:t>
      </w:r>
    </w:p>
    <w:p>
      <w:pPr>
        <w:spacing w:after="100" w:line="259" w:lineRule="auto"/>
      </w:pPr>
      <w:r>
        <w:t>ISRO’s official DFSM page describes an initiative aiming for debris-free space missions by Indian space actors by 2030. It describes more than 99% postmission-disposal success and less than five years of remaining orbital life for specified rocket bodies and spacecraft at end of operational life, along with trackability, identifiability, maneuverability, coordination, and data sharing [6]. OrbitScore treats this as a scoped public-source profile, not as an endorsement or universal statutory rule.</w:t>
      </w:r>
    </w:p>
    <w:p>
      <w:pPr>
        <w:pStyle w:val="Heading1"/>
        <w:keepNext/>
        <w:spacing w:after="100"/>
      </w:pPr>
      <w:r>
        <w:t>4. System Architecture</w:t>
      </w:r>
    </w:p>
    <w:p>
      <w:pPr>
        <w:spacing w:after="100" w:line="259" w:lineRule="auto"/>
      </w:pPr>
      <w:r>
        <w:t>The architecture separates deterministic evaluation from document assistance. The language model may help locate and summarize evidence, but it does not calculate orbital decay, collision probability, casualty risk, or a rule boundary.</w:t>
      </w:r>
    </w:p>
    <w:p>
      <w:pPr>
        <w:pStyle w:val="Heading2"/>
        <w:keepNext/>
        <w:spacing w:after="100"/>
      </w:pPr>
      <w:r>
        <w:t>4.1 Layer 1 — intake and evidence capture</w:t>
      </w:r>
    </w:p>
    <w:p>
      <w:pPr>
        <w:pStyle w:val="ListBullet"/>
        <w:spacing w:after="40" w:line="252" w:lineRule="auto"/>
      </w:pPr>
      <w:r>
        <w:t>Accept structured mission inputs and document uploads. Every value stores source type, title, URL or file identifier, page/section where available, source date, retrieval date, unit, and extraction confidence.</w:t>
      </w:r>
    </w:p>
    <w:p>
      <w:pPr>
        <w:pStyle w:val="ListBullet"/>
        <w:spacing w:after="40" w:line="252" w:lineRule="auto"/>
      </w:pPr>
      <w:r>
        <w:t>Use layout-aware extraction only as an assistive path. A human can correct extracted values; corrections are preserved as edits rather than silently replacing the source.</w:t>
      </w:r>
    </w:p>
    <w:p>
      <w:pPr>
        <w:pStyle w:val="ListBullet"/>
        <w:spacing w:after="40" w:line="252" w:lineRule="auto"/>
      </w:pPr>
      <w:r>
        <w:t>Use public GP/TLE/OMM records only for contextual or historical display. Store epoch and age. Do not make live orbital feeds a dependency for the core review.</w:t>
      </w:r>
    </w:p>
    <w:p>
      <w:pPr>
        <w:pStyle w:val="Heading2"/>
        <w:keepNext/>
        <w:spacing w:after="100"/>
      </w:pPr>
      <w:r>
        <w:t>4.2 Layer 2 — deterministic profile evaluator</w:t>
      </w:r>
    </w:p>
    <w:p>
      <w:pPr>
        <w:pStyle w:val="ListBullet"/>
        <w:spacing w:after="40" w:line="252" w:lineRule="auto"/>
      </w:pPr>
      <w:r>
        <w:t>Normalize units and validate required fields.</w:t>
      </w:r>
    </w:p>
    <w:p>
      <w:pPr>
        <w:pStyle w:val="ListBullet"/>
        <w:spacing w:after="40" w:line="252" w:lineRule="auto"/>
      </w:pPr>
      <w:r>
        <w:t>Apply a versioned profile rule and return Pass under profile, Warning, Needs evidence, Not evaluated, or Conflict.</w:t>
      </w:r>
    </w:p>
    <w:p>
      <w:pPr>
        <w:pStyle w:val="ListBullet"/>
        <w:spacing w:after="40" w:line="252" w:lineRule="auto"/>
      </w:pPr>
      <w:r>
        <w:t>Block a Pass when a critical input is missing, contradictory, stale beyond the configured limit, or outside profile scope.</w:t>
      </w:r>
    </w:p>
    <w:p>
      <w:pPr>
        <w:pStyle w:val="Heading2"/>
        <w:keepNext/>
        <w:spacing w:after="100"/>
      </w:pPr>
      <w:r>
        <w:t>4.3 Layer 3 — explanation, counterfactual, and packet</w:t>
      </w:r>
    </w:p>
    <w:p>
      <w:pPr>
        <w:pStyle w:val="ListBullet"/>
        <w:spacing w:after="40" w:line="252" w:lineRule="auto"/>
      </w:pPr>
      <w:r>
        <w:t>Generate a source-linked explanation from stored findings and clauses. Retrieved text constrains the explanation but does not guarantee truth.</w:t>
      </w:r>
    </w:p>
    <w:p>
      <w:pPr>
        <w:pStyle w:val="ListBullet"/>
        <w:spacing w:after="40" w:line="252" w:lineRule="auto"/>
      </w:pPr>
      <w:r>
        <w:t>Run controlled what-if comparisons over explicitly permitted parameters. Counterfactuals are illustrative design trades, not causal guarantees or flight recommendations.</w:t>
      </w:r>
    </w:p>
    <w:p>
      <w:pPr>
        <w:pStyle w:val="ListBullet"/>
        <w:spacing w:after="40" w:line="252" w:lineRule="auto"/>
      </w:pPr>
      <w:r>
        <w:t>Export a packet containing assumptions, findings, evidence links, unresolved gaps, reviewer actions, profile version, and limitations.</w:t>
      </w:r>
    </w:p>
    <w:p>
      <w:pPr>
        <w:pStyle w:val="Heading1"/>
        <w:keepNext/>
        <w:spacing w:after="100"/>
      </w:pPr>
      <w:r>
        <w:t>5. Evidence States and Readiness Band</w:t>
      </w:r>
    </w:p>
    <w:p>
      <w:pPr>
        <w:spacing w:after="100" w:line="259" w:lineRule="auto"/>
      </w:pPr>
      <w:r>
        <w:t>A single weighted score can hide a critical unknown. The prototype therefore uses hard evidence states first and a secondary band only for prioritization. The band is not a scientific probability, risk estimate, certification status, or regulatory result.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vAlign w:val="center"/>
            <w:shd w:fill="1F4E79"/>
          </w:tcPr>
          <w:p>
            <w:pPr>
              <w:spacing w:after="0" w:before="0"/>
            </w:pPr>
            <w:r/>
            <w:r>
              <w:rPr>
                <w:b/>
                <w:color w:val="FFFFFF"/>
                <w:sz w:val="17"/>
              </w:rPr>
              <w:t>State</w:t>
            </w:r>
          </w:p>
        </w:tc>
        <w:tc>
          <w:tcPr>
            <w:tcW w:type="dxa" w:w="4608"/>
            <w:vAlign w:val="center"/>
            <w:shd w:fill="1F4E79"/>
          </w:tcPr>
          <w:p>
            <w:pPr>
              <w:spacing w:after="0" w:before="0"/>
            </w:pPr>
            <w:r/>
            <w:r>
              <w:rPr>
                <w:b/>
                <w:color w:val="FFFFFF"/>
                <w:sz w:val="17"/>
              </w:rPr>
              <w:t>Meaning</w:t>
            </w:r>
          </w:p>
        </w:tc>
        <w:tc>
          <w:tcPr>
            <w:tcW w:type="dxa" w:w="4752"/>
            <w:vAlign w:val="center"/>
            <w:shd w:fill="1F4E79"/>
          </w:tcPr>
          <w:p>
            <w:pPr>
              <w:spacing w:after="0" w:before="0"/>
            </w:pPr>
            <w:r/>
            <w:r>
              <w:rPr>
                <w:b/>
                <w:color w:val="FFFFFF"/>
                <w:sz w:val="17"/>
              </w:rPr>
              <w:t>Example reviewer action</w:t>
            </w:r>
          </w:p>
        </w:tc>
      </w:tr>
      <w:tr>
        <w:tc>
          <w:tcPr>
            <w:tcW w:type="dxa" w:w="1872"/>
            <w:vAlign w:val="center"/>
          </w:tcPr>
          <w:p>
            <w:pPr>
              <w:spacing w:after="0" w:before="0"/>
            </w:pPr>
            <w:r/>
            <w:r>
              <w:rPr>
                <w:b w:val="0"/>
                <w:sz w:val="16"/>
              </w:rPr>
              <w:t>Pass under profile</w:t>
            </w:r>
          </w:p>
        </w:tc>
        <w:tc>
          <w:tcPr>
            <w:tcW w:type="dxa" w:w="4608"/>
            <w:vAlign w:val="center"/>
          </w:tcPr>
          <w:p>
            <w:pPr>
              <w:spacing w:after="0" w:before="0"/>
            </w:pPr>
            <w:r/>
            <w:r>
              <w:rPr>
                <w:b w:val="0"/>
                <w:sz w:val="16"/>
              </w:rPr>
              <w:t>Required input and evidence are present and the configured rule evaluates positively</w:t>
            </w:r>
          </w:p>
        </w:tc>
        <w:tc>
          <w:tcPr>
            <w:tcW w:type="dxa" w:w="4752"/>
            <w:vAlign w:val="center"/>
          </w:tcPr>
          <w:p>
            <w:pPr>
              <w:spacing w:after="0" w:before="0"/>
            </w:pPr>
            <w:r/>
            <w:r>
              <w:rPr>
                <w:b w:val="0"/>
                <w:sz w:val="16"/>
              </w:rPr>
              <w:t>Confirm source version and retain evidence</w:t>
            </w:r>
          </w:p>
        </w:tc>
      </w:tr>
      <w:tr>
        <w:tc>
          <w:tcPr>
            <w:tcW w:type="dxa" w:w="1872"/>
            <w:vAlign w:val="center"/>
          </w:tcPr>
          <w:p>
            <w:pPr>
              <w:spacing w:after="0" w:before="0"/>
            </w:pPr>
            <w:r/>
            <w:r>
              <w:rPr>
                <w:b w:val="0"/>
                <w:sz w:val="16"/>
              </w:rPr>
              <w:t>Warning</w:t>
            </w:r>
          </w:p>
        </w:tc>
        <w:tc>
          <w:tcPr>
            <w:tcW w:type="dxa" w:w="4608"/>
            <w:vAlign w:val="center"/>
          </w:tcPr>
          <w:p>
            <w:pPr>
              <w:spacing w:after="0" w:before="0"/>
            </w:pPr>
            <w:r/>
            <w:r>
              <w:rPr>
                <w:b w:val="0"/>
                <w:sz w:val="16"/>
              </w:rPr>
              <w:t>The rule evaluates but a limitation, age, or scope issue remains</w:t>
            </w:r>
          </w:p>
        </w:tc>
        <w:tc>
          <w:tcPr>
            <w:tcW w:type="dxa" w:w="4752"/>
            <w:vAlign w:val="center"/>
          </w:tcPr>
          <w:p>
            <w:pPr>
              <w:spacing w:after="0" w:before="0"/>
            </w:pPr>
            <w:r/>
            <w:r>
              <w:rPr>
                <w:b w:val="0"/>
                <w:sz w:val="16"/>
              </w:rPr>
              <w:t>Review assumptions and update evidence</w:t>
            </w:r>
          </w:p>
        </w:tc>
      </w:tr>
      <w:tr>
        <w:tc>
          <w:tcPr>
            <w:tcW w:type="dxa" w:w="1872"/>
            <w:vAlign w:val="center"/>
          </w:tcPr>
          <w:p>
            <w:pPr>
              <w:spacing w:after="0" w:before="0"/>
            </w:pPr>
            <w:r/>
            <w:r>
              <w:rPr>
                <w:b w:val="0"/>
                <w:sz w:val="16"/>
              </w:rPr>
              <w:t>Needs evidence</w:t>
            </w:r>
          </w:p>
        </w:tc>
        <w:tc>
          <w:tcPr>
            <w:tcW w:type="dxa" w:w="4608"/>
            <w:vAlign w:val="center"/>
          </w:tcPr>
          <w:p>
            <w:pPr>
              <w:spacing w:after="0" w:before="0"/>
            </w:pPr>
            <w:r/>
            <w:r>
              <w:rPr>
                <w:b w:val="0"/>
                <w:sz w:val="16"/>
              </w:rPr>
              <w:t>A required claim is missing proof or provenance</w:t>
            </w:r>
          </w:p>
        </w:tc>
        <w:tc>
          <w:tcPr>
            <w:tcW w:type="dxa" w:w="4752"/>
            <w:vAlign w:val="center"/>
          </w:tcPr>
          <w:p>
            <w:pPr>
              <w:spacing w:after="0" w:before="0"/>
            </w:pPr>
            <w:r/>
            <w:r>
              <w:rPr>
                <w:b w:val="0"/>
                <w:sz w:val="16"/>
              </w:rPr>
              <w:t>Assign evidence owner and due date</w:t>
            </w:r>
          </w:p>
        </w:tc>
      </w:tr>
      <w:tr>
        <w:tc>
          <w:tcPr>
            <w:tcW w:type="dxa" w:w="1872"/>
            <w:vAlign w:val="center"/>
          </w:tcPr>
          <w:p>
            <w:pPr>
              <w:spacing w:after="0" w:before="0"/>
            </w:pPr>
            <w:r/>
            <w:r>
              <w:rPr>
                <w:b w:val="0"/>
                <w:sz w:val="16"/>
              </w:rPr>
              <w:t>Conflict</w:t>
            </w:r>
          </w:p>
        </w:tc>
        <w:tc>
          <w:tcPr>
            <w:tcW w:type="dxa" w:w="4608"/>
            <w:vAlign w:val="center"/>
          </w:tcPr>
          <w:p>
            <w:pPr>
              <w:spacing w:after="0" w:before="0"/>
            </w:pPr>
            <w:r/>
            <w:r>
              <w:rPr>
                <w:b w:val="0"/>
                <w:sz w:val="16"/>
              </w:rPr>
              <w:t>Two sources or inputs disagree</w:t>
            </w:r>
          </w:p>
        </w:tc>
        <w:tc>
          <w:tcPr>
            <w:tcW w:type="dxa" w:w="4752"/>
            <w:vAlign w:val="center"/>
          </w:tcPr>
          <w:p>
            <w:pPr>
              <w:spacing w:after="0" w:before="0"/>
            </w:pPr>
            <w:r/>
            <w:r>
              <w:rPr>
                <w:b w:val="0"/>
                <w:sz w:val="16"/>
              </w:rPr>
              <w:t>Resolve with qualified reviewer; do not average</w:t>
            </w:r>
          </w:p>
        </w:tc>
      </w:tr>
      <w:tr>
        <w:tc>
          <w:tcPr>
            <w:tcW w:type="dxa" w:w="1872"/>
            <w:vAlign w:val="center"/>
          </w:tcPr>
          <w:p>
            <w:pPr>
              <w:spacing w:after="0" w:before="0"/>
            </w:pPr>
            <w:r/>
            <w:r>
              <w:rPr>
                <w:b w:val="0"/>
                <w:sz w:val="16"/>
              </w:rPr>
              <w:t>Not evaluated</w:t>
            </w:r>
          </w:p>
        </w:tc>
        <w:tc>
          <w:tcPr>
            <w:tcW w:type="dxa" w:w="4608"/>
            <w:vAlign w:val="center"/>
          </w:tcPr>
          <w:p>
            <w:pPr>
              <w:spacing w:after="0" w:before="0"/>
            </w:pPr>
            <w:r/>
            <w:r>
              <w:rPr>
                <w:b w:val="0"/>
                <w:sz w:val="16"/>
              </w:rPr>
              <w:t>Profile or data is outside supported scope</w:t>
            </w:r>
          </w:p>
        </w:tc>
        <w:tc>
          <w:tcPr>
            <w:tcW w:type="dxa" w:w="4752"/>
            <w:vAlign w:val="center"/>
          </w:tcPr>
          <w:p>
            <w:pPr>
              <w:spacing w:after="0" w:before="0"/>
            </w:pPr>
            <w:r/>
            <w:r>
              <w:rPr>
                <w:b w:val="0"/>
                <w:sz w:val="16"/>
              </w:rPr>
              <w:t>Escalate to expert or select a valid profile</w:t>
            </w:r>
          </w:p>
        </w:tc>
      </w:tr>
    </w:tbl>
    <w:p>
      <w:pPr>
        <w:spacing w:after="40"/>
      </w:pPr>
    </w:p>
    <w:p>
      <w:pPr>
        <w:spacing w:after="100" w:line="259" w:lineRule="auto"/>
      </w:pPr>
      <w:r>
        <w:t>If a band is shown, its inputs should be evidence completeness and unresolved critical findings, not an invented physical probability. Suggested labels are Ready for expert review, Review gaps first, and Not evaluable. The band must never override a critical Needs evidence or Not evaluated state.</w:t>
      </w:r>
    </w:p>
    <w:p>
      <w:pPr>
        <w:pStyle w:val="Heading1"/>
        <w:keepNext/>
        <w:spacing w:after="100"/>
      </w:pPr>
      <w:r>
        <w:t>6. Counterfactual Design Review</w:t>
      </w:r>
    </w:p>
    <w:p>
      <w:pPr>
        <w:spacing w:after="100" w:line="259" w:lineRule="auto"/>
      </w:pPr>
      <w:r>
        <w:t>Counterfactual explanations are useful when a reviewer asks what change would alter a decision [7]. OrbitScore implements a constrained comparison over a small set of declared variables, such as disposal lifetime assumption, disposal evidence present/absent, or a documented end-of-life maneuver capability. The engine returns the changed input, affected rule, before/after state, and assumptions.</w:t>
      </w:r>
    </w:p>
    <w:p>
      <w:pPr>
        <w:spacing w:after="100"/>
        <w:ind w:left="360"/>
      </w:pPr>
      <w:r>
        <w:rPr>
          <w:rFonts w:ascii="Consolas" w:hAnsi="Consolas"/>
          <w:color w:val="1F4E79"/>
          <w:sz w:val="17"/>
        </w:rPr>
        <w:t>before: disposal_lifetime_years = 8.4; evidence = missing</w:t>
        <w:br/>
        <w:t>after:  disposal_lifetime_years = 4.2; evidence = synthetic analysis attached</w:t>
        <w:br/>
        <w:t>result:  Needs evidence → Pass under configured profile</w:t>
        <w:br/>
        <w:t>warning: illustrative fixture; not a flight recommendation</w:t>
      </w:r>
    </w:p>
    <w:p>
      <w:pPr>
        <w:spacing w:after="100" w:line="259" w:lineRule="auto"/>
      </w:pPr>
      <w:r>
        <w:t>A physically meaningful trade requires ballistic coefficient or area-to-mass ratio, mass properties, atmospheric model, solar and geomagnetic assumptions, epoch, orbit geometry, propulsion performance, execution reliability, and disposal-success evidence. If those inputs are not available, OrbitScore must present a qualitative or evidence-only counterfactual, not a precise burn recommendation.</w:t>
      </w:r>
    </w:p>
    <w:p>
      <w:pPr>
        <w:spacing w:after="100" w:line="259" w:lineRule="auto"/>
      </w:pPr>
      <w:r>
        <w:t>SHAP and LIME are not required for a deterministic rule trace. For threshold-driven findings, an exact trace is clearer and less misleading: input value, threshold, source clause, status, and reviewer action. Attribution methods may be added later for a learned extraction or ranking model, but they must not be presented as causal engineering explanations.</w:t>
      </w:r>
    </w:p>
    <w:p>
      <w:pPr>
        <w:pStyle w:val="Heading1"/>
        <w:keepNext/>
        <w:spacing w:after="100"/>
      </w:pPr>
      <w:r>
        <w:t>7. Provenance, Confidence, and Human Review</w:t>
      </w:r>
    </w:p>
    <w:p>
      <w:pPr>
        <w:spacing w:after="100" w:line="259" w:lineRule="auto"/>
      </w:pPr>
      <w:r>
        <w:t>Provenance is a system property. A provenance record should answer why a finding was produced and where each input came from. W3C PROV-O and database provenance literature provide useful conceptual models [8]. SHA-256 hashes can make changes tamper-evident when a controlled storage and anchoring process exists; a hash alone does not make a database immutable or legally authoritative.</w:t>
      </w:r>
    </w:p>
    <w:p>
      <w:pPr>
        <w:spacing w:after="100" w:line="259" w:lineRule="auto"/>
      </w:pPr>
      <w:r>
        <w:t>The prototype uses evidence confidence rather than pretending to have a calibrated probability. High confidence means an authoritative, current source, complete required fields, and no conflict. Medium confidence means a source exists but is stale, incomplete, or secondary. Low confidence means an assumption, extraction uncertainty, conflict, or unsupported scope. Model calibration research shows that raw confidence can be overconfident, especially under shift [9,10].</w:t>
      </w:r>
    </w:p>
    <w:p>
      <w:pPr>
        <w:spacing w:after="100" w:line="259" w:lineRule="auto"/>
      </w:pPr>
      <w:r>
        <w:t>Human review is mandatory for critical findings, conflicts, profile selection, and any recommendation that could alter mission design. The system recommends; a qualified human decides. It does not file, approve, command, or fire a thruster.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896"/>
            <w:vAlign w:val="center"/>
            <w:shd w:fill="1F4E79"/>
          </w:tcPr>
          <w:p>
            <w:pPr>
              <w:spacing w:after="0" w:before="0"/>
            </w:pPr>
            <w:r/>
            <w:r>
              <w:rPr>
                <w:b/>
                <w:color w:val="FFFFFF"/>
                <w:sz w:val="17"/>
              </w:rPr>
              <w:t>Automated assistance</w:t>
            </w:r>
          </w:p>
        </w:tc>
        <w:tc>
          <w:tcPr>
            <w:tcW w:type="dxa" w:w="6336"/>
            <w:vAlign w:val="center"/>
            <w:shd w:fill="1F4E79"/>
          </w:tcPr>
          <w:p>
            <w:pPr>
              <w:spacing w:after="0" w:before="0"/>
            </w:pPr>
            <w:r/>
            <w:r>
              <w:rPr>
                <w:b/>
                <w:color w:val="FFFFFF"/>
                <w:sz w:val="17"/>
              </w:rPr>
              <w:t>Human-led decision</w:t>
            </w:r>
          </w:p>
        </w:tc>
      </w:tr>
      <w:tr>
        <w:tc>
          <w:tcPr>
            <w:tcW w:type="dxa" w:w="4896"/>
            <w:vAlign w:val="center"/>
          </w:tcPr>
          <w:p>
            <w:pPr>
              <w:spacing w:after="0" w:before="0"/>
            </w:pPr>
            <w:r/>
            <w:r>
              <w:rPr>
                <w:b w:val="0"/>
                <w:sz w:val="16"/>
              </w:rPr>
              <w:t>Parse candidate values from documents</w:t>
            </w:r>
          </w:p>
        </w:tc>
        <w:tc>
          <w:tcPr>
            <w:tcW w:type="dxa" w:w="6336"/>
            <w:vAlign w:val="center"/>
          </w:tcPr>
          <w:p>
            <w:pPr>
              <w:spacing w:after="0" w:before="0"/>
            </w:pPr>
            <w:r/>
            <w:r>
              <w:rPr>
                <w:b w:val="0"/>
                <w:sz w:val="16"/>
              </w:rPr>
              <w:t>Confirm the value and its meaning</w:t>
            </w:r>
          </w:p>
        </w:tc>
      </w:tr>
      <w:tr>
        <w:tc>
          <w:tcPr>
            <w:tcW w:type="dxa" w:w="4896"/>
            <w:vAlign w:val="center"/>
          </w:tcPr>
          <w:p>
            <w:pPr>
              <w:spacing w:after="0" w:before="0"/>
            </w:pPr>
            <w:r/>
            <w:r>
              <w:rPr>
                <w:b w:val="0"/>
                <w:sz w:val="16"/>
              </w:rPr>
              <w:t>Normalize units and run deterministic checks</w:t>
            </w:r>
          </w:p>
        </w:tc>
        <w:tc>
          <w:tcPr>
            <w:tcW w:type="dxa" w:w="6336"/>
            <w:vAlign w:val="center"/>
          </w:tcPr>
          <w:p>
            <w:pPr>
              <w:spacing w:after="0" w:before="0"/>
            </w:pPr>
            <w:r/>
            <w:r>
              <w:rPr>
                <w:b w:val="0"/>
                <w:sz w:val="16"/>
              </w:rPr>
              <w:t>Select the applicable jurisdiction/profile</w:t>
            </w:r>
          </w:p>
        </w:tc>
      </w:tr>
      <w:tr>
        <w:tc>
          <w:tcPr>
            <w:tcW w:type="dxa" w:w="4896"/>
            <w:vAlign w:val="center"/>
          </w:tcPr>
          <w:p>
            <w:pPr>
              <w:spacing w:after="0" w:before="0"/>
            </w:pPr>
            <w:r/>
            <w:r>
              <w:rPr>
                <w:b w:val="0"/>
                <w:sz w:val="16"/>
              </w:rPr>
              <w:t>Show evidence gaps and controlled what-if results</w:t>
            </w:r>
          </w:p>
        </w:tc>
        <w:tc>
          <w:tcPr>
            <w:tcW w:type="dxa" w:w="6336"/>
            <w:vAlign w:val="center"/>
          </w:tcPr>
          <w:p>
            <w:pPr>
              <w:spacing w:after="0" w:before="0"/>
            </w:pPr>
            <w:r/>
            <w:r>
              <w:rPr>
                <w:b w:val="0"/>
                <w:sz w:val="16"/>
              </w:rPr>
              <w:t>Accept engineering assumptions and tradeoffs</w:t>
            </w:r>
          </w:p>
        </w:tc>
      </w:tr>
      <w:tr>
        <w:tc>
          <w:tcPr>
            <w:tcW w:type="dxa" w:w="4896"/>
            <w:vAlign w:val="center"/>
          </w:tcPr>
          <w:p>
            <w:pPr>
              <w:spacing w:after="0" w:before="0"/>
            </w:pPr>
            <w:r/>
            <w:r>
              <w:rPr>
                <w:b w:val="0"/>
                <w:sz w:val="16"/>
              </w:rPr>
              <w:t>Assemble a cited packet</w:t>
            </w:r>
          </w:p>
        </w:tc>
        <w:tc>
          <w:tcPr>
            <w:tcW w:type="dxa" w:w="6336"/>
            <w:vAlign w:val="center"/>
          </w:tcPr>
          <w:p>
            <w:pPr>
              <w:spacing w:after="0" w:before="0"/>
            </w:pPr>
            <w:r/>
            <w:r>
              <w:rPr>
                <w:b w:val="0"/>
                <w:sz w:val="16"/>
              </w:rPr>
              <w:t>Approve any submission or operational action</w:t>
            </w:r>
          </w:p>
        </w:tc>
      </w:tr>
    </w:tbl>
    <w:p>
      <w:pPr>
        <w:spacing w:after="40"/>
      </w:pPr>
    </w:p>
    <w:p>
      <w:pPr>
        <w:pStyle w:val="Heading1"/>
        <w:keepNext/>
        <w:spacing w:after="100"/>
      </w:pPr>
      <w:r>
        <w:t>8. Data Sources and Restrictions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00"/>
            <w:vAlign w:val="center"/>
            <w:shd w:fill="1F4E79"/>
          </w:tcPr>
          <w:p>
            <w:pPr>
              <w:spacing w:after="0" w:before="0"/>
            </w:pPr>
            <w:r/>
            <w:r>
              <w:rPr>
                <w:b/>
                <w:color w:val="FFFFFF"/>
                <w:sz w:val="17"/>
              </w:rPr>
              <w:t>Source</w:t>
            </w:r>
          </w:p>
        </w:tc>
        <w:tc>
          <w:tcPr>
            <w:tcW w:type="dxa" w:w="3312"/>
            <w:vAlign w:val="center"/>
            <w:shd w:fill="1F4E79"/>
          </w:tcPr>
          <w:p>
            <w:pPr>
              <w:spacing w:after="0" w:before="0"/>
            </w:pPr>
            <w:r/>
            <w:r>
              <w:rPr>
                <w:b/>
                <w:color w:val="FFFFFF"/>
                <w:sz w:val="17"/>
              </w:rPr>
              <w:t>Useful fields/content</w:t>
            </w:r>
          </w:p>
        </w:tc>
        <w:tc>
          <w:tcPr>
            <w:tcW w:type="dxa" w:w="2880"/>
            <w:vAlign w:val="center"/>
            <w:shd w:fill="1F4E79"/>
          </w:tcPr>
          <w:p>
            <w:pPr>
              <w:spacing w:after="0" w:before="0"/>
            </w:pPr>
            <w:r/>
            <w:r>
              <w:rPr>
                <w:b/>
                <w:color w:val="FFFFFF"/>
                <w:sz w:val="17"/>
              </w:rPr>
              <w:t>Use in prototype</w:t>
            </w:r>
          </w:p>
        </w:tc>
        <w:tc>
          <w:tcPr>
            <w:tcW w:type="dxa" w:w="3240"/>
            <w:vAlign w:val="center"/>
            <w:shd w:fill="1F4E79"/>
          </w:tcPr>
          <w:p>
            <w:pPr>
              <w:spacing w:after="0" w:before="0"/>
            </w:pPr>
            <w:r/>
            <w:r>
              <w:rPr>
                <w:b/>
                <w:color w:val="FFFFFF"/>
                <w:sz w:val="17"/>
              </w:rPr>
              <w:t>Restriction / limitation</w:t>
            </w:r>
          </w:p>
        </w:tc>
      </w:tr>
      <w:tr>
        <w:tc>
          <w:tcPr>
            <w:tcW w:type="dxa" w:w="1800"/>
            <w:vAlign w:val="center"/>
          </w:tcPr>
          <w:p>
            <w:pPr>
              <w:spacing w:after="0" w:before="0"/>
            </w:pPr>
            <w:r/>
            <w:r>
              <w:rPr>
                <w:b w:val="0"/>
                <w:sz w:val="16"/>
              </w:rPr>
              <w:t>User mission profile</w:t>
            </w:r>
          </w:p>
        </w:tc>
        <w:tc>
          <w:tcPr>
            <w:tcW w:type="dxa" w:w="3312"/>
            <w:vAlign w:val="center"/>
          </w:tcPr>
          <w:p>
            <w:pPr>
              <w:spacing w:after="0" w:before="0"/>
            </w:pPr>
            <w:r/>
            <w:r>
              <w:rPr>
                <w:b w:val="0"/>
                <w:sz w:val="16"/>
              </w:rPr>
              <w:t>Orbit, altitude, mass, duration, propulsion, disposal, evidence links</w:t>
            </w:r>
          </w:p>
        </w:tc>
        <w:tc>
          <w:tcPr>
            <w:tcW w:type="dxa" w:w="2880"/>
            <w:vAlign w:val="center"/>
          </w:tcPr>
          <w:p>
            <w:pPr>
              <w:spacing w:after="0" w:before="0"/>
            </w:pPr>
            <w:r/>
            <w:r>
              <w:rPr>
                <w:b w:val="0"/>
                <w:sz w:val="16"/>
              </w:rPr>
              <w:t>Primary input</w:t>
            </w:r>
          </w:p>
        </w:tc>
        <w:tc>
          <w:tcPr>
            <w:tcW w:type="dxa" w:w="3240"/>
            <w:vAlign w:val="center"/>
          </w:tcPr>
          <w:p>
            <w:pPr>
              <w:spacing w:after="0" w:before="0"/>
            </w:pPr>
            <w:r/>
            <w:r>
              <w:rPr>
                <w:b w:val="0"/>
                <w:sz w:val="16"/>
              </w:rPr>
              <w:t>May be incomplete, private, or contradictory</w:t>
            </w:r>
          </w:p>
        </w:tc>
      </w:tr>
      <w:tr>
        <w:tc>
          <w:tcPr>
            <w:tcW w:type="dxa" w:w="1800"/>
            <w:vAlign w:val="center"/>
          </w:tcPr>
          <w:p>
            <w:pPr>
              <w:spacing w:after="0" w:before="0"/>
            </w:pPr>
            <w:r/>
            <w:r>
              <w:rPr>
                <w:b w:val="0"/>
                <w:sz w:val="16"/>
              </w:rPr>
              <w:t>NASA DAS / ORDEM</w:t>
            </w:r>
          </w:p>
        </w:tc>
        <w:tc>
          <w:tcPr>
            <w:tcW w:type="dxa" w:w="3312"/>
            <w:vAlign w:val="center"/>
          </w:tcPr>
          <w:p>
            <w:pPr>
              <w:spacing w:after="0" w:before="0"/>
            </w:pPr>
            <w:r/>
            <w:r>
              <w:rPr>
                <w:b w:val="0"/>
                <w:sz w:val="16"/>
              </w:rPr>
              <w:t>Assessment context; debris flux and model outputs</w:t>
            </w:r>
          </w:p>
        </w:tc>
        <w:tc>
          <w:tcPr>
            <w:tcW w:type="dxa" w:w="2880"/>
            <w:vAlign w:val="center"/>
          </w:tcPr>
          <w:p>
            <w:pPr>
              <w:spacing w:after="0" w:before="0"/>
            </w:pPr>
            <w:r/>
            <w:r>
              <w:rPr>
                <w:b w:val="0"/>
                <w:sz w:val="16"/>
              </w:rPr>
              <w:t>Reference or future integration</w:t>
            </w:r>
          </w:p>
        </w:tc>
        <w:tc>
          <w:tcPr>
            <w:tcW w:type="dxa" w:w="3240"/>
            <w:vAlign w:val="center"/>
          </w:tcPr>
          <w:p>
            <w:pPr>
              <w:spacing w:after="0" w:before="0"/>
            </w:pPr>
            <w:r/>
            <w:r>
              <w:rPr>
                <w:b w:val="0"/>
                <w:sz w:val="16"/>
              </w:rPr>
              <w:t>Specialized access, versioned models, not a live CA feed</w:t>
            </w:r>
          </w:p>
        </w:tc>
      </w:tr>
      <w:tr>
        <w:tc>
          <w:tcPr>
            <w:tcW w:type="dxa" w:w="1800"/>
            <w:vAlign w:val="center"/>
          </w:tcPr>
          <w:p>
            <w:pPr>
              <w:spacing w:after="0" w:before="0"/>
            </w:pPr>
            <w:r/>
            <w:r>
              <w:rPr>
                <w:b w:val="0"/>
                <w:sz w:val="16"/>
              </w:rPr>
              <w:t>ESA DISCOSweb</w:t>
            </w:r>
          </w:p>
        </w:tc>
        <w:tc>
          <w:tcPr>
            <w:tcW w:type="dxa" w:w="3312"/>
            <w:vAlign w:val="center"/>
          </w:tcPr>
          <w:p>
            <w:pPr>
              <w:spacing w:after="0" w:before="0"/>
            </w:pPr>
            <w:r/>
            <w:r>
              <w:rPr>
                <w:b w:val="0"/>
                <w:sz w:val="16"/>
              </w:rPr>
              <w:t>Launch, object registration, spacecraft size/mass/shape/mission/owner</w:t>
            </w:r>
          </w:p>
        </w:tc>
        <w:tc>
          <w:tcPr>
            <w:tcW w:type="dxa" w:w="2880"/>
            <w:vAlign w:val="center"/>
          </w:tcPr>
          <w:p>
            <w:pPr>
              <w:spacing w:after="0" w:before="0"/>
            </w:pPr>
            <w:r/>
            <w:r>
              <w:rPr>
                <w:b w:val="0"/>
                <w:sz w:val="16"/>
              </w:rPr>
              <w:t>Optional reference lookup</w:t>
            </w:r>
          </w:p>
        </w:tc>
        <w:tc>
          <w:tcPr>
            <w:tcW w:type="dxa" w:w="3240"/>
            <w:vAlign w:val="center"/>
          </w:tcPr>
          <w:p>
            <w:pPr>
              <w:spacing w:after="0" w:before="0"/>
            </w:pPr>
            <w:r/>
            <w:r>
              <w:rPr>
                <w:b w:val="0"/>
                <w:sz w:val="16"/>
              </w:rPr>
              <w:t>Terms/account; ephemeris is not distributed via DISCOSweb [11]</w:t>
            </w:r>
          </w:p>
        </w:tc>
      </w:tr>
      <w:tr>
        <w:tc>
          <w:tcPr>
            <w:tcW w:type="dxa" w:w="1800"/>
            <w:vAlign w:val="center"/>
          </w:tcPr>
          <w:p>
            <w:pPr>
              <w:spacing w:after="0" w:before="0"/>
            </w:pPr>
            <w:r/>
            <w:r>
              <w:rPr>
                <w:b w:val="0"/>
                <w:sz w:val="16"/>
              </w:rPr>
              <w:t>Space-Track GP/OMM</w:t>
            </w:r>
          </w:p>
        </w:tc>
        <w:tc>
          <w:tcPr>
            <w:tcW w:type="dxa" w:w="3312"/>
            <w:vAlign w:val="center"/>
          </w:tcPr>
          <w:p>
            <w:pPr>
              <w:spacing w:after="0" w:before="0"/>
            </w:pPr>
            <w:r/>
            <w:r>
              <w:rPr>
                <w:b w:val="0"/>
                <w:sz w:val="16"/>
              </w:rPr>
              <w:t>Catalog identifiers, epoch, mean elements, OMM fields</w:t>
            </w:r>
          </w:p>
        </w:tc>
        <w:tc>
          <w:tcPr>
            <w:tcW w:type="dxa" w:w="2880"/>
            <w:vAlign w:val="center"/>
          </w:tcPr>
          <w:p>
            <w:pPr>
              <w:spacing w:after="0" w:before="0"/>
            </w:pPr>
            <w:r/>
            <w:r>
              <w:rPr>
                <w:b w:val="0"/>
                <w:sz w:val="16"/>
              </w:rPr>
              <w:t>Historical/contextual only</w:t>
            </w:r>
          </w:p>
        </w:tc>
        <w:tc>
          <w:tcPr>
            <w:tcW w:type="dxa" w:w="3240"/>
            <w:vAlign w:val="center"/>
          </w:tcPr>
          <w:p>
            <w:pPr>
              <w:spacing w:after="0" w:before="0"/>
            </w:pPr>
            <w:r/>
            <w:r>
              <w:rPr>
                <w:b w:val="0"/>
                <w:sz w:val="16"/>
              </w:rPr>
              <w:t>Account/terms; public TLE is not sufficient for operational CA</w:t>
            </w:r>
          </w:p>
        </w:tc>
      </w:tr>
      <w:tr>
        <w:tc>
          <w:tcPr>
            <w:tcW w:type="dxa" w:w="1800"/>
            <w:vAlign w:val="center"/>
          </w:tcPr>
          <w:p>
            <w:pPr>
              <w:spacing w:after="0" w:before="0"/>
            </w:pPr>
            <w:r/>
            <w:r>
              <w:rPr>
                <w:b w:val="0"/>
                <w:sz w:val="16"/>
              </w:rPr>
              <w:t>CelesTrak GP</w:t>
            </w:r>
          </w:p>
        </w:tc>
        <w:tc>
          <w:tcPr>
            <w:tcW w:type="dxa" w:w="3312"/>
            <w:vAlign w:val="center"/>
          </w:tcPr>
          <w:p>
            <w:pPr>
              <w:spacing w:after="0" w:before="0"/>
            </w:pPr>
            <w:r/>
            <w:r>
              <w:rPr>
                <w:b w:val="0"/>
                <w:sz w:val="16"/>
              </w:rPr>
              <w:t>CATNR, INTDES, GROUP, NAME; TLE/OMM XML/KVN/JSON/CSV</w:t>
            </w:r>
          </w:p>
        </w:tc>
        <w:tc>
          <w:tcPr>
            <w:tcW w:type="dxa" w:w="2880"/>
            <w:vAlign w:val="center"/>
          </w:tcPr>
          <w:p>
            <w:pPr>
              <w:spacing w:after="0" w:before="0"/>
            </w:pPr>
            <w:r/>
            <w:r>
              <w:rPr>
                <w:b w:val="0"/>
                <w:sz w:val="16"/>
              </w:rPr>
              <w:t>Educational/contextual only</w:t>
            </w:r>
          </w:p>
        </w:tc>
        <w:tc>
          <w:tcPr>
            <w:tcW w:type="dxa" w:w="3240"/>
            <w:vAlign w:val="center"/>
          </w:tcPr>
          <w:p>
            <w:pPr>
              <w:spacing w:after="0" w:before="0"/>
            </w:pPr>
            <w:r/>
            <w:r>
              <w:rPr>
                <w:b w:val="0"/>
                <w:sz w:val="16"/>
              </w:rPr>
              <w:t>Rate limits, age, format limitations; cache and stop on errors [12]</w:t>
            </w:r>
          </w:p>
        </w:tc>
      </w:tr>
      <w:tr>
        <w:tc>
          <w:tcPr>
            <w:tcW w:type="dxa" w:w="1800"/>
            <w:vAlign w:val="center"/>
          </w:tcPr>
          <w:p>
            <w:pPr>
              <w:spacing w:after="0" w:before="0"/>
            </w:pPr>
            <w:r/>
            <w:r>
              <w:rPr>
                <w:b w:val="0"/>
                <w:sz w:val="16"/>
              </w:rPr>
              <w:t>Official policy documents</w:t>
            </w:r>
          </w:p>
        </w:tc>
        <w:tc>
          <w:tcPr>
            <w:tcW w:type="dxa" w:w="3312"/>
            <w:vAlign w:val="center"/>
          </w:tcPr>
          <w:p>
            <w:pPr>
              <w:spacing w:after="0" w:before="0"/>
            </w:pPr>
            <w:r/>
            <w:r>
              <w:rPr>
                <w:b w:val="0"/>
                <w:sz w:val="16"/>
              </w:rPr>
              <w:t>Clauses, scope, version, dates</w:t>
            </w:r>
          </w:p>
        </w:tc>
        <w:tc>
          <w:tcPr>
            <w:tcW w:type="dxa" w:w="2880"/>
            <w:vAlign w:val="center"/>
          </w:tcPr>
          <w:p>
            <w:pPr>
              <w:spacing w:after="0" w:before="0"/>
            </w:pPr>
            <w:r/>
            <w:r>
              <w:rPr>
                <w:b w:val="0"/>
                <w:sz w:val="16"/>
              </w:rPr>
              <w:t>Versioned profile fixtures</w:t>
            </w:r>
          </w:p>
        </w:tc>
        <w:tc>
          <w:tcPr>
            <w:tcW w:type="dxa" w:w="3240"/>
            <w:vAlign w:val="center"/>
          </w:tcPr>
          <w:p>
            <w:pPr>
              <w:spacing w:after="0" w:before="0"/>
            </w:pPr>
            <w:r/>
            <w:r>
              <w:rPr>
                <w:b w:val="0"/>
                <w:sz w:val="16"/>
              </w:rPr>
              <w:t>Guidelines and standards are not interchangeable</w:t>
            </w:r>
          </w:p>
        </w:tc>
      </w:tr>
      <w:tr>
        <w:tc>
          <w:tcPr>
            <w:tcW w:type="dxa" w:w="1800"/>
            <w:vAlign w:val="center"/>
          </w:tcPr>
          <w:p>
            <w:pPr>
              <w:spacing w:after="0" w:before="0"/>
            </w:pPr>
            <w:r/>
            <w:r>
              <w:rPr>
                <w:b w:val="0"/>
                <w:sz w:val="16"/>
              </w:rPr>
              <w:t>Synthetic mission fixtures</w:t>
            </w:r>
          </w:p>
        </w:tc>
        <w:tc>
          <w:tcPr>
            <w:tcW w:type="dxa" w:w="3312"/>
            <w:vAlign w:val="center"/>
          </w:tcPr>
          <w:p>
            <w:pPr>
              <w:spacing w:after="0" w:before="0"/>
            </w:pPr>
            <w:r/>
            <w:r>
              <w:rPr>
                <w:b w:val="0"/>
                <w:sz w:val="16"/>
              </w:rPr>
              <w:t>Complete, missing, conflict, stale, failure cases</w:t>
            </w:r>
          </w:p>
        </w:tc>
        <w:tc>
          <w:tcPr>
            <w:tcW w:type="dxa" w:w="2880"/>
            <w:vAlign w:val="center"/>
          </w:tcPr>
          <w:p>
            <w:pPr>
              <w:spacing w:after="0" w:before="0"/>
            </w:pPr>
            <w:r/>
            <w:r>
              <w:rPr>
                <w:b w:val="0"/>
                <w:sz w:val="16"/>
              </w:rPr>
              <w:t>Required for reproducible demo</w:t>
            </w:r>
          </w:p>
        </w:tc>
        <w:tc>
          <w:tcPr>
            <w:tcW w:type="dxa" w:w="3240"/>
            <w:vAlign w:val="center"/>
          </w:tcPr>
          <w:p>
            <w:pPr>
              <w:spacing w:after="0" w:before="0"/>
            </w:pPr>
            <w:r/>
            <w:r>
              <w:rPr>
                <w:b w:val="0"/>
                <w:sz w:val="16"/>
              </w:rPr>
              <w:t>Must be labeled synthetic</w:t>
            </w:r>
          </w:p>
        </w:tc>
      </w:tr>
    </w:tbl>
    <w:p>
      <w:pPr>
        <w:spacing w:after="40"/>
      </w:pPr>
    </w:p>
    <w:p>
      <w:pPr>
        <w:pStyle w:val="Heading1"/>
        <w:keepNext/>
        <w:spacing w:after="100"/>
      </w:pPr>
      <w:r>
        <w:t>9. Validation Plan</w:t>
      </w:r>
    </w:p>
    <w:p>
      <w:pPr>
        <w:spacing w:after="100" w:line="259" w:lineRule="auto"/>
      </w:pPr>
      <w:r>
        <w:t>The 24-hour validation target is reproducibility of the workflow, not scientific validation of a safety model. A versioned JSON baseline should contain inputs, expected states, source references, assumptions, and reviewer actions.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vAlign w:val="center"/>
            <w:shd w:fill="1F4E79"/>
          </w:tcPr>
          <w:p>
            <w:pPr>
              <w:spacing w:after="0" w:before="0"/>
            </w:pPr>
            <w:r/>
            <w:r>
              <w:rPr>
                <w:b/>
                <w:color w:val="FFFFFF"/>
                <w:sz w:val="17"/>
              </w:rPr>
              <w:t>Test</w:t>
            </w:r>
          </w:p>
        </w:tc>
        <w:tc>
          <w:tcPr>
            <w:tcW w:type="dxa" w:w="7920"/>
            <w:vAlign w:val="center"/>
            <w:shd w:fill="1F4E79"/>
          </w:tcPr>
          <w:p>
            <w:pPr>
              <w:spacing w:after="0" w:before="0"/>
            </w:pPr>
            <w:r/>
            <w:r>
              <w:rPr>
                <w:b/>
                <w:color w:val="FFFFFF"/>
                <w:sz w:val="17"/>
              </w:rPr>
              <w:t>Pass condition</w:t>
            </w:r>
          </w:p>
        </w:tc>
      </w:tr>
      <w:tr>
        <w:tc>
          <w:tcPr>
            <w:tcW w:type="dxa" w:w="3312"/>
            <w:vAlign w:val="center"/>
          </w:tcPr>
          <w:p>
            <w:pPr>
              <w:spacing w:after="0" w:before="0"/>
            </w:pPr>
            <w:r/>
            <w:r>
              <w:rPr>
                <w:b w:val="0"/>
                <w:sz w:val="16"/>
              </w:rPr>
              <w:t>Complete fixture</w:t>
            </w:r>
          </w:p>
        </w:tc>
        <w:tc>
          <w:tcPr>
            <w:tcW w:type="dxa" w:w="7920"/>
            <w:vAlign w:val="center"/>
          </w:tcPr>
          <w:p>
            <w:pPr>
              <w:spacing w:after="0" w:before="0"/>
            </w:pPr>
            <w:r/>
            <w:r>
              <w:rPr>
                <w:b w:val="0"/>
                <w:sz w:val="16"/>
              </w:rPr>
              <w:t>Expected findings and citations match baseline</w:t>
            </w:r>
          </w:p>
        </w:tc>
      </w:tr>
      <w:tr>
        <w:tc>
          <w:tcPr>
            <w:tcW w:type="dxa" w:w="3312"/>
            <w:vAlign w:val="center"/>
          </w:tcPr>
          <w:p>
            <w:pPr>
              <w:spacing w:after="0" w:before="0"/>
            </w:pPr>
            <w:r/>
            <w:r>
              <w:rPr>
                <w:b w:val="0"/>
                <w:sz w:val="16"/>
              </w:rPr>
              <w:t>Missing disposal evidence</w:t>
            </w:r>
          </w:p>
        </w:tc>
        <w:tc>
          <w:tcPr>
            <w:tcW w:type="dxa" w:w="7920"/>
            <w:vAlign w:val="center"/>
          </w:tcPr>
          <w:p>
            <w:pPr>
              <w:spacing w:after="0" w:before="0"/>
            </w:pPr>
            <w:r/>
            <w:r>
              <w:rPr>
                <w:b w:val="0"/>
                <w:sz w:val="16"/>
              </w:rPr>
              <w:t>Returns Needs evidence or Not evaluated; never Pass</w:t>
            </w:r>
          </w:p>
        </w:tc>
      </w:tr>
      <w:tr>
        <w:tc>
          <w:tcPr>
            <w:tcW w:type="dxa" w:w="3312"/>
            <w:vAlign w:val="center"/>
          </w:tcPr>
          <w:p>
            <w:pPr>
              <w:spacing w:after="0" w:before="0"/>
            </w:pPr>
            <w:r/>
            <w:r>
              <w:rPr>
                <w:b w:val="0"/>
                <w:sz w:val="16"/>
              </w:rPr>
              <w:t>Boundary value</w:t>
            </w:r>
          </w:p>
        </w:tc>
        <w:tc>
          <w:tcPr>
            <w:tcW w:type="dxa" w:w="7920"/>
            <w:vAlign w:val="center"/>
          </w:tcPr>
          <w:p>
            <w:pPr>
              <w:spacing w:after="0" w:before="0"/>
            </w:pPr>
            <w:r/>
            <w:r>
              <w:rPr>
                <w:b w:val="0"/>
                <w:sz w:val="16"/>
              </w:rPr>
              <w:t>Behavior at configured threshold is explicit and stable</w:t>
            </w:r>
          </w:p>
        </w:tc>
      </w:tr>
      <w:tr>
        <w:tc>
          <w:tcPr>
            <w:tcW w:type="dxa" w:w="3312"/>
            <w:vAlign w:val="center"/>
          </w:tcPr>
          <w:p>
            <w:pPr>
              <w:spacing w:after="0" w:before="0"/>
            </w:pPr>
            <w:r/>
            <w:r>
              <w:rPr>
                <w:b w:val="0"/>
                <w:sz w:val="16"/>
              </w:rPr>
              <w:t>Conflicting documents</w:t>
            </w:r>
          </w:p>
        </w:tc>
        <w:tc>
          <w:tcPr>
            <w:tcW w:type="dxa" w:w="7920"/>
            <w:vAlign w:val="center"/>
          </w:tcPr>
          <w:p>
            <w:pPr>
              <w:spacing w:after="0" w:before="0"/>
            </w:pPr>
            <w:r/>
            <w:r>
              <w:rPr>
                <w:b w:val="0"/>
                <w:sz w:val="16"/>
              </w:rPr>
              <w:t>Conflict is shown; no silent merge</w:t>
            </w:r>
          </w:p>
        </w:tc>
      </w:tr>
      <w:tr>
        <w:tc>
          <w:tcPr>
            <w:tcW w:type="dxa" w:w="3312"/>
            <w:vAlign w:val="center"/>
          </w:tcPr>
          <w:p>
            <w:pPr>
              <w:spacing w:after="0" w:before="0"/>
            </w:pPr>
            <w:r/>
            <w:r>
              <w:rPr>
                <w:b w:val="0"/>
                <w:sz w:val="16"/>
              </w:rPr>
              <w:t>Stale external record</w:t>
            </w:r>
          </w:p>
        </w:tc>
        <w:tc>
          <w:tcPr>
            <w:tcW w:type="dxa" w:w="7920"/>
            <w:vAlign w:val="center"/>
          </w:tcPr>
          <w:p>
            <w:pPr>
              <w:spacing w:after="0" w:before="0"/>
            </w:pPr>
            <w:r/>
            <w:r>
              <w:rPr>
                <w:b w:val="0"/>
                <w:sz w:val="16"/>
              </w:rPr>
              <w:t>Age is visible and status is downgraded or blocked</w:t>
            </w:r>
          </w:p>
        </w:tc>
      </w:tr>
      <w:tr>
        <w:tc>
          <w:tcPr>
            <w:tcW w:type="dxa" w:w="3312"/>
            <w:vAlign w:val="center"/>
          </w:tcPr>
          <w:p>
            <w:pPr>
              <w:spacing w:after="0" w:before="0"/>
            </w:pPr>
            <w:r/>
            <w:r>
              <w:rPr>
                <w:b w:val="0"/>
                <w:sz w:val="16"/>
              </w:rPr>
              <w:t>API timeout / 403 / 404</w:t>
            </w:r>
          </w:p>
        </w:tc>
        <w:tc>
          <w:tcPr>
            <w:tcW w:type="dxa" w:w="7920"/>
            <w:vAlign w:val="center"/>
          </w:tcPr>
          <w:p>
            <w:pPr>
              <w:spacing w:after="0" w:before="0"/>
            </w:pPr>
            <w:r/>
            <w:r>
              <w:rPr>
                <w:b w:val="0"/>
                <w:sz w:val="16"/>
              </w:rPr>
              <w:t>Core review continues with labeled cache or Not evaluated; no retry storm</w:t>
            </w:r>
          </w:p>
        </w:tc>
      </w:tr>
      <w:tr>
        <w:tc>
          <w:tcPr>
            <w:tcW w:type="dxa" w:w="3312"/>
            <w:vAlign w:val="center"/>
          </w:tcPr>
          <w:p>
            <w:pPr>
              <w:spacing w:after="0" w:before="0"/>
            </w:pPr>
            <w:r/>
            <w:r>
              <w:rPr>
                <w:b w:val="0"/>
                <w:sz w:val="16"/>
              </w:rPr>
              <w:t>Unsupported profile</w:t>
            </w:r>
          </w:p>
        </w:tc>
        <w:tc>
          <w:tcPr>
            <w:tcW w:type="dxa" w:w="7920"/>
            <w:vAlign w:val="center"/>
          </w:tcPr>
          <w:p>
            <w:pPr>
              <w:spacing w:after="0" w:before="0"/>
            </w:pPr>
            <w:r/>
            <w:r>
              <w:rPr>
                <w:b w:val="0"/>
                <w:sz w:val="16"/>
              </w:rPr>
              <w:t>Not evaluated plus expert escalation</w:t>
            </w:r>
          </w:p>
        </w:tc>
      </w:tr>
      <w:tr>
        <w:tc>
          <w:tcPr>
            <w:tcW w:type="dxa" w:w="3312"/>
            <w:vAlign w:val="center"/>
          </w:tcPr>
          <w:p>
            <w:pPr>
              <w:spacing w:after="0" w:before="0"/>
            </w:pPr>
            <w:r/>
            <w:r>
              <w:rPr>
                <w:b w:val="0"/>
                <w:sz w:val="16"/>
              </w:rPr>
              <w:t>Unsupported explanation</w:t>
            </w:r>
          </w:p>
        </w:tc>
        <w:tc>
          <w:tcPr>
            <w:tcW w:type="dxa" w:w="7920"/>
            <w:vAlign w:val="center"/>
          </w:tcPr>
          <w:p>
            <w:pPr>
              <w:spacing w:after="0" w:before="0"/>
            </w:pPr>
            <w:r/>
            <w:r>
              <w:rPr>
                <w:b w:val="0"/>
                <w:sz w:val="16"/>
              </w:rPr>
              <w:t>Generated text is rejected or visibly marked unsupported</w:t>
            </w:r>
          </w:p>
        </w:tc>
      </w:tr>
      <w:tr>
        <w:tc>
          <w:tcPr>
            <w:tcW w:type="dxa" w:w="3312"/>
            <w:vAlign w:val="center"/>
          </w:tcPr>
          <w:p>
            <w:pPr>
              <w:spacing w:after="0" w:before="0"/>
            </w:pPr>
            <w:r/>
            <w:r>
              <w:rPr>
                <w:b w:val="0"/>
                <w:sz w:val="16"/>
              </w:rPr>
              <w:t>Counterfactual</w:t>
            </w:r>
          </w:p>
        </w:tc>
        <w:tc>
          <w:tcPr>
            <w:tcW w:type="dxa" w:w="7920"/>
            <w:vAlign w:val="center"/>
          </w:tcPr>
          <w:p>
            <w:pPr>
              <w:spacing w:after="0" w:before="0"/>
            </w:pPr>
            <w:r/>
            <w:r>
              <w:rPr>
                <w:b w:val="0"/>
                <w:sz w:val="16"/>
              </w:rPr>
              <w:t>Only declared inputs and affected findings change</w:t>
            </w:r>
          </w:p>
        </w:tc>
      </w:tr>
      <w:tr>
        <w:tc>
          <w:tcPr>
            <w:tcW w:type="dxa" w:w="3312"/>
            <w:vAlign w:val="center"/>
          </w:tcPr>
          <w:p>
            <w:pPr>
              <w:spacing w:after="0" w:before="0"/>
            </w:pPr>
            <w:r/>
            <w:r>
              <w:rPr>
                <w:b w:val="0"/>
                <w:sz w:val="16"/>
              </w:rPr>
              <w:t>Determinism</w:t>
            </w:r>
          </w:p>
        </w:tc>
        <w:tc>
          <w:tcPr>
            <w:tcW w:type="dxa" w:w="7920"/>
            <w:vAlign w:val="center"/>
          </w:tcPr>
          <w:p>
            <w:pPr>
              <w:spacing w:after="0" w:before="0"/>
            </w:pPr>
            <w:r/>
            <w:r>
              <w:rPr>
                <w:b w:val="0"/>
                <w:sz w:val="16"/>
              </w:rPr>
              <w:t>Same input and rule version produce same output</w:t>
            </w:r>
          </w:p>
        </w:tc>
      </w:tr>
      <w:tr>
        <w:tc>
          <w:tcPr>
            <w:tcW w:type="dxa" w:w="3312"/>
            <w:vAlign w:val="center"/>
          </w:tcPr>
          <w:p>
            <w:pPr>
              <w:spacing w:after="0" w:before="0"/>
            </w:pPr>
            <w:r/>
            <w:r>
              <w:rPr>
                <w:b w:val="0"/>
                <w:sz w:val="16"/>
              </w:rPr>
              <w:t>Export integrity</w:t>
            </w:r>
          </w:p>
        </w:tc>
        <w:tc>
          <w:tcPr>
            <w:tcW w:type="dxa" w:w="7920"/>
            <w:vAlign w:val="center"/>
          </w:tcPr>
          <w:p>
            <w:pPr>
              <w:spacing w:after="0" w:before="0"/>
            </w:pPr>
            <w:r/>
            <w:r>
              <w:rPr>
                <w:b w:val="0"/>
                <w:sz w:val="16"/>
              </w:rPr>
              <w:t>Every finding has input and source references</w:t>
            </w:r>
          </w:p>
        </w:tc>
      </w:tr>
    </w:tbl>
    <w:p>
      <w:pPr>
        <w:spacing w:after="40"/>
      </w:pPr>
    </w:p>
    <w:p>
      <w:pPr>
        <w:spacing w:after="100" w:line="259" w:lineRule="auto"/>
      </w:pPr>
      <w:r>
        <w:t>The prototype cannot establish regulatory acceptance, operational conjunction-assessment performance, generalization across jurisdictions, real mission safety, or time savings across organizations. Those are future validation questions.</w:t>
      </w:r>
    </w:p>
    <w:p>
      <w:pPr>
        <w:pStyle w:val="Heading1"/>
        <w:keepNext/>
        <w:spacing w:after="100"/>
      </w:pPr>
      <w:r>
        <w:t>10. Synthetic Demonstrations</w:t>
      </w:r>
    </w:p>
    <w:p>
      <w:pPr>
        <w:spacing w:after="100" w:line="259" w:lineRule="auto"/>
      </w:pPr>
      <w:r>
        <w:t>The demonstrations below are intentionally labeled synthetic. They illustrate workflow behavior and are not evidence about a real mission.</w:t>
      </w:r>
    </w:p>
    <w:p>
      <w:pPr>
        <w:pStyle w:val="Heading2"/>
        <w:keepNext/>
        <w:spacing w:after="100"/>
      </w:pPr>
      <w:r>
        <w:t>10.1 Complete passive-deorbit fixture</w:t>
      </w:r>
    </w:p>
    <w:p>
      <w:pPr>
        <w:spacing w:after="100" w:line="259" w:lineRule="auto"/>
      </w:pPr>
      <w:r>
        <w:t>A synthetic 3U profile contains a source-linked orbit, documented area-to-mass assumption, a disposal-lifetime analysis, and a passivation statement. OrbitScore returns Pass under the selected internal profile for the represented checks, with a note that expert review remains required. It does not output APPROVED.</w:t>
      </w:r>
    </w:p>
    <w:p>
      <w:pPr>
        <w:pStyle w:val="Heading2"/>
        <w:keepNext/>
        <w:spacing w:after="100"/>
      </w:pPr>
      <w:r>
        <w:t>10.2 Missing-evidence fixture</w:t>
      </w:r>
    </w:p>
    <w:p>
      <w:pPr>
        <w:spacing w:after="100" w:line="259" w:lineRule="auto"/>
      </w:pPr>
      <w:r>
        <w:t>A synthetic 12U profile includes a disposal lifetime assertion but no analysis source and a conflicting propulsion value in a second document. OrbitScore returns Needs evidence and Conflict. The packet identifies the two sources, prevents averaging, and assigns a reviewer action.</w:t>
      </w:r>
    </w:p>
    <w:p>
      <w:pPr>
        <w:pStyle w:val="Heading2"/>
        <w:keepNext/>
        <w:spacing w:after="100"/>
      </w:pPr>
      <w:r>
        <w:t>10.3 Controlled counterfactual fixture</w:t>
      </w:r>
    </w:p>
    <w:p>
      <w:pPr>
        <w:spacing w:after="100" w:line="259" w:lineRule="auto"/>
      </w:pPr>
      <w:r>
        <w:t>The user attaches a synthetic disposal analysis under an explicitly configured assumption. The before/after comparison changes only the disposal finding and evidence band. It does not recommend a burn, predict a conjunction, or claim that the mission is safe.</w:t>
      </w:r>
    </w:p>
    <w:p>
      <w:pPr>
        <w:pStyle w:val="Heading1"/>
        <w:keepNext/>
        <w:spacing w:after="100"/>
      </w:pPr>
      <w:r>
        <w:t>11. Related Work and Positioning</w:t>
      </w:r>
    </w:p>
    <w:p>
      <w:pPr>
        <w:spacing w:after="100" w:line="259" w:lineRule="auto"/>
      </w:pPr>
      <w:r>
        <w:t>NASA DAS and ORDEM, ESA DRAMA and DISCOS, Space-Track services, and commercial orbital-intelligence products address specialized assessment, environment modeling, reference data, or operational space-domain awareness. OrbitScore should not compete with those systems on sensors, catalog authority, or conjunction operations. Its proposed gap is the earlier evidence handoff: source-linked mission facts, scoped rule fixtures, missing-proof detection, controlled what-if comparison, and a cited internal review packet.</w:t>
      </w:r>
    </w:p>
    <w:p>
      <w:pPr>
        <w:spacing w:after="100" w:line="259" w:lineRule="auto"/>
      </w:pPr>
      <w:r>
        <w:t>Commercial product pages are used here only as product references. They are not scientific evidence for debris growth, regulatory scope, or the validity of the OrbitScore band.</w:t>
      </w:r>
    </w:p>
    <w:p>
      <w:pPr>
        <w:pStyle w:val="Heading1"/>
        <w:keepNext/>
        <w:spacing w:after="100"/>
      </w:pPr>
      <w:r>
        <w:t>12. Limitations and Ethical Boundaries</w:t>
      </w:r>
    </w:p>
    <w:p>
      <w:pPr>
        <w:pStyle w:val="ListBullet"/>
        <w:spacing w:after="40" w:line="252" w:lineRule="auto"/>
      </w:pPr>
      <w:r>
        <w:t>OrbitScore is not an official certification or compliance authority.</w:t>
      </w:r>
    </w:p>
    <w:p>
      <w:pPr>
        <w:pStyle w:val="ListBullet"/>
        <w:spacing w:after="40" w:line="252" w:lineRule="auto"/>
      </w:pPr>
      <w:r>
        <w:t>OrbitScore is not a collision-prediction or operator-facing conjunction-alert system.</w:t>
      </w:r>
    </w:p>
    <w:p>
      <w:pPr>
        <w:pStyle w:val="ListBullet"/>
        <w:spacing w:after="40" w:line="252" w:lineRule="auto"/>
      </w:pPr>
      <w:r>
        <w:t>Public orbital data is contextual only and must carry an epoch, age, source, and usage label.</w:t>
      </w:r>
    </w:p>
    <w:p>
      <w:pPr>
        <w:pStyle w:val="ListBullet"/>
        <w:spacing w:after="40" w:line="252" w:lineRule="auto"/>
      </w:pPr>
      <w:r>
        <w:t>Synthetic data is not mission evidence.</w:t>
      </w:r>
    </w:p>
    <w:p>
      <w:pPr>
        <w:pStyle w:val="ListBullet"/>
        <w:spacing w:after="40" w:line="252" w:lineRule="auto"/>
      </w:pPr>
      <w:r>
        <w:t>A readiness band is not a safety probability or legal status.</w:t>
      </w:r>
    </w:p>
    <w:p>
      <w:pPr>
        <w:pStyle w:val="ListBullet"/>
        <w:spacing w:after="40" w:line="252" w:lineRule="auto"/>
      </w:pPr>
      <w:r>
        <w:t>Counterfactuals are controlled comparisons, not causal guarantees or flight commands.</w:t>
      </w:r>
    </w:p>
    <w:p>
      <w:pPr>
        <w:pStyle w:val="ListBullet"/>
        <w:spacing w:after="40" w:line="252" w:lineRule="auto"/>
      </w:pPr>
      <w:r>
        <w:t>The product cannot resolve conflicting standards without a qualified human reviewer.</w:t>
      </w:r>
    </w:p>
    <w:p>
      <w:pPr>
        <w:pStyle w:val="Heading1"/>
        <w:keepNext/>
        <w:spacing w:after="100"/>
      </w:pPr>
      <w:r>
        <w:t>13. Hackathon Implementation Blueprint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shd w:fill="1F4E79"/>
          </w:tcPr>
          <w:p>
            <w:pPr>
              <w:spacing w:after="0" w:before="0"/>
            </w:pPr>
            <w:r/>
            <w:r>
              <w:rPr>
                <w:b/>
                <w:color w:val="FFFFFF"/>
                <w:sz w:val="17"/>
              </w:rPr>
              <w:t>Build area</w:t>
            </w:r>
          </w:p>
        </w:tc>
        <w:tc>
          <w:tcPr>
            <w:tcW w:type="dxa" w:w="4608"/>
            <w:vAlign w:val="center"/>
            <w:shd w:fill="1F4E79"/>
          </w:tcPr>
          <w:p>
            <w:pPr>
              <w:spacing w:after="0" w:before="0"/>
            </w:pPr>
            <w:r/>
            <w:r>
              <w:rPr>
                <w:b/>
                <w:color w:val="FFFFFF"/>
                <w:sz w:val="17"/>
              </w:rPr>
              <w:t>24-hour deliverable</w:t>
            </w:r>
          </w:p>
        </w:tc>
        <w:tc>
          <w:tcPr>
            <w:tcW w:type="dxa" w:w="4608"/>
            <w:vAlign w:val="center"/>
            <w:shd w:fill="1F4E79"/>
          </w:tcPr>
          <w:p>
            <w:pPr>
              <w:spacing w:after="0" w:before="0"/>
            </w:pPr>
            <w:r/>
            <w:r>
              <w:rPr>
                <w:b/>
                <w:color w:val="FFFFFF"/>
                <w:sz w:val="17"/>
              </w:rPr>
              <w:t>Deferred work</w:t>
            </w:r>
          </w:p>
        </w:tc>
      </w:tr>
      <w:tr>
        <w:tc>
          <w:tcPr>
            <w:tcW w:type="dxa" w:w="2016"/>
            <w:vAlign w:val="center"/>
          </w:tcPr>
          <w:p>
            <w:pPr>
              <w:spacing w:after="0" w:before="0"/>
            </w:pPr>
            <w:r/>
            <w:r>
              <w:rPr>
                <w:b w:val="0"/>
                <w:sz w:val="16"/>
              </w:rPr>
              <w:t>Intake</w:t>
            </w:r>
          </w:p>
        </w:tc>
        <w:tc>
          <w:tcPr>
            <w:tcW w:type="dxa" w:w="4608"/>
            <w:vAlign w:val="center"/>
          </w:tcPr>
          <w:p>
            <w:pPr>
              <w:spacing w:after="0" w:before="0"/>
            </w:pPr>
            <w:r/>
            <w:r>
              <w:rPr>
                <w:b w:val="0"/>
                <w:sz w:val="16"/>
              </w:rPr>
              <w:t>Structured form with provenance and synthetic PDF</w:t>
            </w:r>
          </w:p>
        </w:tc>
        <w:tc>
          <w:tcPr>
            <w:tcW w:type="dxa" w:w="4608"/>
            <w:vAlign w:val="center"/>
          </w:tcPr>
          <w:p>
            <w:pPr>
              <w:spacing w:after="0" w:before="0"/>
            </w:pPr>
            <w:r/>
            <w:r>
              <w:rPr>
                <w:b w:val="0"/>
                <w:sz w:val="16"/>
              </w:rPr>
              <w:t>Secure enterprise connectors</w:t>
            </w:r>
          </w:p>
        </w:tc>
      </w:tr>
      <w:tr>
        <w:tc>
          <w:tcPr>
            <w:tcW w:type="dxa" w:w="2016"/>
            <w:vAlign w:val="center"/>
          </w:tcPr>
          <w:p>
            <w:pPr>
              <w:spacing w:after="0" w:before="0"/>
            </w:pPr>
            <w:r/>
            <w:r>
              <w:rPr>
                <w:b w:val="0"/>
                <w:sz w:val="16"/>
              </w:rPr>
              <w:t>Rules</w:t>
            </w:r>
          </w:p>
        </w:tc>
        <w:tc>
          <w:tcPr>
            <w:tcW w:type="dxa" w:w="4608"/>
            <w:vAlign w:val="center"/>
          </w:tcPr>
          <w:p>
            <w:pPr>
              <w:spacing w:after="0" w:before="0"/>
            </w:pPr>
            <w:r/>
            <w:r>
              <w:rPr>
                <w:b w:val="0"/>
                <w:sz w:val="16"/>
              </w:rPr>
              <w:t>6–10 deterministic checks across two or three clearly labeled profiles</w:t>
            </w:r>
          </w:p>
        </w:tc>
        <w:tc>
          <w:tcPr>
            <w:tcW w:type="dxa" w:w="4608"/>
            <w:vAlign w:val="center"/>
          </w:tcPr>
          <w:p>
            <w:pPr>
              <w:spacing w:after="0" w:before="0"/>
            </w:pPr>
            <w:r/>
            <w:r>
              <w:rPr>
                <w:b w:val="0"/>
                <w:sz w:val="16"/>
              </w:rPr>
              <w:t>Full jurisdiction library</w:t>
            </w:r>
          </w:p>
        </w:tc>
      </w:tr>
      <w:tr>
        <w:tc>
          <w:tcPr>
            <w:tcW w:type="dxa" w:w="2016"/>
            <w:vAlign w:val="center"/>
          </w:tcPr>
          <w:p>
            <w:pPr>
              <w:spacing w:after="0" w:before="0"/>
            </w:pPr>
            <w:r/>
            <w:r>
              <w:rPr>
                <w:b w:val="0"/>
                <w:sz w:val="16"/>
              </w:rPr>
              <w:t>Review</w:t>
            </w:r>
          </w:p>
        </w:tc>
        <w:tc>
          <w:tcPr>
            <w:tcW w:type="dxa" w:w="4608"/>
            <w:vAlign w:val="center"/>
          </w:tcPr>
          <w:p>
            <w:pPr>
              <w:spacing w:after="0" w:before="0"/>
            </w:pPr>
            <w:r/>
            <w:r>
              <w:rPr>
                <w:b w:val="0"/>
                <w:sz w:val="16"/>
              </w:rPr>
              <w:t>Pass / Warning / Needs evidence / Conflict / Not evaluated</w:t>
            </w:r>
          </w:p>
        </w:tc>
        <w:tc>
          <w:tcPr>
            <w:tcW w:type="dxa" w:w="4608"/>
            <w:vAlign w:val="center"/>
          </w:tcPr>
          <w:p>
            <w:pPr>
              <w:spacing w:after="0" w:before="0"/>
            </w:pPr>
            <w:r/>
            <w:r>
              <w:rPr>
                <w:b w:val="0"/>
                <w:sz w:val="16"/>
              </w:rPr>
              <w:t>Operational approval workflow</w:t>
            </w:r>
          </w:p>
        </w:tc>
      </w:tr>
      <w:tr>
        <w:tc>
          <w:tcPr>
            <w:tcW w:type="dxa" w:w="2016"/>
            <w:vAlign w:val="center"/>
          </w:tcPr>
          <w:p>
            <w:pPr>
              <w:spacing w:after="0" w:before="0"/>
            </w:pPr>
            <w:r/>
            <w:r>
              <w:rPr>
                <w:b w:val="0"/>
                <w:sz w:val="16"/>
              </w:rPr>
              <w:t>Counterfactual</w:t>
            </w:r>
          </w:p>
        </w:tc>
        <w:tc>
          <w:tcPr>
            <w:tcW w:type="dxa" w:w="4608"/>
            <w:vAlign w:val="center"/>
          </w:tcPr>
          <w:p>
            <w:pPr>
              <w:spacing w:after="0" w:before="0"/>
            </w:pPr>
            <w:r/>
            <w:r>
              <w:rPr>
                <w:b w:val="0"/>
                <w:sz w:val="16"/>
              </w:rPr>
              <w:t>One controlled before/after variable</w:t>
            </w:r>
          </w:p>
        </w:tc>
        <w:tc>
          <w:tcPr>
            <w:tcW w:type="dxa" w:w="4608"/>
            <w:vAlign w:val="center"/>
          </w:tcPr>
          <w:p>
            <w:pPr>
              <w:spacing w:after="0" w:before="0"/>
            </w:pPr>
            <w:r/>
            <w:r>
              <w:rPr>
                <w:b w:val="0"/>
                <w:sz w:val="16"/>
              </w:rPr>
              <w:t>Multi-variable optimization</w:t>
            </w:r>
          </w:p>
        </w:tc>
      </w:tr>
      <w:tr>
        <w:tc>
          <w:tcPr>
            <w:tcW w:type="dxa" w:w="2016"/>
            <w:vAlign w:val="center"/>
          </w:tcPr>
          <w:p>
            <w:pPr>
              <w:spacing w:after="0" w:before="0"/>
            </w:pPr>
            <w:r/>
            <w:r>
              <w:rPr>
                <w:b w:val="0"/>
                <w:sz w:val="16"/>
              </w:rPr>
              <w:t>Packet</w:t>
            </w:r>
          </w:p>
        </w:tc>
        <w:tc>
          <w:tcPr>
            <w:tcW w:type="dxa" w:w="4608"/>
            <w:vAlign w:val="center"/>
          </w:tcPr>
          <w:p>
            <w:pPr>
              <w:spacing w:after="0" w:before="0"/>
            </w:pPr>
            <w:r/>
            <w:r>
              <w:rPr>
                <w:b w:val="0"/>
                <w:sz w:val="16"/>
              </w:rPr>
              <w:t>Cited Markdown/HTML export</w:t>
            </w:r>
          </w:p>
        </w:tc>
        <w:tc>
          <w:tcPr>
            <w:tcW w:type="dxa" w:w="4608"/>
            <w:vAlign w:val="center"/>
          </w:tcPr>
          <w:p>
            <w:pPr>
              <w:spacing w:after="0" w:before="0"/>
            </w:pPr>
            <w:r/>
            <w:r>
              <w:rPr>
                <w:b w:val="0"/>
                <w:sz w:val="16"/>
              </w:rPr>
              <w:t>Regulatory filing formats</w:t>
            </w:r>
          </w:p>
        </w:tc>
      </w:tr>
      <w:tr>
        <w:tc>
          <w:tcPr>
            <w:tcW w:type="dxa" w:w="2016"/>
            <w:vAlign w:val="center"/>
          </w:tcPr>
          <w:p>
            <w:pPr>
              <w:spacing w:after="0" w:before="0"/>
            </w:pPr>
            <w:r/>
            <w:r>
              <w:rPr>
                <w:b w:val="0"/>
                <w:sz w:val="16"/>
              </w:rPr>
              <w:t>AI</w:t>
            </w:r>
          </w:p>
        </w:tc>
        <w:tc>
          <w:tcPr>
            <w:tcW w:type="dxa" w:w="4608"/>
            <w:vAlign w:val="center"/>
          </w:tcPr>
          <w:p>
            <w:pPr>
              <w:spacing w:after="0" w:before="0"/>
            </w:pPr>
            <w:r/>
            <w:r>
              <w:rPr>
                <w:b w:val="0"/>
                <w:sz w:val="16"/>
              </w:rPr>
              <w:t>Optional grounded extraction and explanation</w:t>
            </w:r>
          </w:p>
        </w:tc>
        <w:tc>
          <w:tcPr>
            <w:tcW w:type="dxa" w:w="4608"/>
            <w:vAlign w:val="center"/>
          </w:tcPr>
          <w:p>
            <w:pPr>
              <w:spacing w:after="0" w:before="0"/>
            </w:pPr>
            <w:r/>
            <w:r>
              <w:rPr>
                <w:b w:val="0"/>
                <w:sz w:val="16"/>
              </w:rPr>
              <w:t>Model training and calibration study</w:t>
            </w:r>
          </w:p>
        </w:tc>
      </w:tr>
      <w:tr>
        <w:tc>
          <w:tcPr>
            <w:tcW w:type="dxa" w:w="2016"/>
            <w:vAlign w:val="center"/>
          </w:tcPr>
          <w:p>
            <w:pPr>
              <w:spacing w:after="0" w:before="0"/>
            </w:pPr>
            <w:r/>
            <w:r>
              <w:rPr>
                <w:b w:val="0"/>
                <w:sz w:val="16"/>
              </w:rPr>
              <w:t>Data</w:t>
            </w:r>
          </w:p>
        </w:tc>
        <w:tc>
          <w:tcPr>
            <w:tcW w:type="dxa" w:w="4608"/>
            <w:vAlign w:val="center"/>
          </w:tcPr>
          <w:p>
            <w:pPr>
              <w:spacing w:after="0" w:before="0"/>
            </w:pPr>
            <w:r/>
            <w:r>
              <w:rPr>
                <w:b w:val="0"/>
                <w:sz w:val="16"/>
              </w:rPr>
              <w:t>Synthetic fixtures plus official public documents</w:t>
            </w:r>
          </w:p>
        </w:tc>
        <w:tc>
          <w:tcPr>
            <w:tcW w:type="dxa" w:w="4608"/>
            <w:vAlign w:val="center"/>
          </w:tcPr>
          <w:p>
            <w:pPr>
              <w:spacing w:after="0" w:before="0"/>
            </w:pPr>
            <w:r/>
            <w:r>
              <w:rPr>
                <w:b w:val="0"/>
                <w:sz w:val="16"/>
              </w:rPr>
              <w:t>Live orbital-feed dependency</w:t>
            </w:r>
          </w:p>
        </w:tc>
      </w:tr>
    </w:tbl>
    <w:p>
      <w:pPr>
        <w:spacing w:after="40"/>
      </w:pPr>
    </w:p>
    <w:p>
      <w:pPr>
        <w:spacing w:after="100" w:line="259" w:lineRule="auto"/>
      </w:pPr>
      <w:r>
        <w:t>The strongest demo moment is simple: a mission begins with a missing disposal proof. OrbitScore refuses to pass it, shows the exact source-linked gap, lets the user attach evidence or change the scoped assumption, recomputes the finding, and exports the trace. Judges can inspect the input, rule, source, limitation, and reviewer action in one flow.</w:t>
      </w:r>
    </w:p>
    <w:p>
      <w:pPr>
        <w:pStyle w:val="Heading1"/>
        <w:keepNext/>
        <w:spacing w:after="100"/>
      </w:pPr>
      <w:r>
        <w:t>14. Conclusion</w:t>
      </w:r>
    </w:p>
    <w:p>
      <w:pPr>
        <w:spacing w:after="100" w:line="259" w:lineRule="auto"/>
      </w:pPr>
      <w:r>
        <w:t>The defensible contribution is not an autonomous compliance engine or a new collision-probability model. It is a source-linked evidence-readiness workflow that keeps deterministic rules, document assistance, uncertainty, provenance, and human review separate. The corrected prototype can be technically credible if it uses scoped profiles, labeled synthetic fixtures, conservative statuses, reproducible tests, and explicit limitations.</w:t>
      </w:r>
    </w:p>
    <w:p>
      <w:pPr>
        <w:spacing w:after="100" w:line="259" w:lineRule="auto"/>
      </w:pPr>
      <w:r>
        <w:t>Future work may integrate formal agency tools or authorized operational services, but only after data rights, model validity, mission-specific engineering review, and the applicable regulatory context are established. Until then, OrbitScore should remain a pre-review assistant that improves the quality of expert handoff rather than replacing it.</w:t>
      </w:r>
    </w:p>
    <w:p>
      <w:pPr>
        <w:pStyle w:val="Heading1"/>
        <w:keepNext/>
        <w:spacing w:after="100"/>
      </w:pPr>
      <w:r>
        <w:t>References</w:t>
      </w:r>
    </w:p>
    <w:p>
      <w:pPr>
        <w:spacing w:after="60" w:line="240" w:lineRule="auto"/>
        <w:ind w:left="259" w:hanging="259"/>
      </w:pPr>
      <w:r>
        <w:t>[1] Kessler, D. J., &amp; Cour-Palais, B. G. (1978). Collision Frequency of Artificial Satellites: The Creation of a Debris Belt. Journal of Geophysical Research. https://doi.org/10.1029/JA083iA06p02637</w:t>
      </w:r>
    </w:p>
    <w:p>
      <w:pPr>
        <w:spacing w:after="60" w:line="240" w:lineRule="auto"/>
        <w:ind w:left="259" w:hanging="259"/>
      </w:pPr>
      <w:r>
        <w:t>[2] Kessler, D. J. (1991). Collisional Cascading: The Limits of Population Growth in Low Earth Orbit. Advances in Space Research. https://doi.org/10.1016/0273-1177(91)90543-S</w:t>
      </w:r>
    </w:p>
    <w:p>
      <w:pPr>
        <w:spacing w:after="60" w:line="240" w:lineRule="auto"/>
        <w:ind w:left="259" w:hanging="259"/>
      </w:pPr>
      <w:r>
        <w:t>[3] Liou, J.-C., &amp; Johnson, N. L. (2006). Risks in Space from Orbiting Debris. Science. https://doi.org/10.1126/science.1123785</w:t>
      </w:r>
    </w:p>
    <w:p>
      <w:pPr>
        <w:spacing w:after="60" w:line="240" w:lineRule="auto"/>
        <w:ind w:left="259" w:hanging="259"/>
      </w:pPr>
      <w:r>
        <w:t>[4] NASA. NASA-STD-8719.14C, Process for Limiting Orbital Debris. Official PDF. https://www.nasa.gov/wp-content/uploads/2018/01/process_for_limiting_orbital_debris.pdf</w:t>
      </w:r>
    </w:p>
    <w:p>
      <w:pPr>
        <w:spacing w:after="60" w:line="240" w:lineRule="auto"/>
        <w:ind w:left="259" w:hanging="259"/>
      </w:pPr>
      <w:r>
        <w:t>[5] Federal Communications Commission. FCC 22-74, Mitigation of Orbital Debris in the New Space Age, Second Report and Order (2022). https://docs.fcc.gov/public/attachments/FCC-22-74A1.pdf</w:t>
      </w:r>
    </w:p>
    <w:p>
      <w:pPr>
        <w:spacing w:after="60" w:line="240" w:lineRule="auto"/>
        <w:ind w:left="259" w:hanging="259"/>
      </w:pPr>
      <w:r>
        <w:t>[6] ISRO. India’s Intent on Debris-Free Space Missions — Explained (19 April 2024). https://www.isro.gov.in/Debris_Free_Space_Missions.html</w:t>
      </w:r>
    </w:p>
    <w:p>
      <w:pPr>
        <w:spacing w:after="60" w:line="240" w:lineRule="auto"/>
        <w:ind w:left="259" w:hanging="259"/>
      </w:pPr>
      <w:r>
        <w:t>[7] Wachter, S., Mittelstadt, B., &amp; Russell, C. (2018). Counterfactual Explanations without Opening the Black Box. Harvard Journal of Law &amp; Technology. https://jolt.law.harvard.edu/assets/articlePDFs/v31/Counterfactual-Explanations-without-Opening-the-Black-Box-Sandra-Wachter-et-al.pdf</w:t>
      </w:r>
    </w:p>
    <w:p>
      <w:pPr>
        <w:spacing w:after="60" w:line="240" w:lineRule="auto"/>
        <w:ind w:left="259" w:hanging="259"/>
      </w:pPr>
      <w:r>
        <w:t>[8] Buneman, P., Khanna, S., &amp; Tan, W.-C. (2001). Why and Where: A Characterization of Data Provenance. ICDT. https://doi.org/10.1007/3-540-44503-X_20</w:t>
      </w:r>
    </w:p>
    <w:p>
      <w:pPr>
        <w:spacing w:after="60" w:line="240" w:lineRule="auto"/>
        <w:ind w:left="259" w:hanging="259"/>
      </w:pPr>
      <w:r>
        <w:t>[9] Guo, C., Pleiss, G., Sun, Y., &amp; Weinberger, K. Q. (2017). On Calibration of Modern Neural Networks. ICML. https://proceedings.mlr.press/v70/guo17a.html</w:t>
      </w:r>
    </w:p>
    <w:p>
      <w:pPr>
        <w:spacing w:after="60" w:line="240" w:lineRule="auto"/>
        <w:ind w:left="259" w:hanging="259"/>
      </w:pPr>
      <w:r>
        <w:t>[10] Ovadia, Y. et al. (2019). Can You Trust Your Model’s Uncertainty? NeurIPS. https://papers.nips.cc/paper/9547-can-you-trust-your-models-uncertainty</w:t>
      </w:r>
    </w:p>
    <w:p>
      <w:pPr>
        <w:spacing w:after="60" w:line="240" w:lineRule="auto"/>
        <w:ind w:left="259" w:hanging="259"/>
      </w:pPr>
      <w:r>
        <w:t>[11] ESA. DISCOSweb official database description and access conditions. https://discosweb.esoc.esa.int/</w:t>
      </w:r>
    </w:p>
    <w:p>
      <w:pPr>
        <w:spacing w:after="60" w:line="240" w:lineRule="auto"/>
        <w:ind w:left="259" w:hanging="259"/>
      </w:pPr>
      <w:r>
        <w:t>[12] Kelso, T. S. CelesTrak GP Data Formats and OMM Documentation. https://celestrak.org/NORAD/documentation/gp-data-formats.php</w:t>
      </w:r>
    </w:p>
    <w:p>
      <w:pPr>
        <w:spacing w:after="60" w:line="240" w:lineRule="auto"/>
        <w:ind w:left="259" w:hanging="259"/>
      </w:pPr>
      <w:r>
        <w:t>[13] NASA. Debris Assessment Software. https://orbitaldebris.jsc.nasa.gov/mitigation/debris-assessment-software.html</w:t>
      </w:r>
    </w:p>
    <w:p>
      <w:pPr>
        <w:spacing w:after="60" w:line="240" w:lineRule="auto"/>
        <w:ind w:left="259" w:hanging="259"/>
      </w:pPr>
      <w:r>
        <w:t>[14] NASA. ORDEM 3.2 Orbital Debris Engineering Model. https://orbitaldebris.jsc.nasa.gov/modeling/ordem.html</w:t>
      </w:r>
    </w:p>
    <w:p>
      <w:pPr>
        <w:spacing w:after="60" w:line="240" w:lineRule="auto"/>
        <w:ind w:left="259" w:hanging="259"/>
      </w:pPr>
      <w:r>
        <w:t>[15] Amershi, S. et al. (2019). Guidelines for Human-AI Interaction. CHI. https://doi.org/10.1145/3290605.3300233</w:t>
      </w:r>
    </w:p>
    <w:p>
      <w:pPr>
        <w:spacing w:after="60" w:line="240" w:lineRule="auto"/>
        <w:ind w:left="259" w:hanging="259"/>
      </w:pPr>
      <w:r>
        <w:t>[16] Parasuraman, R., Sheridan, T. B., &amp; Wickens, C. D. (2000). A Model for Types and Levels of Human Interaction with Automation. IEEE. https://doi.org/10.1109/3477.844354</w:t>
      </w:r>
    </w:p>
    <w:p>
      <w:pPr>
        <w:spacing w:after="60" w:line="240" w:lineRule="auto"/>
        <w:ind w:left="259" w:hanging="259"/>
      </w:pPr>
      <w:r>
        <w:t>[17] Wang, H. et al. (2024). DocLLM: A Layout-Aware Generative Language Model for Multimodal Document Understanding. ACL. https://aclanthology.org/2024.acl-long.463/</w:t>
      </w:r>
    </w:p>
    <w:p>
      <w:pPr>
        <w:spacing w:after="60" w:line="240" w:lineRule="auto"/>
        <w:ind w:left="259" w:hanging="259"/>
      </w:pPr>
      <w:r>
        <w:t>[18] NIST. Artificial Intelligence Risk Management Framework 1.0, NIST AI 100-1 (2023). https://www.nist.gov/itl/ai-risk-management-framework</w:t>
      </w:r>
    </w:p>
    <w:p>
      <w:pPr>
        <w:spacing w:after="60" w:line="240" w:lineRule="auto"/>
        <w:ind w:left="259" w:hanging="259"/>
      </w:pPr>
      <w:r>
        <w:t>[19] IADC. IADC Space Debris Mitigation Guidelines, exact revision to be selected and recorded in the profile. https://www.iadc-home.org/documents_public/file_down/id/5836</w:t>
      </w:r>
    </w:p>
    <w:p>
      <w:pPr>
        <w:spacing w:after="60" w:line="240" w:lineRule="auto"/>
        <w:ind w:left="259" w:hanging="259"/>
      </w:pPr>
      <w:r>
        <w:t>[20] UNOOSA. Space Debris Mitigation Guidelines of the UN COPUOS. https://www.unoosa.org/pdf/publications/st_space_49E.pdf</w:t>
      </w:r>
    </w:p>
    <w:p>
      <w:pPr>
        <w:spacing w:after="60" w:line="240" w:lineRule="auto"/>
        <w:ind w:left="259" w:hanging="259"/>
      </w:pPr>
      <w:r>
        <w:t>[21] ESA. ESA Space Debris Mitigation Requirements, ESSB-ST-U-007, Issue 1 (2023). https://technology.esa.int/upload/media/ESA-Space-Debris-Mitigation-Requirements-ESSB-ST-U-007-Issue1.pdf</w:t>
      </w:r>
    </w:p>
    <w:p>
      <w:pPr>
        <w:spacing w:after="60" w:line="240" w:lineRule="auto"/>
        <w:ind w:left="259" w:hanging="259"/>
      </w:pPr>
      <w:r>
        <w:t>[22] ISO. ISO 24113:2023, Space systems — Space debris mitigation requirements, official scope page. https://www.iso.org/standard/83494.html</w:t>
      </w:r>
    </w:p>
    <w:p>
      <w:pPr>
        <w:spacing w:after="60" w:line="240" w:lineRule="auto"/>
        <w:ind w:left="259" w:hanging="259"/>
      </w:pPr>
      <w:r>
        <w:t>[23] Hackyard. Build 2026 official overview and participant guide. https://hackyard.org/build2026 and https://hackyard.org/build2026/guide</w:t>
      </w:r>
    </w:p>
    <w:p>
      <w:pPr>
        <w:spacing w:after="60" w:line="240" w:lineRule="auto"/>
        <w:ind w:left="259" w:hanging="259"/>
      </w:pPr>
      <w:r>
        <w:t>[24] LeoLabs. Orbital intelligence and space traffic management product reference. https://leolabs.space/</w:t>
      </w:r>
    </w:p>
    <w:p>
      <w:pPr>
        <w:spacing w:after="60" w:line="240" w:lineRule="auto"/>
        <w:ind w:left="259" w:hanging="259"/>
      </w:pPr>
      <w:r>
        <w:t>[25] Slingshot Aerospace. Beacon collision-avoidance collaboration product reference. https://www.slingshot.space/news/beacon-first-collision-avoidance-collaboration-platform</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TwinForge · Hackyard Build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OrbitScore · Corrected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OrbitScore: A Source-Linked Pre-Review Copilot for Spacecraft Debris-Mitigation Evidence</dc:title>
  <dc:subject>Corrected research paper for Hackyard Build 2026</dc:subject>
  <dc:creator>Team TwinForge</dc:creator>
  <cp:keywords>orbital debris, evidence traceability, mission review, human-in-the-loop</cp:keywords>
  <dc:description>Corrected edition with scoped policy profiles and explicit safety boundaries.</dc:description>
  <cp:lastModifiedBy/>
  <cp:revision>1</cp:revision>
  <dcterms:created xsi:type="dcterms:W3CDTF">2013-12-23T23:15:00Z</dcterms:created>
  <dcterms:modified xsi:type="dcterms:W3CDTF">2013-12-23T23:15:00Z</dcterms:modified>
  <cp:category/>
</cp:coreProperties>
</file>