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color w:val="1A56DB"/>
          <w:sz w:val="56"/>
        </w:rPr>
        <w:t>Test Plan — VWO-48</w:t>
      </w:r>
    </w:p>
    <w:p>
      <w:pPr>
        <w:jc w:val="center"/>
      </w:pPr>
      <w:r>
        <w:rPr>
          <w:color w:val="666666"/>
          <w:sz w:val="24"/>
        </w:rPr>
        <w:t>Generated by AI Test Plan Agent (with Memory)</w:t>
        <w:br/>
        <w:t>April 04, 2026</w:t>
      </w:r>
    </w:p>
    <w:p>
      <w:pPr>
        <w:jc w:val="center"/>
      </w:pPr>
      <w:r>
        <w:rPr>
          <w:b/>
          <w:color w:val="8B5CF6"/>
          <w:sz w:val="20"/>
        </w:rPr>
        <w:t>🧠 Memory-Enhanced: Short-Term + Long-Term + Entity</w:t>
      </w:r>
    </w:p>
    <w:p/>
    <w:p>
      <w:r>
        <w:t>────────────────────────────────────────────────────────────</w:t>
      </w:r>
    </w:p>
    <w:p/>
    <w:p>
      <w:pPr>
        <w:pStyle w:val="Heading1"/>
      </w:pPr>
      <w:r>
        <w:rPr>
          <w:color w:val="0D3B8F"/>
        </w:rPr>
        <w:t>TEST PLAN TEMPLATE — Follow this structure exactly:</w:t>
      </w:r>
    </w:p>
    <w:p>
      <w:pPr>
        <w:pStyle w:val="Heading2"/>
      </w:pPr>
      <w:r>
        <w:rPr>
          <w:color w:val="1A56DB"/>
        </w:rPr>
        <w:t>1. TEST PLAN OVERVIEW</w:t>
      </w:r>
    </w:p>
    <w:p>
      <w:pPr>
        <w:pStyle w:val="ListBullet"/>
      </w:pPr>
      <w:r/>
      <w:r>
        <w:rPr>
          <w:b/>
        </w:rPr>
        <w:t>Test Plan ID</w:t>
      </w:r>
      <w:r>
        <w:t>: TP‑VWO‑48</w:t>
      </w:r>
    </w:p>
    <w:p>
      <w:pPr>
        <w:pStyle w:val="ListBullet"/>
      </w:pPr>
      <w:r/>
      <w:r>
        <w:rPr>
          <w:b/>
        </w:rPr>
        <w:t>Project Name</w:t>
      </w:r>
      <w:r>
        <w:t>: Web Store (e‑commerce)</w:t>
      </w:r>
    </w:p>
    <w:p>
      <w:pPr>
        <w:pStyle w:val="ListBullet"/>
      </w:pPr>
      <w:r/>
      <w:r>
        <w:rPr>
          <w:b/>
        </w:rPr>
        <w:t>Feature/Module</w:t>
      </w:r>
      <w:r>
        <w:t>: Discount Code Application – “SAVE20”</w:t>
      </w:r>
    </w:p>
    <w:p>
      <w:pPr>
        <w:pStyle w:val="ListBullet"/>
      </w:pPr>
      <w:r/>
      <w:r>
        <w:rPr>
          <w:b/>
        </w:rPr>
        <w:t>Prepared By</w:t>
      </w:r>
      <w:r>
        <w:t>: AI Test Plan Agent</w:t>
      </w:r>
    </w:p>
    <w:p>
      <w:pPr>
        <w:pStyle w:val="ListBullet"/>
      </w:pPr>
      <w:r/>
      <w:r>
        <w:rPr>
          <w:b/>
        </w:rPr>
        <w:t>Date</w:t>
      </w:r>
      <w:r>
        <w:t>: April 04, 2026</w:t>
      </w:r>
    </w:p>
    <w:p>
      <w:pPr>
        <w:pStyle w:val="ListBullet"/>
      </w:pPr>
      <w:r/>
      <w:r>
        <w:rPr>
          <w:b/>
        </w:rPr>
        <w:t>Version</w:t>
      </w:r>
      <w:r>
        <w:t>: 1.0</w:t>
      </w:r>
    </w:p>
    <w:p>
      <w:pPr>
        <w:pStyle w:val="Heading2"/>
      </w:pPr>
      <w:r>
        <w:rPr>
          <w:color w:val="1A56DB"/>
        </w:rPr>
        <w:t>2. OBJECTIVE</w:t>
      </w:r>
    </w:p>
    <w:p>
      <w:r>
        <w:t xml:space="preserve">Validate that the </w:t>
      </w:r>
      <w:r>
        <w:rPr>
          <w:b/>
        </w:rPr>
        <w:t>SAVE20</w:t>
      </w:r>
      <w:r>
        <w:t xml:space="preserve"> discount code correctly applies a 20 % discount to the cart total for any cart size, that the UI displays the original subtotal, discount amount, and final total accurately, and that no regression or performance issues are introduced after the v2.4.1 release.</w:t>
      </w:r>
    </w:p>
    <w:p>
      <w:pPr>
        <w:pStyle w:val="Heading2"/>
      </w:pPr>
      <w:r>
        <w:rPr>
          <w:color w:val="1A56DB"/>
        </w:rPr>
        <w:t>3. SCOPE</w:t>
      </w:r>
    </w:p>
    <w:p>
      <w:pPr>
        <w:pStyle w:val="Heading4"/>
      </w:pPr>
      <w:r>
        <w:t>3.1 In Scope</w:t>
      </w:r>
    </w:p>
    <w:p>
      <w:pPr>
        <w:pStyle w:val="ListBullet"/>
      </w:pPr>
      <w:r>
        <w:t xml:space="preserve">Application of the </w:t>
      </w:r>
      <w:r>
        <w:rPr>
          <w:b/>
        </w:rPr>
        <w:t>SAVE20</w:t>
      </w:r>
      <w:r>
        <w:t xml:space="preserve"> discount code.</w:t>
      </w:r>
    </w:p>
    <w:p>
      <w:pPr>
        <w:pStyle w:val="ListBullet"/>
      </w:pPr>
      <w:r>
        <w:t>Client‑side calculation and rendering of subtotal, discount amount, and final total.</w:t>
      </w:r>
    </w:p>
    <w:p>
      <w:pPr>
        <w:pStyle w:val="ListBullet"/>
      </w:pPr>
      <w:r>
        <w:t>Validation of discount code (including invalid/expired cases).</w:t>
      </w:r>
    </w:p>
    <w:p>
      <w:pPr>
        <w:pStyle w:val="ListBullet"/>
      </w:pPr>
      <w:r>
        <w:t>Removal of an applied discount code.</w:t>
      </w:r>
    </w:p>
    <w:p>
      <w:pPr>
        <w:pStyle w:val="ListBullet"/>
      </w:pPr>
      <w:r>
        <w:t>Performance of the discount‑application flow (≤ 200 ms).</w:t>
      </w:r>
    </w:p>
    <w:p>
      <w:pPr>
        <w:pStyle w:val="ListBullet"/>
      </w:pPr>
      <w:r>
        <w:t>UI layout and currency formatting on desktop, tablet, and mobile viewports.</w:t>
      </w:r>
    </w:p>
    <w:p>
      <w:pPr>
        <w:pStyle w:val="ListBullet"/>
      </w:pPr>
      <w:r>
        <w:t>Cross‑browser verification (Chrome 120, Firefox latest, Edge latest, Safari latest).</w:t>
      </w:r>
    </w:p>
    <w:p>
      <w:pPr>
        <w:pStyle w:val="Heading4"/>
      </w:pPr>
      <w:r>
        <w:t>3.2 Out of Scope</w:t>
      </w:r>
    </w:p>
    <w:p>
      <w:pPr>
        <w:pStyle w:val="ListBullet"/>
      </w:pPr>
      <w:r>
        <w:t>Backend discount‑service implementation (assumed stable).</w:t>
      </w:r>
    </w:p>
    <w:p>
      <w:pPr>
        <w:pStyle w:val="ListBullet"/>
      </w:pPr>
      <w:r>
        <w:t>Third‑party payment gateway integration.</w:t>
      </w:r>
    </w:p>
    <w:p>
      <w:pPr>
        <w:pStyle w:val="ListBullet"/>
      </w:pPr>
      <w:r>
        <w:t>Shipping cost calculation and taxes (outside the discount‑total scope).</w:t>
      </w:r>
    </w:p>
    <w:p>
      <w:pPr>
        <w:pStyle w:val="ListBullet"/>
      </w:pPr>
      <w:r>
        <w:t>Localization beyond US‑English currency formatting.</w:t>
      </w:r>
    </w:p>
    <w:p>
      <w:pPr>
        <w:pStyle w:val="Heading2"/>
      </w:pPr>
      <w:r>
        <w:rPr>
          <w:color w:val="1A56DB"/>
        </w:rPr>
        <w:t>4. TEST STRATEGY</w:t>
      </w:r>
    </w:p>
    <w:p>
      <w:pPr>
        <w:pStyle w:val="ListBullet"/>
      </w:pPr>
      <w:r/>
      <w:r>
        <w:rPr>
          <w:b/>
        </w:rPr>
        <w:t>Testing Types</w:t>
      </w:r>
      <w:r>
        <w:t>: Functional, Regression, Integration, Performance, Cross‑Browser, Responsive/Usability, Security, Negative, Load/Concurrency, Smoke.</w:t>
      </w:r>
    </w:p>
    <w:p>
      <w:pPr>
        <w:pStyle w:val="ListBullet"/>
      </w:pPr>
      <w:r/>
      <w:r>
        <w:rPr>
          <w:b/>
        </w:rPr>
        <w:t>Testing Approach</w:t>
      </w:r>
      <w:r>
        <w:t>: Both Manual and Automated.</w:t>
      </w:r>
    </w:p>
    <w:p>
      <w:pPr>
        <w:pStyle w:val="ListBullet"/>
      </w:pPr>
      <w:r/>
      <w:r>
        <w:rPr>
          <w:b/>
        </w:rPr>
        <w:t>Automation Tool</w:t>
      </w:r>
      <w:r>
        <w:t>: Playwright with TypeScript (for UI‑level end‑to‑end scenarios).</w:t>
      </w:r>
    </w:p>
    <w:p>
      <w:pPr>
        <w:pStyle w:val="Heading2"/>
      </w:pPr>
      <w:r>
        <w:rPr>
          <w:color w:val="1A56DB"/>
        </w:rPr>
        <w:t>5. TEST ENVIRONMENT</w:t>
      </w:r>
    </w:p>
    <w:p>
      <w:pPr>
        <w:pStyle w:val="ListBullet"/>
      </w:pPr>
      <w:r/>
      <w:r>
        <w:rPr>
          <w:b/>
        </w:rPr>
        <w:t>Browser(s)</w:t>
      </w:r>
      <w:r>
        <w:t>: Chrome 120, Firefox latest, Edge latest, Safari latest.</w:t>
      </w:r>
    </w:p>
    <w:p>
      <w:pPr>
        <w:pStyle w:val="ListBullet"/>
      </w:pPr>
      <w:r/>
      <w:r>
        <w:rPr>
          <w:b/>
        </w:rPr>
        <w:t>OS</w:t>
      </w:r>
      <w:r>
        <w:t>: Windows 11, macOS 14, Linux Ubuntu 22.04.</w:t>
      </w:r>
    </w:p>
    <w:p>
      <w:pPr>
        <w:pStyle w:val="ListBullet"/>
      </w:pPr>
      <w:r/>
      <w:r>
        <w:rPr>
          <w:b/>
        </w:rPr>
        <w:t>Devices</w:t>
      </w:r>
      <w:r>
        <w:t>: Desktop (1920×1080), Tablet (768×1024), Mobile (375×667).</w:t>
      </w:r>
    </w:p>
    <w:p>
      <w:pPr>
        <w:pStyle w:val="ListBullet"/>
      </w:pPr>
      <w:r/>
      <w:r>
        <w:rPr>
          <w:b/>
        </w:rPr>
        <w:t>Test Data Requirements</w:t>
      </w:r>
      <w:r>
        <w:t>:</w:t>
      </w:r>
    </w:p>
    <w:p>
      <w:pPr>
        <w:pStyle w:val="ListBullet"/>
      </w:pPr>
      <w:r>
        <w:t>Product catalog with at least three distinct items (price ≥ $10 each).</w:t>
      </w:r>
    </w:p>
    <w:p>
      <w:pPr>
        <w:pStyle w:val="ListBullet"/>
      </w:pPr>
      <w:r>
        <w:t xml:space="preserve">Valid discount code </w:t>
      </w:r>
      <w:r>
        <w:rPr>
          <w:b/>
        </w:rPr>
        <w:t>SAVE20</w:t>
      </w:r>
      <w:r>
        <w:t xml:space="preserve"> (20 % off).</w:t>
      </w:r>
    </w:p>
    <w:p>
      <w:pPr>
        <w:pStyle w:val="ListBullet"/>
      </w:pPr>
      <w:r>
        <w:t xml:space="preserve">Invalid/expired codes (e.g., </w:t>
      </w:r>
      <w:r>
        <w:rPr>
          <w:b/>
        </w:rPr>
        <w:t>BADCODE</w:t>
      </w:r>
      <w:r>
        <w:t xml:space="preserve">, </w:t>
      </w:r>
      <w:r>
        <w:rPr>
          <w:b/>
        </w:rPr>
        <w:t>SAVE20EXPIRED</w:t>
      </w:r>
      <w:r>
        <w:t>).</w:t>
      </w:r>
    </w:p>
    <w:p>
      <w:pPr>
        <w:pStyle w:val="ListBullet"/>
      </w:pPr>
      <w:r>
        <w:t>Pre‑seeded carts for edge‑case subtotals (e.g., $0.00, $50.01, $10,000.00).</w:t>
      </w:r>
    </w:p>
    <w:p>
      <w:pPr>
        <w:pStyle w:val="Heading2"/>
      </w:pPr>
      <w:r>
        <w:rPr>
          <w:color w:val="1A56DB"/>
        </w:rPr>
        <w:t>6. ENTRY CRITERIA</w:t>
      </w:r>
    </w:p>
    <w:tbl>
      <w:tblPr>
        <w:tblStyle w:val="TableGrid"/>
        <w:tblW w:type="auto" w:w="0"/>
        <w:jc w:val="center"/>
        <w:tblLook w:firstColumn="1" w:firstRow="1" w:lastColumn="0" w:lastRow="0" w:noHBand="0" w:noVBand="1" w:val="04A0"/>
      </w:tblPr>
      <w:tblGrid>
        <w:gridCol w:w="4703"/>
        <w:gridCol w:w="4703"/>
      </w:tblGrid>
      <w:tr>
        <w:tc>
          <w:tcPr>
            <w:tcW w:type="dxa" w:w="4703"/>
            <w:shd w:fill="1a56db" w:val="clear"/>
          </w:tcPr>
          <w:p>
            <w:r>
              <w:rPr>
                <w:b/>
                <w:color w:val="FFFFFF"/>
                <w:sz w:val="20"/>
              </w:rPr>
              <w:t>Condition</w:t>
            </w:r>
          </w:p>
        </w:tc>
        <w:tc>
          <w:tcPr>
            <w:tcW w:type="dxa" w:w="4703"/>
            <w:shd w:fill="1a56db" w:val="clear"/>
          </w:tcPr>
          <w:p>
            <w:r>
              <w:rPr>
                <w:b/>
                <w:color w:val="FFFFFF"/>
                <w:sz w:val="20"/>
              </w:rPr>
              <w:t>Details</w:t>
            </w:r>
          </w:p>
        </w:tc>
      </w:tr>
      <w:tr>
        <w:tc>
          <w:tcPr>
            <w:tcW w:type="dxa" w:w="4703"/>
          </w:tcPr>
          <w:p>
            <w:r>
              <w:rPr>
                <w:sz w:val="20"/>
              </w:rPr>
              <w:t>Build</w:t>
            </w:r>
          </w:p>
        </w:tc>
        <w:tc>
          <w:tcPr>
            <w:tcW w:type="dxa" w:w="4703"/>
          </w:tcPr>
          <w:p>
            <w:r>
              <w:rPr>
                <w:sz w:val="20"/>
              </w:rPr>
              <w:t>v2.4.1‑fixed branch deployed to **Staging** environment.</w:t>
            </w:r>
          </w:p>
        </w:tc>
      </w:tr>
      <w:tr>
        <w:tc>
          <w:tcPr>
            <w:tcW w:type="dxa" w:w="4703"/>
          </w:tcPr>
          <w:p>
            <w:r>
              <w:rPr>
                <w:sz w:val="20"/>
              </w:rPr>
              <w:t>Environment</w:t>
            </w:r>
          </w:p>
        </w:tc>
        <w:tc>
          <w:tcPr>
            <w:tcW w:type="dxa" w:w="4703"/>
          </w:tcPr>
          <w:p>
            <w:r>
              <w:rPr>
                <w:sz w:val="20"/>
              </w:rPr>
              <w:t>All browsers and devices provisioned, network throttling tools available.</w:t>
            </w:r>
          </w:p>
        </w:tc>
      </w:tr>
      <w:tr>
        <w:tc>
          <w:tcPr>
            <w:tcW w:type="dxa" w:w="4703"/>
          </w:tcPr>
          <w:p>
            <w:r>
              <w:rPr>
                <w:sz w:val="20"/>
              </w:rPr>
              <w:t>Test Data</w:t>
            </w:r>
          </w:p>
        </w:tc>
        <w:tc>
          <w:tcPr>
            <w:tcW w:type="dxa" w:w="4703"/>
          </w:tcPr>
          <w:p>
            <w:r>
              <w:rPr>
                <w:sz w:val="20"/>
              </w:rPr>
              <w:t>Required product SKUs, discount codes, and mock API responses loaded.</w:t>
            </w:r>
          </w:p>
        </w:tc>
      </w:tr>
      <w:tr>
        <w:tc>
          <w:tcPr>
            <w:tcW w:type="dxa" w:w="4703"/>
          </w:tcPr>
          <w:p>
            <w:r>
              <w:rPr>
                <w:sz w:val="20"/>
              </w:rPr>
              <w:t>Tools</w:t>
            </w:r>
          </w:p>
        </w:tc>
        <w:tc>
          <w:tcPr>
            <w:tcW w:type="dxa" w:w="4703"/>
          </w:tcPr>
          <w:p>
            <w:r>
              <w:rPr>
                <w:sz w:val="20"/>
              </w:rPr>
              <w:t>Playwright test runner configured; Jira test execution board created.</w:t>
            </w:r>
          </w:p>
        </w:tc>
      </w:tr>
      <w:tr>
        <w:tc>
          <w:tcPr>
            <w:tcW w:type="dxa" w:w="4703"/>
          </w:tcPr>
          <w:p>
            <w:r>
              <w:rPr>
                <w:sz w:val="20"/>
              </w:rPr>
              <w:t>Smoke Check</w:t>
            </w:r>
          </w:p>
        </w:tc>
        <w:tc>
          <w:tcPr>
            <w:tcW w:type="dxa" w:w="4703"/>
          </w:tcPr>
          <w:p>
            <w:r>
              <w:rPr>
                <w:sz w:val="20"/>
              </w:rPr>
              <w:t>Basic cart add/remove flow passes without errors.</w:t>
            </w:r>
          </w:p>
        </w:tc>
      </w:tr>
    </w:tbl>
    <w:p/>
    <w:p>
      <w:pPr>
        <w:pStyle w:val="Heading2"/>
      </w:pPr>
      <w:r>
        <w:rPr>
          <w:color w:val="1A56DB"/>
        </w:rPr>
        <w:t>7. EXIT CRITERIA</w:t>
      </w:r>
    </w:p>
    <w:tbl>
      <w:tblPr>
        <w:tblStyle w:val="TableGrid"/>
        <w:tblW w:type="auto" w:w="0"/>
        <w:jc w:val="center"/>
        <w:tblLook w:firstColumn="1" w:firstRow="1" w:lastColumn="0" w:lastRow="0" w:noHBand="0" w:noVBand="1" w:val="04A0"/>
      </w:tblPr>
      <w:tblGrid>
        <w:gridCol w:w="4703"/>
        <w:gridCol w:w="4703"/>
      </w:tblGrid>
      <w:tr>
        <w:tc>
          <w:tcPr>
            <w:tcW w:type="dxa" w:w="4703"/>
            <w:shd w:fill="1a56db" w:val="clear"/>
          </w:tcPr>
          <w:p>
            <w:r>
              <w:rPr>
                <w:b/>
                <w:color w:val="FFFFFF"/>
                <w:sz w:val="20"/>
              </w:rPr>
              <w:t>Condition</w:t>
            </w:r>
          </w:p>
        </w:tc>
        <w:tc>
          <w:tcPr>
            <w:tcW w:type="dxa" w:w="4703"/>
            <w:shd w:fill="1a56db" w:val="clear"/>
          </w:tcPr>
          <w:p>
            <w:r>
              <w:rPr>
                <w:b/>
                <w:color w:val="FFFFFF"/>
                <w:sz w:val="20"/>
              </w:rPr>
              <w:t>Details</w:t>
            </w:r>
          </w:p>
        </w:tc>
      </w:tr>
      <w:tr>
        <w:tc>
          <w:tcPr>
            <w:tcW w:type="dxa" w:w="4703"/>
          </w:tcPr>
          <w:p>
            <w:r>
              <w:rPr>
                <w:sz w:val="20"/>
              </w:rPr>
              <w:t>All **TCs** marked **Pass** or **Blocked** (with justification).</w:t>
            </w:r>
          </w:p>
        </w:tc>
        <w:tc>
          <w:tcPr>
            <w:tcW w:type="dxa" w:w="4703"/>
          </w:tcPr>
          <w:p/>
        </w:tc>
      </w:tr>
      <w:tr>
        <w:tc>
          <w:tcPr>
            <w:tcW w:type="dxa" w:w="4703"/>
          </w:tcPr>
          <w:p>
            <w:r>
              <w:rPr>
                <w:sz w:val="20"/>
              </w:rPr>
              <w:t>No **P0** or **P1** defects remain open after retest.</w:t>
            </w:r>
          </w:p>
        </w:tc>
        <w:tc>
          <w:tcPr>
            <w:tcW w:type="dxa" w:w="4703"/>
          </w:tcPr>
          <w:p/>
        </w:tc>
      </w:tr>
      <w:tr>
        <w:tc>
          <w:tcPr>
            <w:tcW w:type="dxa" w:w="4703"/>
          </w:tcPr>
          <w:p>
            <w:r>
              <w:rPr>
                <w:sz w:val="20"/>
              </w:rPr>
              <w:t>Performance target met: 95 % of discount applications ≤ 200 ms.</w:t>
            </w:r>
          </w:p>
        </w:tc>
        <w:tc>
          <w:tcPr>
            <w:tcW w:type="dxa" w:w="4703"/>
          </w:tcPr>
          <w:p/>
        </w:tc>
      </w:tr>
      <w:tr>
        <w:tc>
          <w:tcPr>
            <w:tcW w:type="dxa" w:w="4703"/>
          </w:tcPr>
          <w:p>
            <w:r>
              <w:rPr>
                <w:sz w:val="20"/>
              </w:rPr>
              <w:t>No JavaScript console errors recorded in any supported browser.</w:t>
            </w:r>
          </w:p>
        </w:tc>
        <w:tc>
          <w:tcPr>
            <w:tcW w:type="dxa" w:w="4703"/>
          </w:tcPr>
          <w:p/>
        </w:tc>
      </w:tr>
      <w:tr>
        <w:tc>
          <w:tcPr>
            <w:tcW w:type="dxa" w:w="4703"/>
          </w:tcPr>
          <w:p>
            <w:r>
              <w:rPr>
                <w:sz w:val="20"/>
              </w:rPr>
              <w:t>Sign‑off obtained from QA Lead, Development Lead, and Product Owner.</w:t>
            </w:r>
          </w:p>
        </w:tc>
        <w:tc>
          <w:tcPr>
            <w:tcW w:type="dxa" w:w="4703"/>
          </w:tcPr>
          <w:p/>
        </w:tc>
      </w:tr>
    </w:tbl>
    <w:p/>
    <w:p>
      <w:pPr>
        <w:pStyle w:val="Heading2"/>
      </w:pPr>
      <w:r>
        <w:rPr>
          <w:color w:val="1A56DB"/>
        </w:rPr>
        <w:t>8. TEST CASES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a56db" w:val="clear"/>
          </w:tcPr>
          <w:p>
            <w:r>
              <w:rPr>
                <w:b/>
                <w:color w:val="FFFFFF"/>
                <w:sz w:val="20"/>
              </w:rPr>
              <w:t>TC ID</w:t>
            </w:r>
          </w:p>
        </w:tc>
        <w:tc>
          <w:tcPr>
            <w:tcW w:type="dxa" w:w="1568"/>
            <w:shd w:fill="1a56db" w:val="clear"/>
          </w:tcPr>
          <w:p>
            <w:r>
              <w:rPr>
                <w:b/>
                <w:color w:val="FFFFFF"/>
                <w:sz w:val="20"/>
              </w:rPr>
              <w:t>Test Case Title</w:t>
            </w:r>
          </w:p>
        </w:tc>
        <w:tc>
          <w:tcPr>
            <w:tcW w:type="dxa" w:w="1568"/>
            <w:shd w:fill="1a56db" w:val="clear"/>
          </w:tcPr>
          <w:p>
            <w:r>
              <w:rPr>
                <w:b/>
                <w:color w:val="FFFFFF"/>
                <w:sz w:val="20"/>
              </w:rPr>
              <w:t>Pre‑conditions</w:t>
            </w:r>
          </w:p>
        </w:tc>
        <w:tc>
          <w:tcPr>
            <w:tcW w:type="dxa" w:w="1568"/>
            <w:shd w:fill="1a56db" w:val="clear"/>
          </w:tcPr>
          <w:p>
            <w:r>
              <w:rPr>
                <w:b/>
                <w:color w:val="FFFFFF"/>
                <w:sz w:val="20"/>
              </w:rPr>
              <w:t>Steps</w:t>
            </w:r>
          </w:p>
        </w:tc>
        <w:tc>
          <w:tcPr>
            <w:tcW w:type="dxa" w:w="1568"/>
            <w:shd w:fill="1a56db" w:val="clear"/>
          </w:tcPr>
          <w:p>
            <w:r>
              <w:rPr>
                <w:b/>
                <w:color w:val="FFFFFF"/>
                <w:sz w:val="20"/>
              </w:rPr>
              <w:t>Expected Result</w:t>
            </w:r>
          </w:p>
        </w:tc>
        <w:tc>
          <w:tcPr>
            <w:tcW w:type="dxa" w:w="1568"/>
            <w:shd w:fill="1a56db" w:val="clear"/>
          </w:tcPr>
          <w:p>
            <w:r>
              <w:rPr>
                <w:b/>
                <w:color w:val="FFFFFF"/>
                <w:sz w:val="20"/>
              </w:rPr>
              <w:t>Priority</w:t>
            </w:r>
          </w:p>
        </w:tc>
      </w:tr>
      <w:tr>
        <w:tc>
          <w:tcPr>
            <w:tcW w:type="dxa" w:w="1568"/>
          </w:tcPr>
          <w:p>
            <w:r>
              <w:rPr>
                <w:sz w:val="20"/>
              </w:rPr>
              <w:t>TC‑01</w:t>
            </w:r>
          </w:p>
        </w:tc>
        <w:tc>
          <w:tcPr>
            <w:tcW w:type="dxa" w:w="1568"/>
          </w:tcPr>
          <w:p>
            <w:r>
              <w:rPr>
                <w:sz w:val="20"/>
              </w:rPr>
              <w:t>Apply SAVE20 to cart with 3 items (subtotal &gt; $50) – happy path</w:t>
            </w:r>
          </w:p>
        </w:tc>
        <w:tc>
          <w:tcPr>
            <w:tcW w:type="dxa" w:w="1568"/>
          </w:tcPr>
          <w:p>
            <w:r>
              <w:rPr>
                <w:sz w:val="20"/>
              </w:rPr>
              <w:t>User logged in, 3 distinct items added (subtotal = $60)</w:t>
            </w:r>
          </w:p>
        </w:tc>
        <w:tc>
          <w:tcPr>
            <w:tcW w:type="dxa" w:w="1568"/>
          </w:tcPr>
          <w:p>
            <w:r>
              <w:rPr>
                <w:sz w:val="20"/>
              </w:rPr>
              <w:t>1. Open Cart page  &lt;br&gt;2. Enter **SAVE20** in discount field  &lt;br&gt;3. Click **Apply**</w:t>
            </w:r>
          </w:p>
        </w:tc>
        <w:tc>
          <w:tcPr>
            <w:tcW w:type="dxa" w:w="1568"/>
          </w:tcPr>
          <w:p>
            <w:r>
              <w:rPr>
                <w:sz w:val="20"/>
              </w:rPr>
              <w:t>Subtotal $60.00, Discount “‑$12.00”, New Total **$48.00** displayed within 200 ms. No console errors.</w:t>
            </w:r>
          </w:p>
        </w:tc>
        <w:tc>
          <w:tcPr>
            <w:tcW w:type="dxa" w:w="1568"/>
          </w:tcPr>
          <w:p>
            <w:r>
              <w:rPr>
                <w:sz w:val="20"/>
              </w:rPr>
              <w:t>High</w:t>
            </w:r>
          </w:p>
        </w:tc>
      </w:tr>
      <w:tr>
        <w:tc>
          <w:tcPr>
            <w:tcW w:type="dxa" w:w="1568"/>
          </w:tcPr>
          <w:p>
            <w:r>
              <w:rPr>
                <w:sz w:val="20"/>
              </w:rPr>
              <w:t>TC‑02</w:t>
            </w:r>
          </w:p>
        </w:tc>
        <w:tc>
          <w:tcPr>
            <w:tcW w:type="dxa" w:w="1568"/>
          </w:tcPr>
          <w:p>
            <w:r>
              <w:rPr>
                <w:sz w:val="20"/>
              </w:rPr>
              <w:t>Apply SAVE20 to cart with 1 item (subtotal &lt; $50)</w:t>
            </w:r>
          </w:p>
        </w:tc>
        <w:tc>
          <w:tcPr>
            <w:tcW w:type="dxa" w:w="1568"/>
          </w:tcPr>
          <w:p>
            <w:r>
              <w:rPr>
                <w:sz w:val="20"/>
              </w:rPr>
              <w:t>1 item added (price $30)</w:t>
            </w:r>
          </w:p>
        </w:tc>
        <w:tc>
          <w:tcPr>
            <w:tcW w:type="dxa" w:w="1568"/>
          </w:tcPr>
          <w:p>
            <w:r>
              <w:rPr>
                <w:sz w:val="20"/>
              </w:rPr>
              <w:t>Same steps as TC‑01</w:t>
            </w:r>
          </w:p>
        </w:tc>
        <w:tc>
          <w:tcPr>
            <w:tcW w:type="dxa" w:w="1568"/>
          </w:tcPr>
          <w:p>
            <w:r>
              <w:rPr>
                <w:sz w:val="20"/>
              </w:rPr>
              <w:t>Subtotal $30.00, Discount “‑$6.00”, New Total **$24.00**.</w:t>
            </w:r>
          </w:p>
        </w:tc>
        <w:tc>
          <w:tcPr>
            <w:tcW w:type="dxa" w:w="1568"/>
          </w:tcPr>
          <w:p>
            <w:r>
              <w:rPr>
                <w:sz w:val="20"/>
              </w:rPr>
              <w:t>High</w:t>
            </w:r>
          </w:p>
        </w:tc>
      </w:tr>
      <w:tr>
        <w:tc>
          <w:tcPr>
            <w:tcW w:type="dxa" w:w="1568"/>
          </w:tcPr>
          <w:p>
            <w:r>
              <w:rPr>
                <w:sz w:val="20"/>
              </w:rPr>
              <w:t>TC‑03</w:t>
            </w:r>
          </w:p>
        </w:tc>
        <w:tc>
          <w:tcPr>
            <w:tcW w:type="dxa" w:w="1568"/>
          </w:tcPr>
          <w:p>
            <w:r>
              <w:rPr>
                <w:sz w:val="20"/>
              </w:rPr>
              <w:t>Apply SAVE20 to empty cart (subtotal = $0.00)</w:t>
            </w:r>
          </w:p>
        </w:tc>
        <w:tc>
          <w:tcPr>
            <w:tcW w:type="dxa" w:w="1568"/>
          </w:tcPr>
          <w:p>
            <w:r>
              <w:rPr>
                <w:sz w:val="20"/>
              </w:rPr>
              <w:t>Cart is empty</w:t>
            </w:r>
          </w:p>
        </w:tc>
        <w:tc>
          <w:tcPr>
            <w:tcW w:type="dxa" w:w="1568"/>
          </w:tcPr>
          <w:p>
            <w:r>
              <w:rPr>
                <w:sz w:val="20"/>
              </w:rPr>
              <w:t>Same steps as TC‑01</w:t>
            </w:r>
          </w:p>
        </w:tc>
        <w:tc>
          <w:tcPr>
            <w:tcW w:type="dxa" w:w="1568"/>
          </w:tcPr>
          <w:p>
            <w:r>
              <w:rPr>
                <w:sz w:val="20"/>
              </w:rPr>
              <w:t>No discount applied, total remains **$0.00**, UI shows “Discount not applicable for empty cart”.</w:t>
            </w:r>
          </w:p>
        </w:tc>
        <w:tc>
          <w:tcPr>
            <w:tcW w:type="dxa" w:w="1568"/>
          </w:tcPr>
          <w:p>
            <w:r>
              <w:rPr>
                <w:sz w:val="20"/>
              </w:rPr>
              <w:t>Medium</w:t>
            </w:r>
          </w:p>
        </w:tc>
      </w:tr>
      <w:tr>
        <w:tc>
          <w:tcPr>
            <w:tcW w:type="dxa" w:w="1568"/>
          </w:tcPr>
          <w:p>
            <w:r>
              <w:rPr>
                <w:sz w:val="20"/>
              </w:rPr>
              <w:t>TC‑04</w:t>
            </w:r>
          </w:p>
        </w:tc>
        <w:tc>
          <w:tcPr>
            <w:tcW w:type="dxa" w:w="1568"/>
          </w:tcPr>
          <w:p>
            <w:r>
              <w:rPr>
                <w:sz w:val="20"/>
              </w:rPr>
              <w:t>Apply invalid discount code **BADCODE**</w:t>
            </w:r>
          </w:p>
        </w:tc>
        <w:tc>
          <w:tcPr>
            <w:tcW w:type="dxa" w:w="1568"/>
          </w:tcPr>
          <w:p>
            <w:r>
              <w:rPr>
                <w:sz w:val="20"/>
              </w:rPr>
              <w:t>Cart with 2 items (subtotal $40)</w:t>
            </w:r>
          </w:p>
        </w:tc>
        <w:tc>
          <w:tcPr>
            <w:tcW w:type="dxa" w:w="1568"/>
          </w:tcPr>
          <w:p>
            <w:r>
              <w:rPr>
                <w:sz w:val="20"/>
              </w:rPr>
              <w:t>Enter **BADCODE**, click Apply</w:t>
            </w:r>
          </w:p>
        </w:tc>
        <w:tc>
          <w:tcPr>
            <w:tcW w:type="dxa" w:w="1568"/>
          </w:tcPr>
          <w:p>
            <w:r>
              <w:rPr>
                <w:sz w:val="20"/>
              </w:rPr>
              <w:t>Error message “Invalid discount code”, subtotal and total unchanged.</w:t>
            </w:r>
          </w:p>
        </w:tc>
        <w:tc>
          <w:tcPr>
            <w:tcW w:type="dxa" w:w="1568"/>
          </w:tcPr>
          <w:p>
            <w:r>
              <w:rPr>
                <w:sz w:val="20"/>
              </w:rPr>
              <w:t>High</w:t>
            </w:r>
          </w:p>
        </w:tc>
      </w:tr>
      <w:tr>
        <w:tc>
          <w:tcPr>
            <w:tcW w:type="dxa" w:w="1568"/>
          </w:tcPr>
          <w:p>
            <w:r>
              <w:rPr>
                <w:sz w:val="20"/>
              </w:rPr>
              <w:t>TC‑05</w:t>
            </w:r>
          </w:p>
        </w:tc>
        <w:tc>
          <w:tcPr>
            <w:tcW w:type="dxa" w:w="1568"/>
          </w:tcPr>
          <w:p>
            <w:r>
              <w:rPr>
                <w:sz w:val="20"/>
              </w:rPr>
              <w:t>Remove applied SAVE20 code</w:t>
            </w:r>
          </w:p>
        </w:tc>
        <w:tc>
          <w:tcPr>
            <w:tcW w:type="dxa" w:w="1568"/>
          </w:tcPr>
          <w:p>
            <w:r>
              <w:rPr>
                <w:sz w:val="20"/>
              </w:rPr>
              <w:t>Discount already applied (any cart size)</w:t>
            </w:r>
          </w:p>
        </w:tc>
        <w:tc>
          <w:tcPr>
            <w:tcW w:type="dxa" w:w="1568"/>
          </w:tcPr>
          <w:p>
            <w:r>
              <w:rPr>
                <w:sz w:val="20"/>
              </w:rPr>
              <w:t>Click **Remove code** link/button</w:t>
            </w:r>
          </w:p>
        </w:tc>
        <w:tc>
          <w:tcPr>
            <w:tcW w:type="dxa" w:w="1568"/>
          </w:tcPr>
          <w:p>
            <w:r>
              <w:rPr>
                <w:sz w:val="20"/>
              </w:rPr>
              <w:t>Discount line disappears, subtotal restored, total equals original subtotal instantly.</w:t>
            </w:r>
          </w:p>
        </w:tc>
        <w:tc>
          <w:tcPr>
            <w:tcW w:type="dxa" w:w="1568"/>
          </w:tcPr>
          <w:p>
            <w:r>
              <w:rPr>
                <w:sz w:val="20"/>
              </w:rPr>
              <w:t>High</w:t>
            </w:r>
          </w:p>
        </w:tc>
      </w:tr>
      <w:tr>
        <w:tc>
          <w:tcPr>
            <w:tcW w:type="dxa" w:w="1568"/>
          </w:tcPr>
          <w:p>
            <w:r>
              <w:rPr>
                <w:sz w:val="20"/>
              </w:rPr>
              <w:t>TC‑06</w:t>
            </w:r>
          </w:p>
        </w:tc>
        <w:tc>
          <w:tcPr>
            <w:tcW w:type="dxa" w:w="1568"/>
          </w:tcPr>
          <w:p>
            <w:r>
              <w:rPr>
                <w:sz w:val="20"/>
              </w:rPr>
              <w:t>Case‑insensitivity check – enter “save20”</w:t>
            </w:r>
          </w:p>
        </w:tc>
        <w:tc>
          <w:tcPr>
            <w:tcW w:type="dxa" w:w="1568"/>
          </w:tcPr>
          <w:p>
            <w:r>
              <w:rPr>
                <w:sz w:val="20"/>
              </w:rPr>
              <w:t>Cart with 3 items (subtotal $70)</w:t>
            </w:r>
          </w:p>
        </w:tc>
        <w:tc>
          <w:tcPr>
            <w:tcW w:type="dxa" w:w="1568"/>
          </w:tcPr>
          <w:p>
            <w:r>
              <w:rPr>
                <w:sz w:val="20"/>
              </w:rPr>
              <w:t>Enter **save20**, apply</w:t>
            </w:r>
          </w:p>
        </w:tc>
        <w:tc>
          <w:tcPr>
            <w:tcW w:type="dxa" w:w="1568"/>
          </w:tcPr>
          <w:p>
            <w:r>
              <w:rPr>
                <w:sz w:val="20"/>
              </w:rPr>
              <w:t>Same result as TC‑01 (discount applied).</w:t>
            </w:r>
          </w:p>
        </w:tc>
        <w:tc>
          <w:tcPr>
            <w:tcW w:type="dxa" w:w="1568"/>
          </w:tcPr>
          <w:p>
            <w:r>
              <w:rPr>
                <w:sz w:val="20"/>
              </w:rPr>
              <w:t>Medium</w:t>
            </w:r>
          </w:p>
        </w:tc>
      </w:tr>
      <w:tr>
        <w:tc>
          <w:tcPr>
            <w:tcW w:type="dxa" w:w="1568"/>
          </w:tcPr>
          <w:p>
            <w:r>
              <w:rPr>
                <w:sz w:val="20"/>
              </w:rPr>
              <w:t>TC‑07</w:t>
            </w:r>
          </w:p>
        </w:tc>
        <w:tc>
          <w:tcPr>
            <w:tcW w:type="dxa" w:w="1568"/>
          </w:tcPr>
          <w:p>
            <w:r>
              <w:rPr>
                <w:sz w:val="20"/>
              </w:rPr>
              <w:t>Rapid apply/remove (within 1 s)</w:t>
            </w:r>
          </w:p>
        </w:tc>
        <w:tc>
          <w:tcPr>
            <w:tcW w:type="dxa" w:w="1568"/>
          </w:tcPr>
          <w:p>
            <w:r>
              <w:rPr>
                <w:sz w:val="20"/>
              </w:rPr>
              <w:t>Cart with 3 items (subtotal $80)</w:t>
            </w:r>
          </w:p>
        </w:tc>
        <w:tc>
          <w:tcPr>
            <w:tcW w:type="dxa" w:w="1568"/>
          </w:tcPr>
          <w:p>
            <w:r>
              <w:rPr>
                <w:sz w:val="20"/>
              </w:rPr>
              <w:t>Apply SAVE20, immediately click **Remove** before response returns</w:t>
            </w:r>
          </w:p>
        </w:tc>
        <w:tc>
          <w:tcPr>
            <w:tcW w:type="dxa" w:w="1568"/>
          </w:tcPr>
          <w:p>
            <w:r>
              <w:rPr>
                <w:sz w:val="20"/>
              </w:rPr>
              <w:t>UI ends in a stable state with original subtotal; no $0.00 flash, no console errors.</w:t>
            </w:r>
          </w:p>
        </w:tc>
        <w:tc>
          <w:tcPr>
            <w:tcW w:type="dxa" w:w="1568"/>
          </w:tcPr>
          <w:p>
            <w:r>
              <w:rPr>
                <w:sz w:val="20"/>
              </w:rPr>
              <w:t>Medium</w:t>
            </w:r>
          </w:p>
        </w:tc>
      </w:tr>
      <w:tr>
        <w:tc>
          <w:tcPr>
            <w:tcW w:type="dxa" w:w="1568"/>
          </w:tcPr>
          <w:p>
            <w:r>
              <w:rPr>
                <w:sz w:val="20"/>
              </w:rPr>
              <w:t>TC‑08</w:t>
            </w:r>
          </w:p>
        </w:tc>
        <w:tc>
          <w:tcPr>
            <w:tcW w:type="dxa" w:w="1568"/>
          </w:tcPr>
          <w:p>
            <w:r>
              <w:rPr>
                <w:sz w:val="20"/>
              </w:rPr>
              <w:t>Large subtotal edge case ($10,000)</w:t>
            </w:r>
          </w:p>
        </w:tc>
        <w:tc>
          <w:tcPr>
            <w:tcW w:type="dxa" w:w="1568"/>
          </w:tcPr>
          <w:p>
            <w:r>
              <w:rPr>
                <w:sz w:val="20"/>
              </w:rPr>
              <w:t>Cart populated to subtotal $10,000</w:t>
            </w:r>
          </w:p>
        </w:tc>
        <w:tc>
          <w:tcPr>
            <w:tcW w:type="dxa" w:w="1568"/>
          </w:tcPr>
          <w:p>
            <w:r>
              <w:rPr>
                <w:sz w:val="20"/>
              </w:rPr>
              <w:t>Apply SAVE20</w:t>
            </w:r>
          </w:p>
        </w:tc>
        <w:tc>
          <w:tcPr>
            <w:tcW w:type="dxa" w:w="1568"/>
          </w:tcPr>
          <w:p>
            <w:r>
              <w:rPr>
                <w:sz w:val="20"/>
              </w:rPr>
              <w:t>Discount $2,000.00, New Total $8,000.00 displayed correctly, rounding to two decimals, within performance target.</w:t>
            </w:r>
          </w:p>
        </w:tc>
        <w:tc>
          <w:tcPr>
            <w:tcW w:type="dxa" w:w="1568"/>
          </w:tcPr>
          <w:p>
            <w:r>
              <w:rPr>
                <w:sz w:val="20"/>
              </w:rPr>
              <w:t>Medium</w:t>
            </w:r>
          </w:p>
        </w:tc>
      </w:tr>
      <w:tr>
        <w:tc>
          <w:tcPr>
            <w:tcW w:type="dxa" w:w="1568"/>
          </w:tcPr>
          <w:p>
            <w:r>
              <w:rPr>
                <w:sz w:val="20"/>
              </w:rPr>
              <w:t>TC‑09</w:t>
            </w:r>
          </w:p>
        </w:tc>
        <w:tc>
          <w:tcPr>
            <w:tcW w:type="dxa" w:w="1568"/>
          </w:tcPr>
          <w:p>
            <w:r>
              <w:rPr>
                <w:sz w:val="20"/>
              </w:rPr>
              <w:t>Responsive UI check on mobile</w:t>
            </w:r>
          </w:p>
        </w:tc>
        <w:tc>
          <w:tcPr>
            <w:tcW w:type="dxa" w:w="1568"/>
          </w:tcPr>
          <w:p>
            <w:r>
              <w:rPr>
                <w:sz w:val="20"/>
              </w:rPr>
              <w:t>Cart with 3 items, discount applied</w:t>
            </w:r>
          </w:p>
        </w:tc>
        <w:tc>
          <w:tcPr>
            <w:tcW w:type="dxa" w:w="1568"/>
          </w:tcPr>
          <w:p>
            <w:r>
              <w:rPr>
                <w:sz w:val="20"/>
              </w:rPr>
              <w:t>Open Cart page on mobile viewport, apply SAVE20</w:t>
            </w:r>
          </w:p>
        </w:tc>
        <w:tc>
          <w:tcPr>
            <w:tcW w:type="dxa" w:w="1568"/>
          </w:tcPr>
          <w:p>
            <w:r>
              <w:rPr>
                <w:sz w:val="20"/>
              </w:rPr>
              <w:t>Subtotal, discount, and total displayed in a single‑column layout, readable, no overlap.</w:t>
            </w:r>
          </w:p>
        </w:tc>
        <w:tc>
          <w:tcPr>
            <w:tcW w:type="dxa" w:w="1568"/>
          </w:tcPr>
          <w:p>
            <w:r>
              <w:rPr>
                <w:sz w:val="20"/>
              </w:rPr>
              <w:t>Low</w:t>
            </w:r>
          </w:p>
        </w:tc>
      </w:tr>
      <w:tr>
        <w:tc>
          <w:tcPr>
            <w:tcW w:type="dxa" w:w="1568"/>
          </w:tcPr>
          <w:p>
            <w:r>
              <w:rPr>
                <w:sz w:val="20"/>
              </w:rPr>
              <w:t>TC‑10</w:t>
            </w:r>
          </w:p>
        </w:tc>
        <w:tc>
          <w:tcPr>
            <w:tcW w:type="dxa" w:w="1568"/>
          </w:tcPr>
          <w:p>
            <w:r>
              <w:rPr>
                <w:sz w:val="20"/>
              </w:rPr>
              <w:t>Security tamper test – modify discount amount in DevTools</w:t>
            </w:r>
          </w:p>
        </w:tc>
        <w:tc>
          <w:tcPr>
            <w:tcW w:type="dxa" w:w="1568"/>
          </w:tcPr>
          <w:p>
            <w:r>
              <w:rPr>
                <w:sz w:val="20"/>
              </w:rPr>
              <w:t>Discount applied (any cart)</w:t>
            </w:r>
          </w:p>
        </w:tc>
        <w:tc>
          <w:tcPr>
            <w:tcW w:type="dxa" w:w="1568"/>
          </w:tcPr>
          <w:p>
            <w:r>
              <w:rPr>
                <w:sz w:val="20"/>
              </w:rPr>
              <w:t>Open browser DevTools, edit hidden field/JS variable to change discount amount, observe UI</w:t>
            </w:r>
          </w:p>
        </w:tc>
        <w:tc>
          <w:tcPr>
            <w:tcW w:type="dxa" w:w="1568"/>
          </w:tcPr>
          <w:p>
            <w:r>
              <w:rPr>
                <w:sz w:val="20"/>
              </w:rPr>
              <w:t>UI recalculates from API response; edited value ignored, total remains correct. No security breach.</w:t>
            </w:r>
          </w:p>
        </w:tc>
        <w:tc>
          <w:tcPr>
            <w:tcW w:type="dxa" w:w="1568"/>
          </w:tcPr>
          <w:p>
            <w:r>
              <w:rPr>
                <w:sz w:val="20"/>
              </w:rPr>
              <w:t>High</w:t>
            </w:r>
          </w:p>
        </w:tc>
      </w:tr>
    </w:tbl>
    <w:p/>
    <w:p>
      <w:pPr>
        <w:pStyle w:val="Heading2"/>
      </w:pPr>
      <w:r>
        <w:rPr>
          <w:color w:val="1A56DB"/>
        </w:rPr>
        <w:t>9. RISK ASSESSMENT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56db" w:val="clear"/>
          </w:tcPr>
          <w:p>
            <w:r>
              <w:rPr>
                <w:b/>
                <w:color w:val="FFFFFF"/>
                <w:sz w:val="20"/>
              </w:rPr>
              <w:t>Risk</w:t>
            </w:r>
          </w:p>
        </w:tc>
        <w:tc>
          <w:tcPr>
            <w:tcW w:type="dxa" w:w="2351"/>
            <w:shd w:fill="1a56db" w:val="clear"/>
          </w:tcPr>
          <w:p>
            <w:r>
              <w:rPr>
                <w:b/>
                <w:color w:val="FFFFFF"/>
                <w:sz w:val="20"/>
              </w:rPr>
              <w:t>Likelihood</w:t>
            </w:r>
          </w:p>
        </w:tc>
        <w:tc>
          <w:tcPr>
            <w:tcW w:type="dxa" w:w="2351"/>
            <w:shd w:fill="1a56db" w:val="clear"/>
          </w:tcPr>
          <w:p>
            <w:r>
              <w:rPr>
                <w:b/>
                <w:color w:val="FFFFFF"/>
                <w:sz w:val="20"/>
              </w:rPr>
              <w:t>Impact</w:t>
            </w:r>
          </w:p>
        </w:tc>
        <w:tc>
          <w:tcPr>
            <w:tcW w:type="dxa" w:w="2351"/>
            <w:shd w:fill="1a56db" w:val="clear"/>
          </w:tcPr>
          <w:p>
            <w:r>
              <w:rPr>
                <w:b/>
                <w:color w:val="FFFFFF"/>
                <w:sz w:val="20"/>
              </w:rPr>
              <w:t>Mitigation</w:t>
            </w:r>
          </w:p>
        </w:tc>
      </w:tr>
      <w:tr>
        <w:tc>
          <w:tcPr>
            <w:tcW w:type="dxa" w:w="2351"/>
          </w:tcPr>
          <w:p>
            <w:r>
              <w:rPr>
                <w:sz w:val="20"/>
              </w:rPr>
              <w:t>R‑1: Regression introduced by v2.4.1 refactor of cart total logic (≥ 3 items)</w:t>
            </w:r>
          </w:p>
        </w:tc>
        <w:tc>
          <w:tcPr>
            <w:tcW w:type="dxa" w:w="2351"/>
          </w:tcPr>
          <w:p>
            <w:r>
              <w:rPr>
                <w:sz w:val="20"/>
              </w:rPr>
              <w:t>High</w:t>
            </w:r>
          </w:p>
        </w:tc>
        <w:tc>
          <w:tcPr>
            <w:tcW w:type="dxa" w:w="2351"/>
          </w:tcPr>
          <w:p>
            <w:r>
              <w:rPr>
                <w:sz w:val="20"/>
              </w:rPr>
              <w:t>High – could re‑introduce $0.00 bug</w:t>
            </w:r>
          </w:p>
        </w:tc>
        <w:tc>
          <w:tcPr>
            <w:tcW w:type="dxa" w:w="2351"/>
          </w:tcPr>
          <w:p>
            <w:r>
              <w:rPr>
                <w:sz w:val="20"/>
              </w:rPr>
              <w:t>Focused code review of the affected branch; add automated regression test covering ≥ 3 items.</w:t>
            </w:r>
          </w:p>
        </w:tc>
      </w:tr>
      <w:tr>
        <w:tc>
          <w:tcPr>
            <w:tcW w:type="dxa" w:w="2351"/>
          </w:tcPr>
          <w:p>
            <w:r>
              <w:rPr>
                <w:sz w:val="20"/>
              </w:rPr>
              <w:t>R‑2: Client‑side rounding mismatches server rounding</w:t>
            </w:r>
          </w:p>
        </w:tc>
        <w:tc>
          <w:tcPr>
            <w:tcW w:type="dxa" w:w="2351"/>
          </w:tcPr>
          <w:p>
            <w:r>
              <w:rPr>
                <w:sz w:val="20"/>
              </w:rPr>
              <w:t>Medium</w:t>
            </w:r>
          </w:p>
        </w:tc>
        <w:tc>
          <w:tcPr>
            <w:tcW w:type="dxa" w:w="2351"/>
          </w:tcPr>
          <w:p>
            <w:r>
              <w:rPr>
                <w:sz w:val="20"/>
              </w:rPr>
              <w:t>Medium – UI may show a cent‑off total</w:t>
            </w:r>
          </w:p>
        </w:tc>
        <w:tc>
          <w:tcPr>
            <w:tcW w:type="dxa" w:w="2351"/>
          </w:tcPr>
          <w:p>
            <w:r>
              <w:rPr>
                <w:sz w:val="20"/>
              </w:rPr>
              <w:t>Include unit tests for rounding logic; verify UI value matches API value to two decimals.</w:t>
            </w:r>
          </w:p>
        </w:tc>
      </w:tr>
      <w:tr>
        <w:tc>
          <w:tcPr>
            <w:tcW w:type="dxa" w:w="2351"/>
          </w:tcPr>
          <w:p>
            <w:r>
              <w:rPr>
                <w:sz w:val="20"/>
              </w:rPr>
              <w:t>R‑3: API contract change (field rename) causing UI parsing failure</w:t>
            </w:r>
          </w:p>
        </w:tc>
        <w:tc>
          <w:tcPr>
            <w:tcW w:type="dxa" w:w="2351"/>
          </w:tcPr>
          <w:p>
            <w:r>
              <w:rPr>
                <w:sz w:val="20"/>
              </w:rPr>
              <w:t>Medium</w:t>
            </w:r>
          </w:p>
        </w:tc>
        <w:tc>
          <w:tcPr>
            <w:tcW w:type="dxa" w:w="2351"/>
          </w:tcPr>
          <w:p>
            <w:r>
              <w:rPr>
                <w:sz w:val="20"/>
              </w:rPr>
              <w:t>Medium – could hide discount amount</w:t>
            </w:r>
          </w:p>
        </w:tc>
        <w:tc>
          <w:tcPr>
            <w:tcW w:type="dxa" w:w="2351"/>
          </w:tcPr>
          <w:p>
            <w:r>
              <w:rPr>
                <w:sz w:val="20"/>
              </w:rPr>
              <w:t>Validate API schema against front‑end parsing; mock API in tests to guarantee field presence.</w:t>
            </w:r>
          </w:p>
        </w:tc>
      </w:tr>
      <w:tr>
        <w:tc>
          <w:tcPr>
            <w:tcW w:type="dxa" w:w="2351"/>
          </w:tcPr>
          <w:p>
            <w:r>
              <w:rPr>
                <w:sz w:val="20"/>
              </w:rPr>
              <w:t>R‑4: Caching of cart totals leading to stale $0.00 display after quantity change</w:t>
            </w:r>
          </w:p>
        </w:tc>
        <w:tc>
          <w:tcPr>
            <w:tcW w:type="dxa" w:w="2351"/>
          </w:tcPr>
          <w:p>
            <w:r>
              <w:rPr>
                <w:sz w:val="20"/>
              </w:rPr>
              <w:t>Low‑Medium</w:t>
            </w:r>
          </w:p>
        </w:tc>
        <w:tc>
          <w:tcPr>
            <w:tcW w:type="dxa" w:w="2351"/>
          </w:tcPr>
          <w:p>
            <w:r>
              <w:rPr>
                <w:sz w:val="20"/>
              </w:rPr>
              <w:t>Medium – intermittent failures</w:t>
            </w:r>
          </w:p>
        </w:tc>
        <w:tc>
          <w:tcPr>
            <w:tcW w:type="dxa" w:w="2351"/>
          </w:tcPr>
          <w:p>
            <w:r>
              <w:rPr>
                <w:sz w:val="20"/>
              </w:rPr>
              <w:t>Clear localStorage/cache in test setup; add cache‑invalidating event on quantity update.</w:t>
            </w:r>
          </w:p>
        </w:tc>
      </w:tr>
      <w:tr>
        <w:tc>
          <w:tcPr>
            <w:tcW w:type="dxa" w:w="2351"/>
          </w:tcPr>
          <w:p>
            <w:r>
              <w:rPr>
                <w:sz w:val="20"/>
              </w:rPr>
              <w:t>R‑5: Performance degradation on high‑latency networks causing fallback to $0.00</w:t>
            </w:r>
          </w:p>
        </w:tc>
        <w:tc>
          <w:tcPr>
            <w:tcW w:type="dxa" w:w="2351"/>
          </w:tcPr>
          <w:p>
            <w:r>
              <w:rPr>
                <w:sz w:val="20"/>
              </w:rPr>
              <w:t>Low</w:t>
            </w:r>
          </w:p>
        </w:tc>
        <w:tc>
          <w:tcPr>
            <w:tcW w:type="dxa" w:w="2351"/>
          </w:tcPr>
          <w:p>
            <w:r>
              <w:rPr>
                <w:sz w:val="20"/>
              </w:rPr>
              <w:t>High – poor UX</w:t>
            </w:r>
          </w:p>
        </w:tc>
        <w:tc>
          <w:tcPr>
            <w:tcW w:type="dxa" w:w="2351"/>
          </w:tcPr>
          <w:p>
            <w:r>
              <w:rPr>
                <w:sz w:val="20"/>
              </w:rPr>
              <w:t>Simulate latency with network throttling; ensure UI shows loading indicator and retains previous total until response.</w:t>
            </w:r>
          </w:p>
        </w:tc>
      </w:tr>
    </w:tbl>
    <w:p/>
    <w:p>
      <w:pPr>
        <w:pStyle w:val="Heading2"/>
      </w:pPr>
      <w:r>
        <w:rPr>
          <w:color w:val="1A56DB"/>
        </w:rPr>
        <w:t>10. DEFECT MANAGEMENT</w:t>
      </w:r>
    </w:p>
    <w:p>
      <w:pPr>
        <w:pStyle w:val="ListBullet"/>
      </w:pPr>
      <w:r/>
      <w:r>
        <w:rPr>
          <w:b/>
        </w:rPr>
        <w:t>Tool</w:t>
      </w:r>
      <w:r>
        <w:t>: Jira</w:t>
      </w:r>
    </w:p>
    <w:p>
      <w:pPr>
        <w:pStyle w:val="ListBullet"/>
      </w:pPr>
      <w:r/>
      <w:r>
        <w:rPr>
          <w:b/>
        </w:rPr>
        <w:t>Severity Levels</w:t>
      </w:r>
      <w:r>
        <w:t>: P0 (Critical), P1 (High), P2 (Medium), P3 (Low)</w:t>
      </w:r>
    </w:p>
    <w:p>
      <w:pPr>
        <w:pStyle w:val="ListBullet"/>
      </w:pPr>
      <w:r/>
      <w:r>
        <w:rPr>
          <w:b/>
        </w:rPr>
        <w:t>Bug Lifecycle</w:t>
      </w:r>
      <w:r>
        <w:t>: New → In Progress → Fixed → Verified → Closed</w:t>
      </w:r>
    </w:p>
    <w:p>
      <w:pPr>
        <w:pStyle w:val="Heading2"/>
      </w:pPr>
      <w:r>
        <w:rPr>
          <w:color w:val="1A56DB"/>
        </w:rPr>
        <w:t>11. TEST SCHEDULE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56db" w:val="clear"/>
          </w:tcPr>
          <w:p>
            <w:r>
              <w:rPr>
                <w:b/>
                <w:color w:val="FFFFFF"/>
                <w:sz w:val="20"/>
              </w:rPr>
              <w:t>Phase</w:t>
            </w:r>
          </w:p>
        </w:tc>
        <w:tc>
          <w:tcPr>
            <w:tcW w:type="dxa" w:w="2351"/>
            <w:shd w:fill="1a56db" w:val="clear"/>
          </w:tcPr>
          <w:p>
            <w:r>
              <w:rPr>
                <w:b/>
                <w:color w:val="FFFFFF"/>
                <w:sz w:val="20"/>
              </w:rPr>
              <w:t>Start Date</w:t>
            </w:r>
          </w:p>
        </w:tc>
        <w:tc>
          <w:tcPr>
            <w:tcW w:type="dxa" w:w="2351"/>
            <w:shd w:fill="1a56db" w:val="clear"/>
          </w:tcPr>
          <w:p>
            <w:r>
              <w:rPr>
                <w:b/>
                <w:color w:val="FFFFFF"/>
                <w:sz w:val="20"/>
              </w:rPr>
              <w:t>End Date</w:t>
            </w:r>
          </w:p>
        </w:tc>
        <w:tc>
          <w:tcPr>
            <w:tcW w:type="dxa" w:w="2351"/>
            <w:shd w:fill="1a56db" w:val="clear"/>
          </w:tcPr>
          <w:p>
            <w:r>
              <w:rPr>
                <w:b/>
                <w:color w:val="FFFFFF"/>
                <w:sz w:val="20"/>
              </w:rPr>
              <w:t>Owner</w:t>
            </w:r>
          </w:p>
        </w:tc>
      </w:tr>
      <w:tr>
        <w:tc>
          <w:tcPr>
            <w:tcW w:type="dxa" w:w="2351"/>
          </w:tcPr>
          <w:p>
            <w:r>
              <w:rPr>
                <w:sz w:val="20"/>
              </w:rPr>
              <w:t>Test Planning &amp; Data Prep</w:t>
            </w:r>
          </w:p>
        </w:tc>
        <w:tc>
          <w:tcPr>
            <w:tcW w:type="dxa" w:w="2351"/>
          </w:tcPr>
          <w:p>
            <w:r>
              <w:rPr>
                <w:sz w:val="20"/>
              </w:rPr>
              <w:t>April 04, 2026</w:t>
            </w:r>
          </w:p>
        </w:tc>
        <w:tc>
          <w:tcPr>
            <w:tcW w:type="dxa" w:w="2351"/>
          </w:tcPr>
          <w:p>
            <w:r>
              <w:rPr>
                <w:sz w:val="20"/>
              </w:rPr>
              <w:t>April 05, 2026</w:t>
            </w:r>
          </w:p>
        </w:tc>
        <w:tc>
          <w:tcPr>
            <w:tcW w:type="dxa" w:w="2351"/>
          </w:tcPr>
          <w:p>
            <w:r>
              <w:rPr>
                <w:sz w:val="20"/>
              </w:rPr>
              <w:t>QA Lead</w:t>
            </w:r>
          </w:p>
        </w:tc>
      </w:tr>
      <w:tr>
        <w:tc>
          <w:tcPr>
            <w:tcW w:type="dxa" w:w="2351"/>
          </w:tcPr>
          <w:p>
            <w:r>
              <w:rPr>
                <w:sz w:val="20"/>
              </w:rPr>
              <w:t>Automated Script Development (Playwright)</w:t>
            </w:r>
          </w:p>
        </w:tc>
        <w:tc>
          <w:tcPr>
            <w:tcW w:type="dxa" w:w="2351"/>
          </w:tcPr>
          <w:p>
            <w:r>
              <w:rPr>
                <w:sz w:val="20"/>
              </w:rPr>
              <w:t>April 06, 2026</w:t>
            </w:r>
          </w:p>
        </w:tc>
        <w:tc>
          <w:tcPr>
            <w:tcW w:type="dxa" w:w="2351"/>
          </w:tcPr>
          <w:p>
            <w:r>
              <w:rPr>
                <w:sz w:val="20"/>
              </w:rPr>
              <w:t>April 09, 2026</w:t>
            </w:r>
          </w:p>
        </w:tc>
        <w:tc>
          <w:tcPr>
            <w:tcW w:type="dxa" w:w="2351"/>
          </w:tcPr>
          <w:p>
            <w:r>
              <w:rPr>
                <w:sz w:val="20"/>
              </w:rPr>
              <w:t>Automation Engineer</w:t>
            </w:r>
          </w:p>
        </w:tc>
      </w:tr>
      <w:tr>
        <w:tc>
          <w:tcPr>
            <w:tcW w:type="dxa" w:w="2351"/>
          </w:tcPr>
          <w:p>
            <w:r>
              <w:rPr>
                <w:sz w:val="20"/>
              </w:rPr>
              <w:t>Manual Functional &amp; UI Testing</w:t>
            </w:r>
          </w:p>
        </w:tc>
        <w:tc>
          <w:tcPr>
            <w:tcW w:type="dxa" w:w="2351"/>
          </w:tcPr>
          <w:p>
            <w:r>
              <w:rPr>
                <w:sz w:val="20"/>
              </w:rPr>
              <w:t>April 10, 2026</w:t>
            </w:r>
          </w:p>
        </w:tc>
        <w:tc>
          <w:tcPr>
            <w:tcW w:type="dxa" w:w="2351"/>
          </w:tcPr>
          <w:p>
            <w:r>
              <w:rPr>
                <w:sz w:val="20"/>
              </w:rPr>
              <w:t>April 12, 2026</w:t>
            </w:r>
          </w:p>
        </w:tc>
        <w:tc>
          <w:tcPr>
            <w:tcW w:type="dxa" w:w="2351"/>
          </w:tcPr>
          <w:p>
            <w:r>
              <w:rPr>
                <w:sz w:val="20"/>
              </w:rPr>
              <w:t>QA Analyst</w:t>
            </w:r>
          </w:p>
        </w:tc>
      </w:tr>
      <w:tr>
        <w:tc>
          <w:tcPr>
            <w:tcW w:type="dxa" w:w="2351"/>
          </w:tcPr>
          <w:p>
            <w:r>
              <w:rPr>
                <w:sz w:val="20"/>
              </w:rPr>
              <w:t>Performance &amp; Security Testing</w:t>
            </w:r>
          </w:p>
        </w:tc>
        <w:tc>
          <w:tcPr>
            <w:tcW w:type="dxa" w:w="2351"/>
          </w:tcPr>
          <w:p>
            <w:r>
              <w:rPr>
                <w:sz w:val="20"/>
              </w:rPr>
              <w:t>April 13, 2026</w:t>
            </w:r>
          </w:p>
        </w:tc>
        <w:tc>
          <w:tcPr>
            <w:tcW w:type="dxa" w:w="2351"/>
          </w:tcPr>
          <w:p>
            <w:r>
              <w:rPr>
                <w:sz w:val="20"/>
              </w:rPr>
              <w:t>April 14, 2026</w:t>
            </w:r>
          </w:p>
        </w:tc>
        <w:tc>
          <w:tcPr>
            <w:tcW w:type="dxa" w:w="2351"/>
          </w:tcPr>
          <w:p>
            <w:r>
              <w:rPr>
                <w:sz w:val="20"/>
              </w:rPr>
              <w:t>Performance Engineer / Security Analyst</w:t>
            </w:r>
          </w:p>
        </w:tc>
      </w:tr>
      <w:tr>
        <w:tc>
          <w:tcPr>
            <w:tcW w:type="dxa" w:w="2351"/>
          </w:tcPr>
          <w:p>
            <w:r>
              <w:rPr>
                <w:sz w:val="20"/>
              </w:rPr>
              <w:t>Cross‑Browser &amp; Responsive Verification</w:t>
            </w:r>
          </w:p>
        </w:tc>
        <w:tc>
          <w:tcPr>
            <w:tcW w:type="dxa" w:w="2351"/>
          </w:tcPr>
          <w:p>
            <w:r>
              <w:rPr>
                <w:sz w:val="20"/>
              </w:rPr>
              <w:t>April 15, 2026</w:t>
            </w:r>
          </w:p>
        </w:tc>
        <w:tc>
          <w:tcPr>
            <w:tcW w:type="dxa" w:w="2351"/>
          </w:tcPr>
          <w:p>
            <w:r>
              <w:rPr>
                <w:sz w:val="20"/>
              </w:rPr>
              <w:t>April 16, 2026</w:t>
            </w:r>
          </w:p>
        </w:tc>
        <w:tc>
          <w:tcPr>
            <w:tcW w:type="dxa" w:w="2351"/>
          </w:tcPr>
          <w:p>
            <w:r>
              <w:rPr>
                <w:sz w:val="20"/>
              </w:rPr>
              <w:t>QA Analyst</w:t>
            </w:r>
          </w:p>
        </w:tc>
      </w:tr>
      <w:tr>
        <w:tc>
          <w:tcPr>
            <w:tcW w:type="dxa" w:w="2351"/>
          </w:tcPr>
          <w:p>
            <w:r>
              <w:rPr>
                <w:sz w:val="20"/>
              </w:rPr>
              <w:t>Defect Fix Verification &amp; Regression Run</w:t>
            </w:r>
          </w:p>
        </w:tc>
        <w:tc>
          <w:tcPr>
            <w:tcW w:type="dxa" w:w="2351"/>
          </w:tcPr>
          <w:p>
            <w:r>
              <w:rPr>
                <w:sz w:val="20"/>
              </w:rPr>
              <w:t>April 17, 2026</w:t>
            </w:r>
          </w:p>
        </w:tc>
        <w:tc>
          <w:tcPr>
            <w:tcW w:type="dxa" w:w="2351"/>
          </w:tcPr>
          <w:p>
            <w:r>
              <w:rPr>
                <w:sz w:val="20"/>
              </w:rPr>
              <w:t>April 18, 2026</w:t>
            </w:r>
          </w:p>
        </w:tc>
        <w:tc>
          <w:tcPr>
            <w:tcW w:type="dxa" w:w="2351"/>
          </w:tcPr>
          <w:p>
            <w:r>
              <w:rPr>
                <w:sz w:val="20"/>
              </w:rPr>
              <w:t>QA Lead</w:t>
            </w:r>
          </w:p>
        </w:tc>
      </w:tr>
      <w:tr>
        <w:tc>
          <w:tcPr>
            <w:tcW w:type="dxa" w:w="2351"/>
          </w:tcPr>
          <w:p>
            <w:r>
              <w:rPr>
                <w:sz w:val="20"/>
              </w:rPr>
              <w:t>Test Sign‑off &amp; Reporting</w:t>
            </w:r>
          </w:p>
        </w:tc>
        <w:tc>
          <w:tcPr>
            <w:tcW w:type="dxa" w:w="2351"/>
          </w:tcPr>
          <w:p>
            <w:r>
              <w:rPr>
                <w:sz w:val="20"/>
              </w:rPr>
              <w:t>April 19, 2026</w:t>
            </w:r>
          </w:p>
        </w:tc>
        <w:tc>
          <w:tcPr>
            <w:tcW w:type="dxa" w:w="2351"/>
          </w:tcPr>
          <w:p>
            <w:r>
              <w:rPr>
                <w:sz w:val="20"/>
              </w:rPr>
              <w:t>April 20, 2026</w:t>
            </w:r>
          </w:p>
        </w:tc>
        <w:tc>
          <w:tcPr>
            <w:tcW w:type="dxa" w:w="2351"/>
          </w:tcPr>
          <w:p>
            <w:r>
              <w:rPr>
                <w:sz w:val="20"/>
              </w:rPr>
              <w:t>QA Lead</w:t>
            </w:r>
          </w:p>
        </w:tc>
      </w:tr>
    </w:tbl>
    <w:p/>
    <w:p>
      <w:pPr>
        <w:pStyle w:val="Heading2"/>
      </w:pPr>
      <w:r>
        <w:rPr>
          <w:color w:val="1A56DB"/>
        </w:rPr>
        <w:t>12. SIGN‑OFF</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56db" w:val="clear"/>
          </w:tcPr>
          <w:p>
            <w:r>
              <w:rPr>
                <w:b/>
                <w:color w:val="FFFFFF"/>
                <w:sz w:val="20"/>
              </w:rPr>
              <w:t>Role</w:t>
            </w:r>
          </w:p>
        </w:tc>
        <w:tc>
          <w:tcPr>
            <w:tcW w:type="dxa" w:w="2351"/>
            <w:shd w:fill="1a56db" w:val="clear"/>
          </w:tcPr>
          <w:p>
            <w:r>
              <w:rPr>
                <w:b/>
                <w:color w:val="FFFFFF"/>
                <w:sz w:val="20"/>
              </w:rPr>
              <w:t>Name</w:t>
            </w:r>
          </w:p>
        </w:tc>
        <w:tc>
          <w:tcPr>
            <w:tcW w:type="dxa" w:w="2351"/>
            <w:shd w:fill="1a56db" w:val="clear"/>
          </w:tcPr>
          <w:p>
            <w:r>
              <w:rPr>
                <w:b/>
                <w:color w:val="FFFFFF"/>
                <w:sz w:val="20"/>
              </w:rPr>
              <w:t>Signature</w:t>
            </w:r>
          </w:p>
        </w:tc>
        <w:tc>
          <w:tcPr>
            <w:tcW w:type="dxa" w:w="2351"/>
            <w:shd w:fill="1a56db" w:val="clear"/>
          </w:tcPr>
          <w:p>
            <w:r>
              <w:rPr>
                <w:b/>
                <w:color w:val="FFFFFF"/>
                <w:sz w:val="20"/>
              </w:rPr>
              <w:t>Date</w:t>
            </w:r>
          </w:p>
        </w:tc>
      </w:tr>
      <w:tr>
        <w:tc>
          <w:tcPr>
            <w:tcW w:type="dxa" w:w="2351"/>
          </w:tcPr>
          <w:p>
            <w:r>
              <w:rPr>
                <w:sz w:val="20"/>
              </w:rPr>
              <w:t>QA Lead</w:t>
            </w:r>
          </w:p>
        </w:tc>
        <w:tc>
          <w:tcPr>
            <w:tcW w:type="dxa" w:w="2351"/>
          </w:tcPr>
          <w:p>
            <w:r>
              <w:rPr>
                <w:sz w:val="20"/>
              </w:rPr>
              <w:t>*[Name]*</w:t>
            </w:r>
          </w:p>
        </w:tc>
        <w:tc>
          <w:tcPr>
            <w:tcW w:type="dxa" w:w="2351"/>
          </w:tcPr>
          <w:p>
            <w:r>
              <w:rPr>
                <w:sz w:val="20"/>
              </w:rPr>
            </w:r>
          </w:p>
        </w:tc>
        <w:tc>
          <w:tcPr>
            <w:tcW w:type="dxa" w:w="2351"/>
          </w:tcPr>
          <w:p>
            <w:r>
              <w:rPr>
                <w:sz w:val="20"/>
              </w:rPr>
            </w:r>
          </w:p>
        </w:tc>
      </w:tr>
      <w:tr>
        <w:tc>
          <w:tcPr>
            <w:tcW w:type="dxa" w:w="2351"/>
          </w:tcPr>
          <w:p>
            <w:r>
              <w:rPr>
                <w:sz w:val="20"/>
              </w:rPr>
              <w:t>Development Lead</w:t>
            </w:r>
          </w:p>
        </w:tc>
        <w:tc>
          <w:tcPr>
            <w:tcW w:type="dxa" w:w="2351"/>
          </w:tcPr>
          <w:p>
            <w:r>
              <w:rPr>
                <w:sz w:val="20"/>
              </w:rPr>
              <w:t>*[Name]*</w:t>
            </w:r>
          </w:p>
        </w:tc>
        <w:tc>
          <w:tcPr>
            <w:tcW w:type="dxa" w:w="2351"/>
          </w:tcPr>
          <w:p>
            <w:r>
              <w:rPr>
                <w:sz w:val="20"/>
              </w:rPr>
            </w:r>
          </w:p>
        </w:tc>
        <w:tc>
          <w:tcPr>
            <w:tcW w:type="dxa" w:w="2351"/>
          </w:tcPr>
          <w:p>
            <w:r>
              <w:rPr>
                <w:sz w:val="20"/>
              </w:rPr>
            </w:r>
          </w:p>
        </w:tc>
      </w:tr>
      <w:tr>
        <w:tc>
          <w:tcPr>
            <w:tcW w:type="dxa" w:w="2351"/>
          </w:tcPr>
          <w:p>
            <w:r>
              <w:rPr>
                <w:sz w:val="20"/>
              </w:rPr>
              <w:t>Product Owner</w:t>
            </w:r>
          </w:p>
        </w:tc>
        <w:tc>
          <w:tcPr>
            <w:tcW w:type="dxa" w:w="2351"/>
          </w:tcPr>
          <w:p>
            <w:r>
              <w:rPr>
                <w:sz w:val="20"/>
              </w:rPr>
              <w:t>*[Name]*</w:t>
            </w:r>
          </w:p>
        </w:tc>
        <w:tc>
          <w:tcPr>
            <w:tcW w:type="dxa" w:w="2351"/>
          </w:tcPr>
          <w:p>
            <w:r>
              <w:rPr>
                <w:sz w:val="20"/>
              </w:rPr>
            </w:r>
          </w:p>
        </w:tc>
        <w:tc>
          <w:tcPr>
            <w:tcW w:type="dxa" w:w="2351"/>
          </w:tcPr>
          <w:p>
            <w:r>
              <w:rPr>
                <w:sz w:val="20"/>
              </w:rPr>
            </w:r>
          </w:p>
        </w:tc>
      </w:tr>
    </w:tbl>
    <w:p/>
    <w:p>
      <w:r>
        <w:t>────────────────────────────────────────────────────────────</w:t>
      </w:r>
    </w:p>
    <w:p>
      <w:r>
        <w:t xml:space="preserve">*End of Test Plan for Jira ticket </w:t>
      </w:r>
      <w:r>
        <w:rPr>
          <w:b/>
        </w:rPr>
        <w:t>VWO‑48</w:t>
      </w:r>
      <w:r>
        <w:t>.*</w:t>
      </w:r>
    </w:p>
    <w:p/>
    <w:p>
      <w:r>
        <w:t>────────────────────────────────────────────────────────────</w:t>
      </w:r>
    </w:p>
    <w:p>
      <w:pPr>
        <w:jc w:val="center"/>
      </w:pPr>
      <w:r>
        <w:rPr>
          <w:color w:val="999999"/>
          <w:sz w:val="18"/>
        </w:rPr>
        <w:t>Generated by AI Test Plan Agent (Memory-Enhanced)</w:t>
        <w:br/>
        <w:t>CrewAI × Groq × Jira</w:t>
        <w:br/>
        <w:t>April 04, 2026 at 01:18 PM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