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Filter Transformation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for source qualifier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account(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accid number(4) primary key,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name varchar2(30) not null,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balance number(9,2));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account values(101, 'savings', 3333);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account values(102, 'current', 4444);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account values(103, 'savings', 3232);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into account values(104, 'demat', 2222);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Target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t_account_filter(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name varchar2(30) not null,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balance number(9,2));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Designer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GOTO – Source qualifier and get the source table and got target designer and get the target table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943600" cy="4457700"/>
            <wp:effectExtent b="0" l="0" r="0" t="0"/>
            <wp:docPr id="3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095875" cy="370522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Take source and target tables to mapping designer as shown below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</w:t>
      </w:r>
      <w:r w:rsidDel="00000000" w:rsidR="00000000" w:rsidRPr="00000000">
        <w:drawing>
          <wp:inline distB="0" distT="0" distL="0" distR="0">
            <wp:extent cx="5943600" cy="44577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943600" cy="44577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943600" cy="44704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GOTO workflow manager and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943600" cy="4457700"/>
            <wp:effectExtent b="0" l="0" r="0" t="0"/>
            <wp:docPr id="2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drawing>
          <wp:inline distB="0" distT="0" distL="0" distR="0">
            <wp:extent cx="5943600" cy="4457700"/>
            <wp:effectExtent b="0" l="0" r="0" t="0"/>
            <wp:docPr id="1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07.png"/><Relationship Id="rId10" Type="http://schemas.openxmlformats.org/officeDocument/2006/relationships/image" Target="media/image08.png"/><Relationship Id="rId9" Type="http://schemas.openxmlformats.org/officeDocument/2006/relationships/image" Target="media/image12.png"/><Relationship Id="rId5" Type="http://schemas.openxmlformats.org/officeDocument/2006/relationships/image" Target="media/image09.png"/><Relationship Id="rId6" Type="http://schemas.openxmlformats.org/officeDocument/2006/relationships/image" Target="media/image11.png"/><Relationship Id="rId7" Type="http://schemas.openxmlformats.org/officeDocument/2006/relationships/image" Target="media/image10.png"/><Relationship Id="rId8" Type="http://schemas.openxmlformats.org/officeDocument/2006/relationships/image" Target="media/image13.png"/></Relationships>
</file>