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563B"/>
          <w:sz w:val="48"/>
        </w:rPr>
        <w:t>Standard Operating Procedure (SOP)</w:t>
      </w:r>
    </w:p>
    <w:p>
      <w:pPr>
        <w:spacing w:after="360"/>
      </w:pPr>
      <w:r>
        <w:rPr>
          <w:rFonts w:ascii="Calibri" w:hAnsi="Calibri"/>
          <w:color w:val="5A6B5D"/>
          <w:sz w:val="28"/>
        </w:rPr>
        <w:t>Secure Link Analyzer Deployment Pipeline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color w:val="5A6B5D"/>
                <w:sz w:val="20"/>
              </w:rPr>
              <w:t>Document ID: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20"/>
              </w:rPr>
              <w:t>SLA-2026-001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color w:val="5A6B5D"/>
                <w:sz w:val="20"/>
              </w:rPr>
              <w:t>Project: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20"/>
              </w:rPr>
              <w:t>Secure Link Analyzer (Multi-Model Deployment Pipeline)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color w:val="5A6B5D"/>
                <w:sz w:val="20"/>
              </w:rPr>
              <w:t>Version: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20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b/>
                <w:color w:val="5A6B5D"/>
                <w:sz w:val="20"/>
              </w:rPr>
              <w:t>Date / Location: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20"/>
              </w:rPr>
              <w:t>May 2026 | Kozhikode, Kerala, India</w:t>
            </w:r>
          </w:p>
        </w:tc>
      </w:tr>
    </w:tbl>
    <w:p>
      <w:pPr>
        <w:spacing w:before="240"/>
      </w:pPr>
    </w:p>
    <w:p>
      <w:pPr>
        <w:keepNext/>
        <w:spacing w:before="360" w:after="120"/>
      </w:pPr>
      <w:r>
        <w:rPr>
          <w:b/>
          <w:color w:val="00563B"/>
          <w:sz w:val="28"/>
        </w:rPr>
        <w:t>1. Purpose</w:t>
      </w:r>
    </w:p>
    <w:p>
      <w:r>
        <w:t>This Standard Operating Procedure (SOP) outlines the comprehensive lifecycle process for offline data preprocessing, multi-model training, and local deployment of the Secure Link Analyzer web interface. The core objective is to ensure systemic consistency, structural audit readiness, and technical accuracy across execution runs.</w:t>
      </w:r>
    </w:p>
    <w:p>
      <w:pPr>
        <w:keepNext/>
        <w:spacing w:before="360" w:after="120"/>
      </w:pPr>
      <w:r>
        <w:rPr>
          <w:b/>
          <w:color w:val="00563B"/>
          <w:sz w:val="28"/>
        </w:rPr>
        <w:t>2. Data Preprocessing &amp; Hybrid SQL-Pandas Processing</w:t>
      </w:r>
    </w:p>
    <w:p>
      <w:pPr>
        <w:pStyle w:val="ListBullet"/>
        <w:spacing w:after="80"/>
      </w:pPr>
      <w:r>
        <w:rPr>
          <w:b/>
        </w:rPr>
        <w:t xml:space="preserve">Step 2.1: </w:t>
      </w:r>
      <w:r>
        <w:t>Source raw, highly structured labeled URL datasets containing malicious and benign baseline entries from the designated repository (Kaggle).</w:t>
      </w:r>
    </w:p>
    <w:p>
      <w:pPr>
        <w:pStyle w:val="ListBullet"/>
        <w:spacing w:after="80"/>
      </w:pPr>
      <w:r>
        <w:rPr>
          <w:b/>
        </w:rPr>
        <w:t xml:space="preserve">Step 2.2: </w:t>
      </w:r>
      <w:r>
        <w:t>Execute targeted SQL normalization scripts offline or utilize high-performance Python/Pandas operations (e.g., df.drop_duplicates()) for thorough data deduplication. This ensures the deletion of redundant data fields and guarantees pristine training metrics.</w:t>
      </w:r>
    </w:p>
    <w:p>
      <w:pPr>
        <w:pStyle w:val="ListBullet"/>
        <w:spacing w:after="80"/>
      </w:pPr>
      <w:r>
        <w:rPr>
          <w:b/>
        </w:rPr>
        <w:t xml:space="preserve">Step 2.3: </w:t>
      </w:r>
      <w:r>
        <w:t>Validate operational data protocols via stringent string filtering mechanisms to verify that all inbound candidate URL variables strictly follow standard protocol formatting (HTTP/HTTPS configurations).</w:t>
      </w:r>
    </w:p>
    <w:p>
      <w:pPr>
        <w:keepNext/>
        <w:spacing w:before="360" w:after="120"/>
      </w:pPr>
      <w:r>
        <w:rPr>
          <w:b/>
          <w:color w:val="00563B"/>
          <w:sz w:val="28"/>
        </w:rPr>
        <w:t>3. Feature Engineering &amp; Machine Learning Pipeline</w:t>
      </w:r>
    </w:p>
    <w:p>
      <w:pPr>
        <w:pStyle w:val="ListBullet"/>
        <w:spacing w:after="80"/>
      </w:pPr>
      <w:r>
        <w:rPr>
          <w:b/>
        </w:rPr>
        <w:t xml:space="preserve">Step 3.1: </w:t>
      </w:r>
      <w:r>
        <w:t>Extract descriptive lexical structural features directly from the URL text parameters (including complete URL string length, specific symbol/special character frequencies, and total domain subdirectory depth) via custom Python/Pandas feature engineering functions.</w:t>
      </w:r>
    </w:p>
    <w:p>
      <w:pPr>
        <w:pStyle w:val="ListBullet"/>
        <w:spacing w:after="80"/>
      </w:pPr>
      <w:r>
        <w:rPr>
          <w:b/>
        </w:rPr>
        <w:t xml:space="preserve">Step 3.2: </w:t>
      </w:r>
      <w:r>
        <w:t>Initialize and execute the core machine learning training workflow locally utilizing designated standalone workstation compute hardware.</w:t>
      </w:r>
    </w:p>
    <w:p>
      <w:pPr>
        <w:pStyle w:val="ListBullet"/>
        <w:spacing w:after="80"/>
      </w:pPr>
      <w:r>
        <w:rPr>
          <w:b/>
        </w:rPr>
        <w:t xml:space="preserve">Step 3.3: </w:t>
      </w:r>
      <w:r>
        <w:t>Train, evaluate, and cross-examine precise performance benchmarks across three explicit local architectures: Decision Tree, Random Forest, and Neural Network Multi-Layer Perceptron (MLP) pipelines.</w:t>
      </w:r>
    </w:p>
    <w:p>
      <w:pPr>
        <w:pStyle w:val="ListBullet"/>
        <w:spacing w:after="80"/>
      </w:pPr>
      <w:r>
        <w:rPr>
          <w:b/>
        </w:rPr>
        <w:t xml:space="preserve">Step 3.4: </w:t>
      </w:r>
      <w:r>
        <w:t>Serialize top-performing model configurations and export the concrete binary model state files into the designated file system paths mapped in the backend dictionary configuration (model_paths).</w:t>
      </w:r>
    </w:p>
    <w:p>
      <w:pPr>
        <w:keepNext/>
        <w:spacing w:before="360" w:after="120"/>
      </w:pPr>
      <w:r>
        <w:rPr>
          <w:b/>
          <w:color w:val="00563B"/>
          <w:sz w:val="28"/>
        </w:rPr>
        <w:t>4. Application Deployment &amp; Web Interface Execution</w:t>
      </w:r>
    </w:p>
    <w:p>
      <w:pPr>
        <w:pStyle w:val="ListBullet"/>
        <w:spacing w:after="80"/>
      </w:pPr>
      <w:r>
        <w:rPr>
          <w:b/>
        </w:rPr>
        <w:t xml:space="preserve">Step 4.1: </w:t>
      </w:r>
      <w:r>
        <w:t>Initialize and boot the standard local Flask application core routing framework instance.</w:t>
      </w:r>
    </w:p>
    <w:p>
      <w:pPr>
        <w:pStyle w:val="ListBullet"/>
        <w:spacing w:after="80"/>
      </w:pPr>
      <w:r>
        <w:rPr>
          <w:b/>
        </w:rPr>
        <w:t xml:space="preserve">Step 4.2: </w:t>
      </w:r>
      <w:r>
        <w:t>Map the server base index route @app.route('/', methods=['GET', 'POST']) explicitly to smoothly process synchronous web interface views, handling both initial HTML rendering and post classification submissions.</w:t>
      </w:r>
    </w:p>
    <w:p>
      <w:pPr>
        <w:pStyle w:val="ListBullet"/>
        <w:spacing w:after="80"/>
      </w:pPr>
      <w:r>
        <w:rPr>
          <w:b/>
        </w:rPr>
        <w:t xml:space="preserve">Step 4.3: </w:t>
      </w:r>
      <w:r>
        <w:t>Capture and parse incoming client arguments issued via the web client text input boxes using secure Flask request form extraction methods (request.form.get), pulling the target url string and chosen model_name parameters.</w:t>
      </w:r>
    </w:p>
    <w:p>
      <w:pPr>
        <w:pStyle w:val="ListBullet"/>
        <w:spacing w:after="80"/>
      </w:pPr>
      <w:r>
        <w:rPr>
          <w:b/>
        </w:rPr>
        <w:t xml:space="preserve">Step 4.4: </w:t>
      </w:r>
      <w:r>
        <w:t>Safely pass arguments to the predictive helper pipeline, calling get_prediction(url, selected_model) to run evaluation steps natively against the chosen architecture model array.</w:t>
      </w:r>
    </w:p>
    <w:p>
      <w:pPr>
        <w:pStyle w:val="ListBullet"/>
        <w:spacing w:after="80"/>
      </w:pPr>
      <w:r>
        <w:rPr>
          <w:b/>
        </w:rPr>
        <w:t xml:space="preserve">Step 4.5: </w:t>
      </w:r>
      <w:r>
        <w:t>Enforce strict security operational threshold conditions based on a strict 23% evaluation rule:</w:t>
        <w:br/>
        <w:t>• If the evaluated malicious probability score is greater than or equal to 23% (probability &gt;= 23), flag the URL string context immediately as malicious.</w:t>
        <w:br/>
        <w:t>• If the score is strictly less than 23%, register the candidate link as legitimate.</w:t>
      </w:r>
    </w:p>
    <w:p>
      <w:pPr>
        <w:pStyle w:val="ListBullet"/>
        <w:spacing w:after="80"/>
      </w:pPr>
      <w:r>
        <w:rPr>
          <w:b/>
        </w:rPr>
        <w:t xml:space="preserve">Step 4.6: </w:t>
      </w:r>
      <w:r>
        <w:t>Dynamically populate and render output parameters directly onto the localized browser interface utilizing standard index.html template files compiled via the Jinja2 rendering engine framework layout.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352"/>
            <w:tcBorders>
              <w:top w:val="none"/>
              <w:left w:val="single" w:sz="36" w:space="0" w:color="00563B"/>
              <w:bottom w:val="none"/>
              <w:right w:val="none"/>
            </w:tcBorders>
            <w:shd w:fill="F4F9F6"/>
            <w:tcMar>
              <w:top w:w="140" w:type="dxa"/>
              <w:bottom w:w="140" w:type="dxa"/>
              <w:left w:w="20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22222"/>
                <w:sz w:val="21"/>
              </w:rPr>
              <w:t>Operational Note on Thresholding: The 23% threshold limit represents a custom domain configuration policy engineered to balance false-positive alerts against strict application security requirements during local classification workloads.</w:t>
            </w:r>
          </w:p>
        </w:tc>
      </w:tr>
    </w:tbl>
    <w:p/>
    <w:p>
      <w:pPr>
        <w:keepNext/>
        <w:spacing w:before="360" w:after="120"/>
      </w:pPr>
      <w:r>
        <w:rPr>
          <w:b/>
          <w:color w:val="00563B"/>
          <w:sz w:val="28"/>
        </w:rPr>
        <w:t>5. Maintenance &amp; Quality Control</w:t>
      </w:r>
    </w:p>
    <w:p>
      <w:pPr>
        <w:pStyle w:val="ListBullet"/>
        <w:spacing w:after="80"/>
      </w:pPr>
      <w:r>
        <w:rPr>
          <w:b/>
        </w:rPr>
        <w:t xml:space="preserve">Step 5.1: </w:t>
      </w:r>
      <w:r>
        <w:t>Ensure all production-facing runs explicitly have the debug framework flag turned off completely (debug=False) on initialization to prevent thread tampering, memory exposure, or unauthorized runtime manipulation.</w:t>
      </w:r>
    </w:p>
    <w:p>
      <w:pPr>
        <w:pStyle w:val="ListBullet"/>
        <w:spacing w:after="80"/>
      </w:pPr>
      <w:r>
        <w:rPr>
          <w:b/>
        </w:rPr>
        <w:t xml:space="preserve">Step 5.2: </w:t>
      </w:r>
      <w:r>
        <w:t>Conduct ongoing, periodic reviews of current live baseline categorization accuracy. Execute manual adjustment configurations to the static 23% decision threshold parameter if new iteration datasets introduce significant underlying model variances.</w:t>
      </w:r>
    </w:p>
    <w:p>
      <w:pPr>
        <w:pStyle w:val="ListBullet"/>
        <w:spacing w:after="80"/>
      </w:pPr>
      <w:r>
        <w:rPr>
          <w:b/>
        </w:rPr>
        <w:t xml:space="preserve">Step 5.3: </w:t>
      </w:r>
      <w:r>
        <w:t>Record and log all micro-architectural enhancements, library adjustments, or helper functions built into the secondary API.py utilities directly inside this document log to maintain absolute systemic audit readiness.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