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before="3800"/>
        <w:jc w:val="center"/>
      </w:pPr>
      <w:r>
        <w:rPr>
          <w:b/>
          <w:color w:val="1F4E79"/>
          <w:sz w:val="40"/>
        </w:rPr>
        <w:t>Project Proposal</w:t>
      </w:r>
    </w:p>
    <w:p>
      <w:pPr>
        <w:spacing w:after="40"/>
        <w:jc w:val="center"/>
      </w:pPr>
      <w:r>
        <w:rPr>
          <w:b w:val="0"/>
          <w:sz w:val="22"/>
        </w:rPr>
        <w:t>For Consideration Under</w:t>
      </w:r>
    </w:p>
    <w:p>
      <w:pPr>
        <w:spacing w:after="360"/>
        <w:jc w:val="center"/>
      </w:pPr>
      <w:r>
        <w:rPr>
          <w:b/>
          <w:color w:val="1F4E79"/>
          <w:sz w:val="30"/>
        </w:rPr>
        <w:t>TIH IoT Technology Development Program 2026</w:t>
      </w:r>
    </w:p>
    <w:p>
      <w:pPr>
        <w:spacing w:after="320"/>
        <w:jc w:val="center"/>
      </w:pPr>
      <w:r>
        <w:rPr>
          <w:b/>
          <w:color w:val="1F4E79"/>
          <w:sz w:val="32"/>
        </w:rPr>
        <w:t>TankGuard: self-powered monitoring, pump control and sludge cleaning for water tanks</w:t>
      </w:r>
    </w:p>
    <w:p>
      <w:pPr>
        <w:spacing w:after="40"/>
        <w:jc w:val="center"/>
      </w:pPr>
      <w:r>
        <w:rPr>
          <w:b w:val="0"/>
          <w:sz w:val="22"/>
        </w:rPr>
        <w:t>Submitted by</w:t>
      </w:r>
    </w:p>
    <w:p>
      <w:pPr>
        <w:spacing w:after="40"/>
        <w:jc w:val="center"/>
      </w:pPr>
      <w:r>
        <w:rPr>
          <w:b/>
          <w:color w:val="1F4E79"/>
          <w:sz w:val="28"/>
        </w:rPr>
        <w:t>Dr. Vishnu Vasudev</w:t>
      </w:r>
    </w:p>
    <w:p>
      <w:pPr>
        <w:spacing w:after="40"/>
        <w:jc w:val="center"/>
      </w:pPr>
      <w:r>
        <w:rPr>
          <w:b w:val="0"/>
          <w:sz w:val="22"/>
        </w:rPr>
        <w:t>Sree Buddha College of Engineering</w:t>
      </w:r>
    </w:p>
    <w:p>
      <w:pPr>
        <w:spacing w:after="200"/>
        <w:jc w:val="center"/>
      </w:pPr>
      <w:r>
        <w:rPr>
          <w:b w:val="0"/>
          <w:sz w:val="22"/>
        </w:rPr>
        <w:t>Industry partner: Nuke Labs</w:t>
      </w:r>
    </w:p>
    <w:p>
      <w:pPr>
        <w:spacing w:after="40"/>
        <w:jc w:val="center"/>
      </w:pPr>
      <w:r>
        <w:rPr>
          <w:b w:val="0"/>
          <w:sz w:val="21"/>
        </w:rPr>
        <w:t>Theme: TIH IoT Technology Development Program 2026</w:t>
      </w:r>
    </w:p>
    <w:p>
      <w:pPr>
        <w:spacing w:after="40"/>
        <w:jc w:val="center"/>
      </w:pPr>
      <w:r>
        <w:rPr>
          <w:b w:val="0"/>
          <w:sz w:val="21"/>
        </w:rPr>
        <w:t>Date of submission: 31 October 2026</w:t>
      </w:r>
    </w:p>
    <w:p>
      <w:r>
        <w:br w:type="page"/>
      </w:r>
    </w:p>
    <w:p>
      <w:pPr>
        <w:pStyle w:val="Heading1"/>
        <w:keepNext/>
        <w:numPr>
          <w:ilvl w:val="0"/>
          <w:numId w:val="0"/>
        </w:numPr>
        <w:spacing w:before="280" w:after="120"/>
      </w:pPr>
      <w:r>
        <w:rPr>
          <w:b/>
          <w:color w:val="1F4E79"/>
          <w:sz w:val="30"/>
        </w:rPr>
        <w:t>Contents</w:t>
      </w:r>
    </w:p>
    <w:p>
      <w:pPr>
        <w:tabs>
          <w:tab w:pos="8800" w:val="right" w:leader="dot"/>
        </w:tabs>
        <w:spacing w:after="80"/>
      </w:pPr>
      <w:r>
        <w:rPr>
          <w:sz w:val="22"/>
        </w:rPr>
        <w:t>1  Cover Sheet</w:t>
        <w:tab/>
        <w:t>3</w:t>
      </w:r>
    </w:p>
    <w:p>
      <w:pPr>
        <w:tabs>
          <w:tab w:pos="8800" w:val="right" w:leader="dot"/>
        </w:tabs>
        <w:spacing w:after="80"/>
      </w:pPr>
      <w:r>
        <w:rPr>
          <w:sz w:val="22"/>
        </w:rPr>
        <w:t>2  Executive Summary</w:t>
        <w:tab/>
        <w:t>3</w:t>
      </w:r>
    </w:p>
    <w:p>
      <w:pPr>
        <w:tabs>
          <w:tab w:pos="8800" w:val="right" w:leader="dot"/>
        </w:tabs>
        <w:spacing w:after="80"/>
      </w:pPr>
      <w:r>
        <w:rPr>
          <w:sz w:val="22"/>
        </w:rPr>
        <w:t>3  Background</w:t>
        <w:tab/>
        <w:t>3</w:t>
      </w:r>
    </w:p>
    <w:p>
      <w:pPr>
        <w:tabs>
          <w:tab w:pos="8800" w:val="right" w:leader="dot"/>
        </w:tabs>
        <w:spacing w:after="80"/>
      </w:pPr>
      <w:r>
        <w:rPr>
          <w:sz w:val="22"/>
        </w:rPr>
        <w:t xml:space="preserve">     3.1  History</w:t>
        <w:tab/>
        <w:t>3</w:t>
      </w:r>
    </w:p>
    <w:p>
      <w:pPr>
        <w:tabs>
          <w:tab w:pos="8800" w:val="right" w:leader="dot"/>
        </w:tabs>
        <w:spacing w:after="80"/>
      </w:pPr>
      <w:r>
        <w:rPr>
          <w:sz w:val="22"/>
        </w:rPr>
        <w:t xml:space="preserve">     3.2  Statement of the problem</w:t>
        <w:tab/>
        <w:t>4</w:t>
      </w:r>
    </w:p>
    <w:p>
      <w:pPr>
        <w:tabs>
          <w:tab w:pos="8800" w:val="right" w:leader="dot"/>
        </w:tabs>
        <w:spacing w:after="80"/>
      </w:pPr>
      <w:r>
        <w:rPr>
          <w:sz w:val="22"/>
        </w:rPr>
        <w:t xml:space="preserve">     3.3  Objectives</w:t>
        <w:tab/>
        <w:t>4</w:t>
      </w:r>
    </w:p>
    <w:p>
      <w:pPr>
        <w:tabs>
          <w:tab w:pos="8800" w:val="right" w:leader="dot"/>
        </w:tabs>
        <w:spacing w:after="80"/>
      </w:pPr>
      <w:r>
        <w:rPr>
          <w:sz w:val="22"/>
        </w:rPr>
        <w:t xml:space="preserve">     3.4  Deliverables</w:t>
        <w:tab/>
        <w:t>4</w:t>
      </w:r>
    </w:p>
    <w:p>
      <w:pPr>
        <w:tabs>
          <w:tab w:pos="8800" w:val="right" w:leader="dot"/>
        </w:tabs>
        <w:spacing w:after="80"/>
      </w:pPr>
      <w:r>
        <w:rPr>
          <w:sz w:val="22"/>
        </w:rPr>
        <w:t xml:space="preserve">     3.5  Project plan with major milestones</w:t>
        <w:tab/>
        <w:t>5</w:t>
      </w:r>
    </w:p>
    <w:p>
      <w:pPr>
        <w:tabs>
          <w:tab w:pos="8800" w:val="right" w:leader="dot"/>
        </w:tabs>
        <w:spacing w:after="80"/>
      </w:pPr>
      <w:r>
        <w:rPr>
          <w:sz w:val="22"/>
        </w:rPr>
        <w:t xml:space="preserve">     3.6  Resources and budget</w:t>
        <w:tab/>
        <w:t>5</w:t>
      </w:r>
    </w:p>
    <w:p>
      <w:pPr>
        <w:tabs>
          <w:tab w:pos="8800" w:val="right" w:leader="dot"/>
        </w:tabs>
        <w:spacing w:after="80"/>
      </w:pPr>
      <w:r>
        <w:rPr>
          <w:sz w:val="22"/>
        </w:rPr>
        <w:t xml:space="preserve">     3.7  Category of new technology/product</w:t>
        <w:tab/>
        <w:t>6</w:t>
      </w:r>
    </w:p>
    <w:p>
      <w:pPr>
        <w:tabs>
          <w:tab w:pos="8800" w:val="right" w:leader="dot"/>
        </w:tabs>
        <w:spacing w:after="80"/>
      </w:pPr>
      <w:r>
        <w:rPr>
          <w:sz w:val="22"/>
        </w:rPr>
        <w:t xml:space="preserve">     3.8  Commercialisation plan</w:t>
        <w:tab/>
        <w:t>6</w:t>
      </w:r>
    </w:p>
    <w:p>
      <w:pPr>
        <w:tabs>
          <w:tab w:pos="8800" w:val="right" w:leader="dot"/>
        </w:tabs>
        <w:spacing w:after="80"/>
      </w:pPr>
      <w:r>
        <w:rPr>
          <w:sz w:val="22"/>
        </w:rPr>
        <w:t>4  Appendix</w:t>
        <w:tab/>
        <w:t>6</w:t>
      </w:r>
    </w:p>
    <w:p>
      <w:pPr>
        <w:tabs>
          <w:tab w:pos="8800" w:val="right" w:leader="dot"/>
        </w:tabs>
        <w:spacing w:after="80"/>
      </w:pPr>
      <w:r>
        <w:rPr>
          <w:sz w:val="22"/>
        </w:rPr>
        <w:t xml:space="preserve">     4.1  Supporting documentation</w:t>
        <w:tab/>
        <w:t>6</w:t>
      </w:r>
    </w:p>
    <w:p>
      <w:r>
        <w:br w:type="page"/>
      </w:r>
    </w:p>
    <w:p>
      <w:pPr>
        <w:pStyle w:val="Heading1"/>
        <w:keepNext/>
        <w:numPr>
          <w:ilvl w:val="0"/>
          <w:numId w:val="0"/>
        </w:numPr>
        <w:spacing w:before="280" w:after="120"/>
      </w:pPr>
      <w:r>
        <w:rPr>
          <w:b/>
          <w:color w:val="1F4E79"/>
          <w:sz w:val="30"/>
        </w:rPr>
        <w:t>1  Cover Sheet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000"/>
            <w:shd w:val="clear" w:color="auto" w:fill="1F4E79"/>
          </w:tcPr>
          <w:p>
            <w:r/>
            <w:r>
              <w:rPr>
                <w:b/>
                <w:color w:val="FFFFFF"/>
                <w:sz w:val="19"/>
              </w:rPr>
              <w:t>Field</w:t>
            </w:r>
          </w:p>
        </w:tc>
        <w:tc>
          <w:tcPr>
            <w:tcW w:type="dxa" w:w="6000"/>
            <w:shd w:val="clear" w:color="auto" w:fill="1F4E79"/>
          </w:tcPr>
          <w:p>
            <w:r/>
            <w:r>
              <w:rPr>
                <w:b/>
                <w:color w:val="FFFFFF"/>
                <w:sz w:val="19"/>
              </w:rPr>
              <w:t>Detail</w:t>
            </w:r>
          </w:p>
        </w:tc>
      </w:tr>
      <w:tr>
        <w:tc>
          <w:tcPr>
            <w:tcW w:type="dxa" w:w="3000"/>
            <w:shd w:val="clear" w:color="auto" w:fill="FFFFFF"/>
          </w:tcPr>
          <w:p>
            <w:r/>
            <w:r>
              <w:rPr>
                <w:sz w:val="19"/>
              </w:rPr>
              <w:t>Project title</w:t>
            </w:r>
          </w:p>
        </w:tc>
        <w:tc>
          <w:tcPr>
            <w:tcW w:type="dxa" w:w="6000"/>
            <w:shd w:val="clear" w:color="auto" w:fill="FFFFFF"/>
          </w:tcPr>
          <w:p>
            <w:r/>
            <w:r>
              <w:rPr>
                <w:sz w:val="19"/>
              </w:rPr>
              <w:t>TankGuard: self-powered monitoring, pump control and sludge cleaning for water tanks</w:t>
            </w:r>
          </w:p>
        </w:tc>
      </w:tr>
      <w:tr>
        <w:tc>
          <w:tcPr>
            <w:tcW w:type="dxa" w:w="3000"/>
            <w:shd w:val="clear" w:color="auto" w:fill="FFFFFF"/>
          </w:tcPr>
          <w:p>
            <w:r/>
            <w:r>
              <w:rPr>
                <w:sz w:val="19"/>
              </w:rPr>
              <w:t>Principal investigator</w:t>
            </w:r>
          </w:p>
        </w:tc>
        <w:tc>
          <w:tcPr>
            <w:tcW w:type="dxa" w:w="6000"/>
            <w:shd w:val="clear" w:color="auto" w:fill="FFFFFF"/>
          </w:tcPr>
          <w:p>
            <w:r/>
            <w:r>
              <w:rPr>
                <w:sz w:val="19"/>
              </w:rPr>
              <w:t>Dr. Vishnu Vasudev</w:t>
            </w:r>
          </w:p>
        </w:tc>
      </w:tr>
      <w:tr>
        <w:tc>
          <w:tcPr>
            <w:tcW w:type="dxa" w:w="3000"/>
            <w:shd w:val="clear" w:color="auto" w:fill="FFFFFF"/>
          </w:tcPr>
          <w:p>
            <w:r/>
            <w:r>
              <w:rPr>
                <w:sz w:val="19"/>
              </w:rPr>
              <w:t>Designation</w:t>
            </w:r>
          </w:p>
        </w:tc>
        <w:tc>
          <w:tcPr>
            <w:tcW w:type="dxa" w:w="6000"/>
            <w:shd w:val="clear" w:color="auto" w:fill="FFFFFF"/>
          </w:tcPr>
          <w:p>
            <w:r/>
            <w:r>
              <w:rPr>
                <w:sz w:val="19"/>
              </w:rPr>
              <w:t>Principal Investigator</w:t>
            </w:r>
          </w:p>
        </w:tc>
      </w:tr>
      <w:tr>
        <w:tc>
          <w:tcPr>
            <w:tcW w:type="dxa" w:w="3000"/>
            <w:shd w:val="clear" w:color="auto" w:fill="FFFFFF"/>
          </w:tcPr>
          <w:p>
            <w:r/>
            <w:r>
              <w:rPr>
                <w:sz w:val="19"/>
              </w:rPr>
              <w:t>Affiliation</w:t>
            </w:r>
          </w:p>
        </w:tc>
        <w:tc>
          <w:tcPr>
            <w:tcW w:type="dxa" w:w="6000"/>
            <w:shd w:val="clear" w:color="auto" w:fill="FFFFFF"/>
          </w:tcPr>
          <w:p>
            <w:r/>
            <w:r>
              <w:rPr>
                <w:sz w:val="19"/>
              </w:rPr>
              <w:t>Sree Buddha College of Engineering, Department of Electronics and Communication Engineering</w:t>
            </w:r>
          </w:p>
        </w:tc>
      </w:tr>
      <w:tr>
        <w:tc>
          <w:tcPr>
            <w:tcW w:type="dxa" w:w="3000"/>
            <w:shd w:val="clear" w:color="auto" w:fill="FFFFFF"/>
          </w:tcPr>
          <w:p>
            <w:r/>
            <w:r>
              <w:rPr>
                <w:sz w:val="19"/>
              </w:rPr>
              <w:t>Co-investigator</w:t>
            </w:r>
          </w:p>
        </w:tc>
        <w:tc>
          <w:tcPr>
            <w:tcW w:type="dxa" w:w="6000"/>
            <w:shd w:val="clear" w:color="auto" w:fill="FFFFFF"/>
          </w:tcPr>
          <w:p>
            <w:r/>
            <w:r>
              <w:rPr>
                <w:sz w:val="19"/>
              </w:rPr>
              <w:t>None</w:t>
            </w:r>
          </w:p>
        </w:tc>
      </w:tr>
      <w:tr>
        <w:tc>
          <w:tcPr>
            <w:tcW w:type="dxa" w:w="3000"/>
            <w:shd w:val="clear" w:color="auto" w:fill="FFFFFF"/>
          </w:tcPr>
          <w:p>
            <w:r/>
            <w:r>
              <w:rPr>
                <w:sz w:val="19"/>
              </w:rPr>
              <w:t>Collaborator</w:t>
            </w:r>
          </w:p>
        </w:tc>
        <w:tc>
          <w:tcPr>
            <w:tcW w:type="dxa" w:w="6000"/>
            <w:shd w:val="clear" w:color="auto" w:fill="FFFFFF"/>
          </w:tcPr>
          <w:p>
            <w:r/>
            <w:r>
              <w:rPr>
                <w:sz w:val="19"/>
              </w:rPr>
              <w:t>Nuke Labs (build, field access, commercialisation)</w:t>
            </w:r>
          </w:p>
        </w:tc>
      </w:tr>
      <w:tr>
        <w:tc>
          <w:tcPr>
            <w:tcW w:type="dxa" w:w="3000"/>
            <w:shd w:val="clear" w:color="auto" w:fill="FFFFFF"/>
          </w:tcPr>
          <w:p>
            <w:r/>
            <w:r>
              <w:rPr>
                <w:sz w:val="19"/>
              </w:rPr>
              <w:t>Theme</w:t>
            </w:r>
          </w:p>
        </w:tc>
        <w:tc>
          <w:tcPr>
            <w:tcW w:type="dxa" w:w="6000"/>
            <w:shd w:val="clear" w:color="auto" w:fill="FFFFFF"/>
          </w:tcPr>
          <w:p>
            <w:r/>
            <w:r>
              <w:rPr>
                <w:sz w:val="19"/>
              </w:rPr>
              <w:t>TIH IoT Technology Development Program 2026</w:t>
            </w:r>
          </w:p>
        </w:tc>
      </w:tr>
      <w:tr>
        <w:tc>
          <w:tcPr>
            <w:tcW w:type="dxa" w:w="3000"/>
            <w:shd w:val="clear" w:color="auto" w:fill="FFFFFF"/>
          </w:tcPr>
          <w:p>
            <w:r/>
            <w:r>
              <w:rPr>
                <w:sz w:val="19"/>
              </w:rPr>
              <w:t>Date of submission</w:t>
            </w:r>
          </w:p>
        </w:tc>
        <w:tc>
          <w:tcPr>
            <w:tcW w:type="dxa" w:w="6000"/>
            <w:shd w:val="clear" w:color="auto" w:fill="FFFFFF"/>
          </w:tcPr>
          <w:p>
            <w:r/>
            <w:r>
              <w:rPr>
                <w:sz w:val="19"/>
              </w:rPr>
              <w:t>31 October 2026</w:t>
            </w:r>
          </w:p>
        </w:tc>
      </w:tr>
    </w:tbl>
    <w:p/>
    <w:p>
      <w:pPr>
        <w:pStyle w:val="Heading1"/>
        <w:keepNext/>
        <w:numPr>
          <w:ilvl w:val="0"/>
          <w:numId w:val="0"/>
        </w:numPr>
        <w:spacing w:before="280" w:after="120"/>
      </w:pPr>
      <w:r>
        <w:rPr>
          <w:b/>
          <w:color w:val="1F4E79"/>
          <w:sz w:val="30"/>
        </w:rPr>
        <w:t>2  Executive Summary</w:t>
      </w:r>
    </w:p>
    <w:p>
      <w:pPr>
        <w:spacing w:after="120"/>
      </w:pPr>
      <w:r>
        <w:rPr>
          <w:b w:val="0"/>
          <w:sz w:val="22"/>
        </w:rPr>
        <w:t>TankGuard is a self-powered monitoring and cleaning system for water storage tanks in homes and institutions. It measures water quality in the tank, reports one score, controls the household pump, and cleans the sludge that settles on the floor. All of it runs on the local network, with no cloud service, subscription or account.</w:t>
      </w:r>
    </w:p>
    <w:p>
      <w:pPr>
        <w:spacing w:after="120"/>
      </w:pPr>
      <w:r>
        <w:rPr>
          <w:b w:val="0"/>
          <w:sz w:val="22"/>
        </w:rPr>
        <w:t>The system has three units. M1 sits on the tank lid and reads turbidity, TDS, pH, temperature and water level through submerged probes. It computes a weighted score between 0 and 100 and serves the dashboard from its own flash memory. H1 sits next to the pump switch, shows the score on a 1.8 inch colour display, and drives the pump through an isolated relay and contactor. C1 is the cleaning arm: two rigid links of 20 cm each, a ring brush at the tip, and a submersible pump that draws the loosened sludge through the centre of the head.</w:t>
      </w:r>
    </w:p>
    <w:p>
      <w:pPr>
        <w:spacing w:after="120"/>
      </w:pPr>
      <w:r>
        <w:rPr>
          <w:b w:val="0"/>
          <w:sz w:val="22"/>
        </w:rPr>
        <w:t>Tanks degrade without warning. Disinfectant residual is gone within 24 to 48 hours of filling. Particles settle into a sludge layer at the floor, biofilm forms on the walls, and algae grow faster in warm water. The water is unsafe before it smells or looks wrong. The usual remedy is a full drain and a manual scrub, which discards the whole stored volume.</w:t>
      </w:r>
    </w:p>
    <w:p>
      <w:pPr>
        <w:spacing w:after="120"/>
      </w:pPr>
      <w:r>
        <w:rPr>
          <w:b w:val="0"/>
          <w:sz w:val="22"/>
        </w:rPr>
        <w:t>TankGuard measures, decides and cleans at the edge. One cleaning cycle covers 90 percent of the floor. A 2 cm ring at the wall stays out of reach, and the design record states it. The dashboard reports the data source and the coverage limit, so the owner knows what was measured and what was cleaned.</w:t>
      </w:r>
    </w:p>
    <w:p>
      <w:pPr>
        <w:spacing w:after="120"/>
      </w:pPr>
      <w:r>
        <w:rPr>
          <w:b w:val="0"/>
          <w:sz w:val="22"/>
        </w:rPr>
        <w:t>The monitoring prototype is built. The M1 firmware, the dashboard and the path planner run, and INR 23,587 of parts have already been invested. The grant funds the step from that prototype to a certified product: the arm hardware, twenty-five pilot units, certification, a patent and twelve field installations.</w:t>
      </w:r>
    </w:p>
    <w:p>
      <w:pPr>
        <w:spacing w:after="120"/>
      </w:pPr>
      <w:r>
        <w:rPr>
          <w:b w:val="0"/>
          <w:sz w:val="22"/>
        </w:rPr>
        <w:t>The project delivers a production revision of M1 and H1, twenty-five pilot units of the C1 cleaning arm, twelve field installations, certification, a filed patent, and three paying pilot customers. The target is TRL 8, with the unit cost and the service model proven before the first production run.</w:t>
      </w:r>
    </w:p>
    <w:p>
      <w:pPr>
        <w:pStyle w:val="Heading1"/>
        <w:keepNext/>
        <w:numPr>
          <w:ilvl w:val="0"/>
          <w:numId w:val="0"/>
        </w:numPr>
        <w:spacing w:before="280" w:after="120"/>
      </w:pPr>
      <w:r>
        <w:rPr>
          <w:b/>
          <w:color w:val="1F4E79"/>
          <w:sz w:val="30"/>
        </w:rPr>
        <w:t>3  Background</w:t>
      </w:r>
    </w:p>
    <w:p>
      <w:pPr>
        <w:pStyle w:val="Heading2"/>
        <w:keepNext/>
        <w:numPr>
          <w:ilvl w:val="0"/>
          <w:numId w:val="0"/>
        </w:numPr>
        <w:spacing w:before="200" w:after="120"/>
      </w:pPr>
      <w:r>
        <w:rPr>
          <w:b/>
          <w:color w:val="2E74B5"/>
          <w:sz w:val="25"/>
        </w:rPr>
        <w:t>3.1  History</w:t>
      </w:r>
    </w:p>
    <w:p>
      <w:pPr>
        <w:spacing w:after="120"/>
      </w:pPr>
      <w:r>
        <w:rPr>
          <w:b w:val="0"/>
          <w:sz w:val="22"/>
        </w:rPr>
        <w:t>TankGuard started as a water-quality monitor. Five probes fed an edge-computed score, and the ESP8266 served its own dashboard over Wi-Fi, with no cloud service.</w:t>
      </w:r>
    </w:p>
    <w:p>
      <w:pPr>
        <w:spacing w:after="120"/>
      </w:pPr>
      <w:r>
        <w:rPr>
          <w:b w:val="0"/>
          <w:sz w:val="22"/>
        </w:rPr>
        <w:t>Field trials exposed the real failure mode. Measurement alone does not clean a tank: the sludge layer keeps feeding turbidity and biofilm, and the household still drains and scrubs by hand. The product moved from monitoring to care, with a home unit for the pump and an arm for the sludge.</w:t>
      </w:r>
    </w:p>
    <w:p>
      <w:pPr>
        <w:spacing w:after="120"/>
      </w:pPr>
      <w:r>
        <w:rPr>
          <w:b w:val="0"/>
          <w:sz w:val="22"/>
        </w:rPr>
        <w:t>The current design keeps the five probes, the score weights and the local-only architecture. It replaces the abandoned drain-and-flush mechanism with the cleaning arm described here.</w:t>
      </w:r>
    </w:p>
    <w:p>
      <w:pPr>
        <w:pStyle w:val="Heading2"/>
        <w:keepNext/>
        <w:numPr>
          <w:ilvl w:val="0"/>
          <w:numId w:val="0"/>
        </w:numPr>
        <w:spacing w:before="200" w:after="120"/>
      </w:pPr>
      <w:r>
        <w:rPr>
          <w:b/>
          <w:color w:val="2E74B5"/>
          <w:sz w:val="25"/>
        </w:rPr>
        <w:t>3.2  Statement of the problem</w:t>
      </w:r>
    </w:p>
    <w:p>
      <w:pPr>
        <w:spacing w:after="120"/>
      </w:pPr>
      <w:r>
        <w:rPr>
          <w:b w:val="0"/>
          <w:sz w:val="22"/>
        </w:rPr>
        <w:t>Storage tanks degrade silently. Residual chlorine disappears within 24 to 48 hours, suspended solids settle into a sludge layer, biofilm forms on internal surfaces, and algae grow in warm water. By the time it is visible, the water is already unsafe.</w:t>
      </w:r>
    </w:p>
    <w:p>
      <w:pPr>
        <w:spacing w:after="120"/>
      </w:pPr>
      <w:r>
        <w:rPr>
          <w:b w:val="0"/>
          <w:sz w:val="22"/>
        </w:rPr>
        <w:t>Current options either monitor without acting or clean by draining the whole tank. Monitoring tells the owner there is a problem and leaves the work to them. A full drain wastes the stored water and needs manual labour.</w:t>
      </w:r>
    </w:p>
    <w:p>
      <w:pPr>
        <w:spacing w:after="120"/>
      </w:pPr>
      <w:r>
        <w:rPr>
          <w:b w:val="0"/>
          <w:sz w:val="22"/>
        </w:rPr>
        <w:t>The gap is largest where it matters most: schools, hospitals and apartment blocks store large volumes, clean to a fixed calendar, and cannot tell whether the last clean helped.</w:t>
      </w:r>
    </w:p>
    <w:p>
      <w:pPr>
        <w:pStyle w:val="Heading2"/>
        <w:keepNext/>
        <w:numPr>
          <w:ilvl w:val="0"/>
          <w:numId w:val="0"/>
        </w:numPr>
        <w:spacing w:before="200" w:after="120"/>
      </w:pPr>
      <w:r>
        <w:rPr>
          <w:b/>
          <w:color w:val="2E74B5"/>
          <w:sz w:val="25"/>
        </w:rPr>
        <w:t>3.3  Objectives</w:t>
      </w:r>
    </w:p>
    <w:p>
      <w:pPr>
        <w:spacing w:after="120"/>
      </w:pPr>
      <w:r>
        <w:rPr>
          <w:b w:val="0"/>
          <w:sz w:val="22"/>
        </w:rPr>
        <w:t>Objective 1: measure and score water quality at the edge. Five probes (turbidity, TDS, pH, temperature, level) are digitised through an ADS1115 and fused into a weighted score (40/25/25/10). Acceptance: the score repeats within 2 points over ten consecutive samples in still water.</w:t>
      </w:r>
    </w:p>
    <w:p>
      <w:pPr>
        <w:spacing w:after="120"/>
      </w:pPr>
      <w:r>
        <w:rPr>
          <w:b w:val="0"/>
          <w:sz w:val="22"/>
        </w:rPr>
        <w:t>Objective 2: make the result readable without a phone. H1 shows the score, level, the four readings, pump state and link health on a 1.8 inch display. It controls the pump in automatic mode (on below the low-level setpoint, off above the high) with a manual override that releases safely.</w:t>
      </w:r>
    </w:p>
    <w:p>
      <w:pPr>
        <w:spacing w:after="120"/>
      </w:pPr>
      <w:r>
        <w:rPr>
          <w:b w:val="0"/>
          <w:sz w:val="22"/>
        </w:rPr>
        <w:t>Objective 3: clean the tank floor without draining it. C1 sweeps three concentric rings at 8.0, 23.7 and 39.4 cm with a 16 cm ring brush and a central suction intake, covering 90 percent of the floor per cycle, and parks in a fixed rest pose at both ends of the cycle.</w:t>
      </w:r>
    </w:p>
    <w:p>
      <w:pPr>
        <w:spacing w:after="120"/>
      </w:pPr>
      <w:r>
        <w:rPr>
          <w:b w:val="0"/>
          <w:sz w:val="22"/>
        </w:rPr>
        <w:t>Objective 4: prove it in the field and take it to market. The monitor enters at TRL 6 and the arm at TRL 4; twelve months later the system is at TRL 8, with twenty-five pilot units, twelve installations, certification, a filed patent and three paying customers.</w:t>
      </w:r>
    </w:p>
    <w:p>
      <w:pPr>
        <w:pStyle w:val="Heading2"/>
        <w:keepNext/>
        <w:numPr>
          <w:ilvl w:val="0"/>
          <w:numId w:val="0"/>
        </w:numPr>
        <w:spacing w:before="200" w:after="120"/>
      </w:pPr>
      <w:r>
        <w:rPr>
          <w:b/>
          <w:color w:val="2E74B5"/>
          <w:sz w:val="25"/>
        </w:rPr>
        <w:t>3.4  Deliverables</w:t>
      </w:r>
    </w:p>
    <w:p>
      <w:pPr>
        <w:spacing w:after="120"/>
      </w:pPr>
      <w:r>
        <w:rPr>
          <w:b w:val="0"/>
          <w:sz w:val="22"/>
        </w:rPr>
        <w:t>D1. M1 monitor, production revision: the ESP8266 board with five calibrated probes, an edge score, the dashboard in flash, and an enclosure that can be moulded at volume.</w:t>
      </w:r>
    </w:p>
    <w:p>
      <w:pPr>
        <w:spacing w:after="120"/>
      </w:pPr>
      <w:r>
        <w:rPr>
          <w:b w:val="0"/>
          <w:sz w:val="22"/>
        </w:rPr>
        <w:t>D2. H1 home unit, production revision: the display board, isolated relay and contactor interface, and a manual override that passes electrical safety review.</w:t>
      </w:r>
    </w:p>
    <w:p>
      <w:pPr>
        <w:spacing w:after="120"/>
      </w:pPr>
      <w:r>
        <w:rPr>
          <w:b w:val="0"/>
          <w:sz w:val="22"/>
        </w:rPr>
        <w:t>D3. C1 cleaning arm, pilot build: twenty-five units with the two-link arm, ring brush, suction head and the planner-generated path, at a confirmed unit cost.</w:t>
      </w:r>
    </w:p>
    <w:p>
      <w:pPr>
        <w:spacing w:after="120"/>
      </w:pPr>
      <w:r>
        <w:rPr>
          <w:b w:val="0"/>
          <w:sz w:val="22"/>
        </w:rPr>
        <w:t>D4. Commercial pack: twelve installations, certification and patent filed, three paying pilot customers, a channel agreement, and the TRL 8 evidence set.</w:t>
      </w:r>
    </w:p>
    <w:p>
      <w:pPr>
        <w:pStyle w:val="Heading2"/>
        <w:keepNext/>
        <w:pageBreakBefore/>
        <w:numPr>
          <w:ilvl w:val="0"/>
          <w:numId w:val="0"/>
        </w:numPr>
        <w:spacing w:before="200" w:after="120"/>
      </w:pPr>
      <w:r>
        <w:rPr>
          <w:b/>
          <w:color w:val="2E74B5"/>
          <w:sz w:val="25"/>
        </w:rPr>
        <w:t>3.5  Project plan with major milestones</w:t>
      </w:r>
    </w:p>
    <w:p>
      <w:pPr>
        <w:spacing w:after="120"/>
      </w:pPr>
      <w:r>
        <w:rPr>
          <w:b w:val="0"/>
          <w:sz w:val="22"/>
        </w:rPr>
        <w:t>Twelve months from T0, with a deliverable at every gate.</w:t>
      </w:r>
    </w:p>
    <w:tbl>
      <w:tblPr>
        <w:tblStyle w:val="TableGrid"/>
        <w:tblW w:type="auto" w:w="0"/>
        <w:jc w:val="center"/>
        <w:tblLook w:firstColumn="1" w:firstRow="1" w:lastColumn="0" w:lastRow="0" w:noHBand="0" w:noVBand="1" w:val="04A0"/>
      </w:tblPr>
      <w:tblGrid>
        <w:gridCol w:w="2410"/>
        <w:gridCol w:w="2410"/>
        <w:gridCol w:w="2410"/>
        <w:gridCol w:w="2410"/>
      </w:tblGrid>
      <w:tr>
        <w:trPr>
          <w:tblHeader w:val="true"/>
        </w:trPr>
        <w:tc>
          <w:tcPr>
            <w:tcW w:type="dxa" w:w="480"/>
            <w:shd w:val="clear" w:color="auto" w:fill="1F4E79"/>
          </w:tcPr>
          <w:p>
            <w:r/>
            <w:r>
              <w:rPr>
                <w:b/>
                <w:color w:val="FFFFFF"/>
                <w:sz w:val="19"/>
              </w:rPr>
              <w:t>#</w:t>
            </w:r>
          </w:p>
        </w:tc>
        <w:tc>
          <w:tcPr>
            <w:tcW w:type="dxa" w:w="3000"/>
            <w:shd w:val="clear" w:color="auto" w:fill="1F4E79"/>
          </w:tcPr>
          <w:p>
            <w:r/>
            <w:r>
              <w:rPr>
                <w:b/>
                <w:color w:val="FFFFFF"/>
                <w:sz w:val="19"/>
              </w:rPr>
              <w:t>Milestone</w:t>
            </w:r>
          </w:p>
        </w:tc>
        <w:tc>
          <w:tcPr>
            <w:tcW w:type="dxa" w:w="1400"/>
            <w:shd w:val="clear" w:color="auto" w:fill="1F4E79"/>
          </w:tcPr>
          <w:p>
            <w:r/>
            <w:r>
              <w:rPr>
                <w:b/>
                <w:color w:val="FFFFFF"/>
                <w:sz w:val="19"/>
              </w:rPr>
              <w:t>Period</w:t>
            </w:r>
          </w:p>
        </w:tc>
        <w:tc>
          <w:tcPr>
            <w:tcW w:type="dxa" w:w="4200"/>
            <w:shd w:val="clear" w:color="auto" w:fill="1F4E79"/>
          </w:tcPr>
          <w:p>
            <w:r/>
            <w:r>
              <w:rPr>
                <w:b/>
                <w:color w:val="FFFFFF"/>
                <w:sz w:val="19"/>
              </w:rPr>
              <w:t>Delivered at the gate</w:t>
            </w:r>
          </w:p>
        </w:tc>
      </w:tr>
      <w:tr>
        <w:tc>
          <w:tcPr>
            <w:tcW w:type="dxa" w:w="480"/>
            <w:shd w:val="clear" w:color="auto" w:fill="FFFFFF"/>
          </w:tcPr>
          <w:p>
            <w:r/>
            <w:r>
              <w:rPr>
                <w:sz w:val="19"/>
              </w:rPr>
              <w:t>1</w:t>
            </w:r>
          </w:p>
        </w:tc>
        <w:tc>
          <w:tcPr>
            <w:tcW w:type="dxa" w:w="3000"/>
            <w:shd w:val="clear" w:color="auto" w:fill="FFFFFF"/>
          </w:tcPr>
          <w:p>
            <w:r/>
            <w:r>
              <w:rPr>
                <w:sz w:val="19"/>
              </w:rPr>
              <w:t>Design freeze and tooling</w:t>
            </w:r>
          </w:p>
        </w:tc>
        <w:tc>
          <w:tcPr>
            <w:tcW w:type="dxa" w:w="1400"/>
            <w:shd w:val="clear" w:color="auto" w:fill="FFFFFF"/>
          </w:tcPr>
          <w:p>
            <w:r/>
            <w:r>
              <w:rPr>
                <w:sz w:val="19"/>
              </w:rPr>
              <w:t>T0 + 3 months</w:t>
            </w:r>
          </w:p>
        </w:tc>
        <w:tc>
          <w:tcPr>
            <w:tcW w:type="dxa" w:w="4200"/>
            <w:shd w:val="clear" w:color="auto" w:fill="FFFFFF"/>
          </w:tcPr>
          <w:p>
            <w:r/>
            <w:r>
              <w:rPr>
                <w:sz w:val="19"/>
              </w:rPr>
              <w:t>Arm and enclosure frozen. Moulds ordered. Five pilot sets assembled. Certification scope agreed with the test laboratory.</w:t>
            </w:r>
          </w:p>
        </w:tc>
      </w:tr>
      <w:tr>
        <w:tc>
          <w:tcPr>
            <w:tcW w:type="dxa" w:w="480"/>
            <w:shd w:val="clear" w:color="auto" w:fill="FFFFFF"/>
          </w:tcPr>
          <w:p>
            <w:r/>
            <w:r>
              <w:rPr>
                <w:sz w:val="19"/>
              </w:rPr>
              <w:t>2</w:t>
            </w:r>
          </w:p>
        </w:tc>
        <w:tc>
          <w:tcPr>
            <w:tcW w:type="dxa" w:w="3000"/>
            <w:shd w:val="clear" w:color="auto" w:fill="FFFFFF"/>
          </w:tcPr>
          <w:p>
            <w:r/>
            <w:r>
              <w:rPr>
                <w:sz w:val="19"/>
              </w:rPr>
              <w:t>Pilot build and lab qualification</w:t>
            </w:r>
          </w:p>
        </w:tc>
        <w:tc>
          <w:tcPr>
            <w:tcW w:type="dxa" w:w="1400"/>
            <w:shd w:val="clear" w:color="auto" w:fill="FFFFFF"/>
          </w:tcPr>
          <w:p>
            <w:r/>
            <w:r>
              <w:rPr>
                <w:sz w:val="19"/>
              </w:rPr>
              <w:t>T0 + 6 months</w:t>
            </w:r>
          </w:p>
        </w:tc>
        <w:tc>
          <w:tcPr>
            <w:tcW w:type="dxa" w:w="4200"/>
            <w:shd w:val="clear" w:color="auto" w:fill="FFFFFF"/>
          </w:tcPr>
          <w:p>
            <w:r/>
            <w:r>
              <w:rPr>
                <w:sz w:val="19"/>
              </w:rPr>
              <w:t>Twenty-five pilot sets built and calibrated against reference instruments. IP68 and EMC pre-compliance passed. Unit cost confirmed at INR 15,600 or below.</w:t>
            </w:r>
          </w:p>
        </w:tc>
      </w:tr>
      <w:tr>
        <w:tc>
          <w:tcPr>
            <w:tcW w:type="dxa" w:w="480"/>
            <w:shd w:val="clear" w:color="auto" w:fill="FFFFFF"/>
          </w:tcPr>
          <w:p>
            <w:r/>
            <w:r>
              <w:rPr>
                <w:sz w:val="19"/>
              </w:rPr>
              <w:t>3</w:t>
            </w:r>
          </w:p>
        </w:tc>
        <w:tc>
          <w:tcPr>
            <w:tcW w:type="dxa" w:w="3000"/>
            <w:shd w:val="clear" w:color="auto" w:fill="FFFFFF"/>
          </w:tcPr>
          <w:p>
            <w:r/>
            <w:r>
              <w:rPr>
                <w:sz w:val="19"/>
              </w:rPr>
              <w:t>Field deployment</w:t>
            </w:r>
          </w:p>
        </w:tc>
        <w:tc>
          <w:tcPr>
            <w:tcW w:type="dxa" w:w="1400"/>
            <w:shd w:val="clear" w:color="auto" w:fill="FFFFFF"/>
          </w:tcPr>
          <w:p>
            <w:r/>
            <w:r>
              <w:rPr>
                <w:sz w:val="19"/>
              </w:rPr>
              <w:t>T0 + 9 months</w:t>
            </w:r>
          </w:p>
        </w:tc>
        <w:tc>
          <w:tcPr>
            <w:tcW w:type="dxa" w:w="4200"/>
            <w:shd w:val="clear" w:color="auto" w:fill="FFFFFF"/>
          </w:tcPr>
          <w:p>
            <w:r/>
            <w:r>
              <w:rPr>
                <w:sz w:val="19"/>
              </w:rPr>
              <w:t>Twelve installations in three cities with sixty days of continuous operation. Installation manual and service workflow complete.</w:t>
            </w:r>
          </w:p>
        </w:tc>
      </w:tr>
      <w:tr>
        <w:tc>
          <w:tcPr>
            <w:tcW w:type="dxa" w:w="480"/>
            <w:shd w:val="clear" w:color="auto" w:fill="FFFFFF"/>
          </w:tcPr>
          <w:p>
            <w:r/>
            <w:r>
              <w:rPr>
                <w:sz w:val="19"/>
              </w:rPr>
              <w:t>4</w:t>
            </w:r>
          </w:p>
        </w:tc>
        <w:tc>
          <w:tcPr>
            <w:tcW w:type="dxa" w:w="3000"/>
            <w:shd w:val="clear" w:color="auto" w:fill="FFFFFF"/>
          </w:tcPr>
          <w:p>
            <w:r/>
            <w:r>
              <w:rPr>
                <w:sz w:val="19"/>
              </w:rPr>
              <w:t>Commercial readiness</w:t>
            </w:r>
          </w:p>
        </w:tc>
        <w:tc>
          <w:tcPr>
            <w:tcW w:type="dxa" w:w="1400"/>
            <w:shd w:val="clear" w:color="auto" w:fill="FFFFFF"/>
          </w:tcPr>
          <w:p>
            <w:r/>
            <w:r>
              <w:rPr>
                <w:sz w:val="19"/>
              </w:rPr>
              <w:t>T0 + 12 months</w:t>
            </w:r>
          </w:p>
        </w:tc>
        <w:tc>
          <w:tcPr>
            <w:tcW w:type="dxa" w:w="4200"/>
            <w:shd w:val="clear" w:color="auto" w:fill="FFFFFF"/>
          </w:tcPr>
          <w:p>
            <w:r/>
            <w:r>
              <w:rPr>
                <w:sz w:val="19"/>
              </w:rPr>
              <w:t>Certification filed, patent filed, three paying pilot customers, channel agreement signed, TRL 8 evidence pack.</w:t>
            </w:r>
          </w:p>
        </w:tc>
      </w:tr>
    </w:tbl>
    <w:p/>
    <w:p>
      <w:pPr>
        <w:pStyle w:val="Heading2"/>
        <w:keepNext/>
        <w:numPr>
          <w:ilvl w:val="0"/>
          <w:numId w:val="0"/>
        </w:numPr>
        <w:spacing w:before="200" w:after="120"/>
      </w:pPr>
      <w:r>
        <w:rPr>
          <w:b/>
          <w:color w:val="2E74B5"/>
          <w:sz w:val="25"/>
        </w:rPr>
        <w:t>3.6  Resources and budget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6000"/>
            <w:shd w:val="clear" w:color="auto" w:fill="1F4E79"/>
          </w:tcPr>
          <w:p>
            <w:r/>
            <w:r>
              <w:rPr>
                <w:b/>
                <w:color w:val="FFFFFF"/>
                <w:sz w:val="19"/>
              </w:rPr>
              <w:t>Item</w:t>
            </w:r>
          </w:p>
        </w:tc>
        <w:tc>
          <w:tcPr>
            <w:tcW w:type="dxa" w:w="3080"/>
            <w:shd w:val="clear" w:color="auto" w:fill="1F4E79"/>
          </w:tcPr>
          <w:p>
            <w:r/>
            <w:r>
              <w:rPr>
                <w:b/>
                <w:color w:val="FFFFFF"/>
                <w:sz w:val="19"/>
              </w:rPr>
              <w:t>Amount (INR)</w:t>
            </w:r>
          </w:p>
        </w:tc>
      </w:tr>
      <w:tr>
        <w:tc>
          <w:tcPr>
            <w:tcW w:type="dxa" w:w="6000"/>
            <w:shd w:val="clear" w:color="auto" w:fill="FFFFFF"/>
          </w:tcPr>
          <w:p>
            <w:r/>
            <w:r>
              <w:rPr>
                <w:sz w:val="19"/>
              </w:rPr>
              <w:t>Manpower</w:t>
            </w:r>
          </w:p>
        </w:tc>
        <w:tc>
          <w:tcPr>
            <w:tcW w:type="dxa" w:w="3080"/>
            <w:shd w:val="clear" w:color="auto" w:fill="FFFFFF"/>
          </w:tcPr>
          <w:p>
            <w:pPr>
              <w:jc w:val="right"/>
            </w:pPr>
            <w:r/>
            <w:r>
              <w:rPr>
                <w:sz w:val="19"/>
              </w:rPr>
              <w:t>12,00,000</w:t>
            </w:r>
          </w:p>
        </w:tc>
      </w:tr>
      <w:tr>
        <w:tc>
          <w:tcPr>
            <w:tcW w:type="dxa" w:w="6000"/>
            <w:shd w:val="clear" w:color="auto" w:fill="FFFFFF"/>
          </w:tcPr>
          <w:p>
            <w:r/>
            <w:r>
              <w:rPr>
                <w:sz w:val="19"/>
              </w:rPr>
              <w:t>Equipment (exclusive of GST)</w:t>
            </w:r>
          </w:p>
        </w:tc>
        <w:tc>
          <w:tcPr>
            <w:tcW w:type="dxa" w:w="3080"/>
            <w:shd w:val="clear" w:color="auto" w:fill="FFFFFF"/>
          </w:tcPr>
          <w:p>
            <w:pPr>
              <w:jc w:val="right"/>
            </w:pPr>
            <w:r/>
            <w:r>
              <w:rPr>
                <w:sz w:val="19"/>
              </w:rPr>
              <w:t>8,40,000</w:t>
            </w:r>
          </w:p>
        </w:tc>
      </w:tr>
      <w:tr>
        <w:tc>
          <w:tcPr>
            <w:tcW w:type="dxa" w:w="6000"/>
            <w:shd w:val="clear" w:color="auto" w:fill="FFFFFF"/>
          </w:tcPr>
          <w:p>
            <w:r/>
            <w:r>
              <w:rPr>
                <w:sz w:val="19"/>
              </w:rPr>
              <w:t>Consumables</w:t>
            </w:r>
          </w:p>
        </w:tc>
        <w:tc>
          <w:tcPr>
            <w:tcW w:type="dxa" w:w="3080"/>
            <w:shd w:val="clear" w:color="auto" w:fill="FFFFFF"/>
          </w:tcPr>
          <w:p>
            <w:pPr>
              <w:jc w:val="right"/>
            </w:pPr>
            <w:r/>
            <w:r>
              <w:rPr>
                <w:sz w:val="19"/>
              </w:rPr>
              <w:t>4,40,000</w:t>
            </w:r>
          </w:p>
        </w:tc>
      </w:tr>
      <w:tr>
        <w:tc>
          <w:tcPr>
            <w:tcW w:type="dxa" w:w="6000"/>
            <w:shd w:val="clear" w:color="auto" w:fill="FFFFFF"/>
          </w:tcPr>
          <w:p>
            <w:r/>
            <w:r>
              <w:rPr>
                <w:sz w:val="19"/>
              </w:rPr>
              <w:t>Travel</w:t>
            </w:r>
          </w:p>
        </w:tc>
        <w:tc>
          <w:tcPr>
            <w:tcW w:type="dxa" w:w="3080"/>
            <w:shd w:val="clear" w:color="auto" w:fill="FFFFFF"/>
          </w:tcPr>
          <w:p>
            <w:pPr>
              <w:jc w:val="right"/>
            </w:pPr>
            <w:r/>
            <w:r>
              <w:rPr>
                <w:sz w:val="19"/>
              </w:rPr>
              <w:t>2,00,000</w:t>
            </w:r>
          </w:p>
        </w:tc>
      </w:tr>
      <w:tr>
        <w:tc>
          <w:tcPr>
            <w:tcW w:type="dxa" w:w="6000"/>
            <w:shd w:val="clear" w:color="auto" w:fill="FFFFFF"/>
          </w:tcPr>
          <w:p>
            <w:r/>
            <w:r>
              <w:rPr>
                <w:sz w:val="19"/>
              </w:rPr>
              <w:t>Miscellaneous</w:t>
            </w:r>
          </w:p>
        </w:tc>
        <w:tc>
          <w:tcPr>
            <w:tcW w:type="dxa" w:w="3080"/>
            <w:shd w:val="clear" w:color="auto" w:fill="FFFFFF"/>
          </w:tcPr>
          <w:p>
            <w:pPr>
              <w:jc w:val="right"/>
            </w:pPr>
            <w:r/>
            <w:r>
              <w:rPr>
                <w:sz w:val="19"/>
              </w:rPr>
              <w:t>4,40,000</w:t>
            </w:r>
          </w:p>
        </w:tc>
      </w:tr>
      <w:tr>
        <w:tc>
          <w:tcPr>
            <w:tcW w:type="dxa" w:w="6000"/>
            <w:shd w:val="clear" w:color="auto" w:fill="FFFFFF"/>
          </w:tcPr>
          <w:p>
            <w:r/>
            <w:r>
              <w:rPr>
                <w:sz w:val="19"/>
              </w:rPr>
              <w:t>Contingency (max 5%)</w:t>
            </w:r>
          </w:p>
        </w:tc>
        <w:tc>
          <w:tcPr>
            <w:tcW w:type="dxa" w:w="3080"/>
            <w:shd w:val="clear" w:color="auto" w:fill="FFFFFF"/>
          </w:tcPr>
          <w:p>
            <w:pPr>
              <w:jc w:val="right"/>
            </w:pPr>
            <w:r/>
            <w:r>
              <w:rPr>
                <w:sz w:val="19"/>
              </w:rPr>
              <w:t>1,56,000</w:t>
            </w:r>
          </w:p>
        </w:tc>
      </w:tr>
      <w:tr>
        <w:tc>
          <w:tcPr>
            <w:tcW w:type="dxa" w:w="6000"/>
            <w:shd w:val="clear" w:color="auto" w:fill="FFFFFF"/>
          </w:tcPr>
          <w:p>
            <w:r/>
            <w:r>
              <w:rPr>
                <w:sz w:val="19"/>
              </w:rPr>
              <w:t>Sub total</w:t>
            </w:r>
          </w:p>
        </w:tc>
        <w:tc>
          <w:tcPr>
            <w:tcW w:type="dxa" w:w="3080"/>
            <w:shd w:val="clear" w:color="auto" w:fill="FFFFFF"/>
          </w:tcPr>
          <w:p>
            <w:pPr>
              <w:jc w:val="right"/>
            </w:pPr>
            <w:r/>
            <w:r>
              <w:rPr>
                <w:sz w:val="19"/>
              </w:rPr>
              <w:t>32,76,000</w:t>
            </w:r>
          </w:p>
        </w:tc>
      </w:tr>
      <w:tr>
        <w:tc>
          <w:tcPr>
            <w:tcW w:type="dxa" w:w="6000"/>
            <w:shd w:val="clear" w:color="auto" w:fill="FFFFFF"/>
          </w:tcPr>
          <w:p>
            <w:r/>
            <w:r>
              <w:rPr>
                <w:sz w:val="19"/>
              </w:rPr>
              <w:t>Overhead (max 20%)</w:t>
            </w:r>
          </w:p>
        </w:tc>
        <w:tc>
          <w:tcPr>
            <w:tcW w:type="dxa" w:w="3080"/>
            <w:shd w:val="clear" w:color="auto" w:fill="FFFFFF"/>
          </w:tcPr>
          <w:p>
            <w:pPr>
              <w:jc w:val="right"/>
            </w:pPr>
            <w:r/>
            <w:r>
              <w:rPr>
                <w:sz w:val="19"/>
              </w:rPr>
              <w:t>6,55,200</w:t>
            </w:r>
          </w:p>
        </w:tc>
      </w:tr>
      <w:tr>
        <w:tc>
          <w:tcPr>
            <w:tcW w:type="dxa" w:w="6000"/>
            <w:shd w:val="clear" w:color="auto" w:fill="FFFFFF"/>
          </w:tcPr>
          <w:p>
            <w:r/>
            <w:r>
              <w:rPr>
                <w:sz w:val="19"/>
              </w:rPr>
              <w:t>Faculty fee (max 20%)</w:t>
            </w:r>
          </w:p>
        </w:tc>
        <w:tc>
          <w:tcPr>
            <w:tcW w:type="dxa" w:w="3080"/>
            <w:shd w:val="clear" w:color="auto" w:fill="FFFFFF"/>
          </w:tcPr>
          <w:p>
            <w:pPr>
              <w:jc w:val="right"/>
            </w:pPr>
            <w:r/>
            <w:r>
              <w:rPr>
                <w:sz w:val="19"/>
              </w:rPr>
              <w:t>3,00,000</w:t>
            </w:r>
          </w:p>
        </w:tc>
      </w:tr>
      <w:tr>
        <w:tc>
          <w:tcPr>
            <w:tcW w:type="dxa" w:w="6000"/>
            <w:shd w:val="clear" w:color="auto" w:fill="FFFFFF"/>
          </w:tcPr>
          <w:p>
            <w:r/>
            <w:r>
              <w:rPr>
                <w:sz w:val="19"/>
              </w:rPr>
              <w:t>Total (7+8+9)</w:t>
            </w:r>
          </w:p>
        </w:tc>
        <w:tc>
          <w:tcPr>
            <w:tcW w:type="dxa" w:w="3080"/>
            <w:shd w:val="clear" w:color="auto" w:fill="FFFFFF"/>
          </w:tcPr>
          <w:p>
            <w:pPr>
              <w:jc w:val="right"/>
            </w:pPr>
            <w:r/>
            <w:r>
              <w:rPr>
                <w:sz w:val="19"/>
              </w:rPr>
              <w:t>42,31,200</w:t>
            </w:r>
          </w:p>
        </w:tc>
      </w:tr>
      <w:tr>
        <w:tc>
          <w:tcPr>
            <w:tcW w:type="dxa" w:w="6000"/>
            <w:shd w:val="clear" w:color="auto" w:fill="FFFFFF"/>
          </w:tcPr>
          <w:p>
            <w:r/>
            <w:r>
              <w:rPr>
                <w:sz w:val="19"/>
              </w:rPr>
              <w:t>GST (18%)</w:t>
            </w:r>
          </w:p>
        </w:tc>
        <w:tc>
          <w:tcPr>
            <w:tcW w:type="dxa" w:w="3080"/>
            <w:shd w:val="clear" w:color="auto" w:fill="FFFFFF"/>
          </w:tcPr>
          <w:p>
            <w:pPr>
              <w:jc w:val="right"/>
            </w:pPr>
            <w:r/>
            <w:r>
              <w:rPr>
                <w:sz w:val="19"/>
              </w:rPr>
              <w:t>0</w:t>
            </w:r>
          </w:p>
        </w:tc>
      </w:tr>
      <w:tr>
        <w:tc>
          <w:tcPr>
            <w:tcW w:type="dxa" w:w="6000"/>
            <w:shd w:val="clear" w:color="auto" w:fill="FFFFFF"/>
          </w:tcPr>
          <w:p>
            <w:r/>
            <w:r>
              <w:rPr>
                <w:sz w:val="19"/>
              </w:rPr>
              <w:t>Grand total</w:t>
            </w:r>
          </w:p>
        </w:tc>
        <w:tc>
          <w:tcPr>
            <w:tcW w:type="dxa" w:w="3080"/>
            <w:shd w:val="clear" w:color="auto" w:fill="FFFFFF"/>
          </w:tcPr>
          <w:p>
            <w:pPr>
              <w:jc w:val="right"/>
            </w:pPr>
            <w:r/>
            <w:r>
              <w:rPr>
                <w:sz w:val="19"/>
              </w:rPr>
              <w:t>42,31,200</w:t>
            </w:r>
          </w:p>
        </w:tc>
      </w:tr>
    </w:tbl>
    <w:p/>
    <w:p>
      <w:pPr>
        <w:spacing w:after="120"/>
      </w:pPr>
      <w:r>
        <w:rPr>
          <w:b w:val="0"/>
          <w:sz w:val="20"/>
        </w:rPr>
        <w:t>Manpower covers two full-time engineers at Nuke Labs for twelve months, one mechanical and one firmware, at INR 50,000 per month each. Equipment covers enclosure tooling (INR 4.0 lakh), a tank test rig (INR 2.0 lakh) and reference instruments for validation (INR 2.4 lakh). Consumables cover twenty-five pilot sets at INR 15,600 each, plus PCB fabrication and spares.</w:t>
      </w:r>
    </w:p>
    <w:p>
      <w:pPr>
        <w:spacing w:after="120"/>
      </w:pPr>
      <w:r>
        <w:rPr>
          <w:b w:val="0"/>
          <w:sz w:val="20"/>
        </w:rPr>
        <w:t>Miscellaneous covers certification (INR 2.0 lakh), patent drafting and filing (INR 1.4 lakh), and market work with channel partners (INR 1.0 lakh). Travel covers the field installations and review meetings (INR 2.0 lakh). Contingency is 5 percent of direct cost and overhead 20 percent of the sub total; the faculty fee is INR 3.0 lakh, below the 20 percent cap.</w:t>
      </w:r>
    </w:p>
    <w:p>
      <w:pPr>
        <w:spacing w:after="120"/>
      </w:pPr>
      <w:r>
        <w:rPr>
          <w:b w:val="0"/>
          <w:sz w:val="20"/>
        </w:rPr>
        <w:t>Prototype parts to date total INR 23,587, already invested and not part of this request.</w:t>
      </w:r>
    </w:p>
    <w:p>
      <w:pPr>
        <w:keepNext/>
        <w:pageBreakBefore/>
        <w:spacing w:after="120" w:before="280"/>
      </w:pPr>
      <w:r>
        <w:rPr>
          <w:b/>
          <w:color w:val="2E74B5"/>
          <w:sz w:val="25"/>
        </w:rPr>
        <w:t>Tranche disbursement schedule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00"/>
            <w:shd w:val="clear" w:color="auto" w:fill="1F4E79"/>
          </w:tcPr>
          <w:p>
            <w:r/>
            <w:r>
              <w:rPr>
                <w:b/>
                <w:color w:val="FFFFFF"/>
                <w:sz w:val="19"/>
              </w:rPr>
              <w:t>Timeline</w:t>
            </w:r>
          </w:p>
        </w:tc>
        <w:tc>
          <w:tcPr>
            <w:tcW w:type="dxa" w:w="1800"/>
            <w:shd w:val="clear" w:color="auto" w:fill="1F4E79"/>
          </w:tcPr>
          <w:p>
            <w:r/>
            <w:r>
              <w:rPr>
                <w:b/>
                <w:color w:val="FFFFFF"/>
                <w:sz w:val="19"/>
              </w:rPr>
              <w:t>Amount (INR)</w:t>
            </w:r>
          </w:p>
        </w:tc>
        <w:tc>
          <w:tcPr>
            <w:tcW w:type="dxa" w:w="5080"/>
            <w:shd w:val="clear" w:color="auto" w:fill="1F4E79"/>
          </w:tcPr>
          <w:p>
            <w:r/>
            <w:r>
              <w:rPr>
                <w:b/>
                <w:color w:val="FFFFFF"/>
                <w:sz w:val="19"/>
              </w:rPr>
              <w:t>Milestone covered</w:t>
            </w:r>
          </w:p>
        </w:tc>
      </w:tr>
      <w:tr>
        <w:tc>
          <w:tcPr>
            <w:tcW w:type="dxa" w:w="2200"/>
            <w:shd w:val="clear" w:color="auto" w:fill="FFFFFF"/>
          </w:tcPr>
          <w:p>
            <w:r/>
            <w:r>
              <w:rPr>
                <w:sz w:val="19"/>
              </w:rPr>
              <w:t>Project start (T0)</w:t>
            </w:r>
          </w:p>
        </w:tc>
        <w:tc>
          <w:tcPr>
            <w:tcW w:type="dxa" w:w="1800"/>
            <w:shd w:val="clear" w:color="auto" w:fill="FFFFFF"/>
          </w:tcPr>
          <w:p>
            <w:pPr>
              <w:jc w:val="right"/>
            </w:pPr>
            <w:r/>
            <w:r>
              <w:rPr>
                <w:sz w:val="19"/>
              </w:rPr>
              <w:t>15,69,160</w:t>
            </w:r>
          </w:p>
        </w:tc>
        <w:tc>
          <w:tcPr>
            <w:tcW w:type="dxa" w:w="5080"/>
            <w:shd w:val="clear" w:color="auto" w:fill="FFFFFF"/>
          </w:tcPr>
          <w:p>
            <w:r/>
            <w:r>
              <w:rPr>
                <w:sz w:val="19"/>
              </w:rPr>
              <w:t>Design freeze, tooling and the first pilot sets</w:t>
            </w:r>
          </w:p>
        </w:tc>
      </w:tr>
      <w:tr>
        <w:tc>
          <w:tcPr>
            <w:tcW w:type="dxa" w:w="2200"/>
            <w:shd w:val="clear" w:color="auto" w:fill="FFFFFF"/>
          </w:tcPr>
          <w:p>
            <w:r/>
            <w:r>
              <w:rPr>
                <w:sz w:val="19"/>
              </w:rPr>
              <w:t>T0 + 6 months</w:t>
            </w:r>
          </w:p>
        </w:tc>
        <w:tc>
          <w:tcPr>
            <w:tcW w:type="dxa" w:w="1800"/>
            <w:shd w:val="clear" w:color="auto" w:fill="FFFFFF"/>
          </w:tcPr>
          <w:p>
            <w:pPr>
              <w:jc w:val="right"/>
            </w:pPr>
            <w:r/>
            <w:r>
              <w:rPr>
                <w:sz w:val="19"/>
              </w:rPr>
              <w:t>16,39,560</w:t>
            </w:r>
          </w:p>
        </w:tc>
        <w:tc>
          <w:tcPr>
            <w:tcW w:type="dxa" w:w="5080"/>
            <w:shd w:val="clear" w:color="auto" w:fill="FFFFFF"/>
          </w:tcPr>
          <w:p>
            <w:r/>
            <w:r>
              <w:rPr>
                <w:sz w:val="19"/>
              </w:rPr>
              <w:t>Pilot build, certification testing and field deployment</w:t>
            </w:r>
          </w:p>
        </w:tc>
      </w:tr>
      <w:tr>
        <w:tc>
          <w:tcPr>
            <w:tcW w:type="dxa" w:w="2200"/>
            <w:shd w:val="clear" w:color="auto" w:fill="FFFFFF"/>
          </w:tcPr>
          <w:p>
            <w:r/>
            <w:r>
              <w:rPr>
                <w:sz w:val="19"/>
              </w:rPr>
              <w:t>T0 + 12 months</w:t>
            </w:r>
          </w:p>
        </w:tc>
        <w:tc>
          <w:tcPr>
            <w:tcW w:type="dxa" w:w="1800"/>
            <w:shd w:val="clear" w:color="auto" w:fill="FFFFFF"/>
          </w:tcPr>
          <w:p>
            <w:pPr>
              <w:jc w:val="right"/>
            </w:pPr>
            <w:r/>
            <w:r>
              <w:rPr>
                <w:sz w:val="19"/>
              </w:rPr>
              <w:t>10,22,480</w:t>
            </w:r>
          </w:p>
        </w:tc>
        <w:tc>
          <w:tcPr>
            <w:tcW w:type="dxa" w:w="5080"/>
            <w:shd w:val="clear" w:color="auto" w:fill="FFFFFF"/>
          </w:tcPr>
          <w:p>
            <w:r/>
            <w:r>
              <w:rPr>
                <w:sz w:val="19"/>
              </w:rPr>
              <w:t>Validation close-out, IP filing and commercial launch</w:t>
            </w:r>
          </w:p>
        </w:tc>
      </w:tr>
      <w:tr>
        <w:tc>
          <w:tcPr>
            <w:tcW w:type="dxa" w:w="2200"/>
            <w:shd w:val="clear" w:color="auto" w:fill="FFFFFF"/>
          </w:tcPr>
          <w:p>
            <w:r/>
            <w:r>
              <w:rPr>
                <w:sz w:val="19"/>
              </w:rPr>
              <w:t>Total</w:t>
            </w:r>
          </w:p>
        </w:tc>
        <w:tc>
          <w:tcPr>
            <w:tcW w:type="dxa" w:w="1800"/>
            <w:shd w:val="clear" w:color="auto" w:fill="FFFFFF"/>
          </w:tcPr>
          <w:p>
            <w:pPr>
              <w:jc w:val="right"/>
            </w:pPr>
            <w:r/>
            <w:r>
              <w:rPr>
                <w:sz w:val="19"/>
              </w:rPr>
              <w:t>42,31,200</w:t>
            </w:r>
          </w:p>
        </w:tc>
        <w:tc>
          <w:tcPr>
            <w:tcW w:type="dxa" w:w="5080"/>
            <w:shd w:val="clear" w:color="auto" w:fill="FFFFFF"/>
          </w:tcPr>
          <w:p>
            <w:r/>
            <w:r>
              <w:rPr>
                <w:sz w:val="19"/>
              </w:rPr>
            </w:r>
          </w:p>
        </w:tc>
      </w:tr>
    </w:tbl>
    <w:p/>
    <w:p>
      <w:pPr>
        <w:pStyle w:val="Heading2"/>
        <w:keepNext/>
        <w:numPr>
          <w:ilvl w:val="0"/>
          <w:numId w:val="0"/>
        </w:numPr>
        <w:spacing w:before="200" w:after="120"/>
      </w:pPr>
      <w:r>
        <w:rPr>
          <w:b/>
          <w:color w:val="2E74B5"/>
          <w:sz w:val="25"/>
        </w:rPr>
        <w:t>3.7  Category of new technology/product</w:t>
      </w:r>
    </w:p>
    <w:p>
      <w:pPr>
        <w:spacing w:after="120"/>
      </w:pPr>
      <w:r>
        <w:rPr>
          <w:b w:val="0"/>
          <w:sz w:val="22"/>
        </w:rPr>
        <w:t>New-to-the-world product. The combination of edge-computed water scoring, a dashboard hosted on the device, safe pump control and a selective cleaning arm on one local network is not offered by monitoring products or by full-drain cleaning services. The closest alternatives cover one part of the problem.</w:t>
      </w:r>
    </w:p>
    <w:p>
      <w:pPr>
        <w:pStyle w:val="Heading2"/>
        <w:keepNext/>
        <w:numPr>
          <w:ilvl w:val="0"/>
          <w:numId w:val="0"/>
        </w:numPr>
        <w:spacing w:before="200" w:after="120"/>
      </w:pPr>
      <w:r>
        <w:rPr>
          <w:b/>
          <w:color w:val="2E74B5"/>
          <w:sz w:val="25"/>
        </w:rPr>
        <w:t>3.8  Commercialisation plan</w:t>
      </w:r>
    </w:p>
    <w:p>
      <w:pPr>
        <w:spacing w:after="120"/>
      </w:pPr>
      <w:r>
        <w:rPr>
          <w:b w:val="0"/>
          <w:sz w:val="22"/>
        </w:rPr>
        <w:t>The buyer is the contractor or facility manager who already pays for cleaning. A household buys a clean, not a device, so the arm is sold to the contractor who visits the tank, and the monitor is sold to the institution that wants a reading between cleans.</w:t>
      </w:r>
    </w:p>
    <w:p>
      <w:pPr>
        <w:spacing w:after="120"/>
      </w:pPr>
      <w:r>
        <w:rPr>
          <w:b w:val="0"/>
          <w:sz w:val="22"/>
        </w:rPr>
        <w:t>Price targets: INR 39,999 for the complete system (M1, H1 and C1) against INR 15,600 of parts, a gross margin near 61 percent. The monitor and home unit alone sell at INR 16,999 for sites that do not need the arm.</w:t>
      </w:r>
    </w:p>
    <w:p>
      <w:pPr>
        <w:spacing w:after="120"/>
      </w:pPr>
      <w:r>
        <w:rPr>
          <w:b w:val="0"/>
          <w:sz w:val="22"/>
        </w:rPr>
        <w:t>Market base: 79 million urban households in the 2011 Census, of which about 60 percent are assumed to store water in a tank (47 million), plus 1.5 million schools and 70,000 hospitals. A tank clean sells for INR 1,500 to 4,000 in urban India, once or twice a year.</w:t>
      </w:r>
    </w:p>
    <w:p>
      <w:pPr>
        <w:spacing w:after="120"/>
      </w:pPr>
      <w:r>
        <w:rPr>
          <w:b w:val="0"/>
          <w:sz w:val="22"/>
        </w:rPr>
        <w:t>Route to revenue: three paying pilot sites in the grant year, converted to reference accounts; two channel partners in the following year, one in cleaning services and one in plumbing distribution; a target of 250 units in the first full year of sale.</w:t>
      </w:r>
    </w:p>
    <w:p>
      <w:pPr>
        <w:spacing w:after="120"/>
      </w:pPr>
      <w:r>
        <w:rPr>
          <w:b w:val="0"/>
          <w:sz w:val="22"/>
        </w:rPr>
        <w:t>The grant pays for the tooling, certification and pilot units that a first customer will not fund. Nuke Labs carries the channel, the service network and the field access.</w:t>
      </w:r>
    </w:p>
    <w:p>
      <w:pPr>
        <w:pStyle w:val="Heading1"/>
        <w:keepNext/>
        <w:numPr>
          <w:ilvl w:val="0"/>
          <w:numId w:val="0"/>
        </w:numPr>
        <w:spacing w:before="280" w:after="120"/>
      </w:pPr>
      <w:r>
        <w:rPr>
          <w:b/>
          <w:color w:val="1F4E79"/>
          <w:sz w:val="30"/>
        </w:rPr>
        <w:t>4  Appendix</w:t>
      </w:r>
    </w:p>
    <w:p>
      <w:pPr>
        <w:pStyle w:val="Heading2"/>
        <w:keepNext/>
        <w:numPr>
          <w:ilvl w:val="0"/>
          <w:numId w:val="0"/>
        </w:numPr>
        <w:spacing w:before="200" w:after="120"/>
      </w:pPr>
      <w:r>
        <w:rPr>
          <w:b/>
          <w:color w:val="2E74B5"/>
          <w:sz w:val="25"/>
        </w:rPr>
        <w:t>4.1  Supporting documentation</w:t>
      </w:r>
    </w:p>
    <w:p>
      <w:pPr>
        <w:spacing w:after="80"/>
        <w:ind w:left="280"/>
      </w:pPr>
      <w:r>
        <w:rPr>
          <w:b w:val="0"/>
          <w:sz w:val="22"/>
        </w:rPr>
        <w:t>TankGuard Technical Specification, document TG-SPEC-2026-001, October 2026, 7 pages.</w:t>
      </w:r>
    </w:p>
    <w:p>
      <w:pPr>
        <w:spacing w:after="80"/>
        <w:ind w:left="280"/>
      </w:pPr>
      <w:r>
        <w:rPr>
          <w:b w:val="0"/>
          <w:sz w:val="22"/>
        </w:rPr>
        <w:t>Firmware for all three units, compiling for ESP8266 (M1 and H1) and ESP32 (C1), with the React dashboard served from M1 flash.</w:t>
      </w:r>
    </w:p>
    <w:p>
      <w:pPr>
        <w:spacing w:after="80"/>
        <w:ind w:left="280"/>
      </w:pPr>
      <w:r>
        <w:rPr>
          <w:b w:val="0"/>
          <w:sz w:val="22"/>
        </w:rPr>
        <w:t>Design record (docs/CLEANER.md): kinematics, coverage analysis and control limits, including the 2 cm wall ring the arm cannot reach.</w:t>
      </w:r>
    </w:p>
    <w:p>
      <w:pPr>
        <w:spacing w:after="80"/>
        <w:ind w:left="280"/>
      </w:pPr>
      <w:r>
        <w:rPr>
          <w:b w:val="0"/>
          <w:sz w:val="22"/>
        </w:rPr>
        <w:t>Coverage planner (tools/swept_area.html) and the generated path used by the controller (firmware/c1_cleaner/path.h).</w:t>
      </w:r>
    </w:p>
    <w:p>
      <w:pPr>
        <w:spacing w:after="80"/>
        <w:ind w:left="280"/>
      </w:pPr>
      <w:r>
        <w:rPr>
          <w:b w:val="0"/>
          <w:sz w:val="22"/>
        </w:rPr>
        <w:t>Patentability disclosure and the minimum bill of materials.</w:t>
      </w:r>
    </w:p>
    <w:p>
      <w:pPr>
        <w:spacing w:after="80"/>
        <w:ind w:left="280"/>
      </w:pPr>
      <w:r>
        <w:rPr>
          <w:b w:val="0"/>
          <w:sz w:val="22"/>
        </w:rPr>
        <w:t>Prototype spend to date: INR 23,587 in parts, with the monitor running at TRL 6.</w:t>
      </w:r>
    </w:p>
    <w:sectPr>
      <w:headerReference r:id="rId11" w:type="default"/>
      <w:headerReference r:id="rId12" w:type="first"/>
      <w:headerReference r:id="rId13" w:type="even"/>
      <w:footerReference r:id="rId14" w:type="default"/>
      <w:footerReference r:id="rId15" w:type="first"/>
      <w:footerReference r:id="rId16" w:type="even"/>
      <w:pgSz w:h="16840" w:w="11907" w:orient="portrait"/>
      <w:pgMar w:bottom="397" w:top="1559" w:left="1134" w:right="1134" w:header="397" w:footer="53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tabs>
        <w:tab w:val="center" w:leader="none" w:pos="4153"/>
        <w:tab w:val="right" w:leader="none" w:pos="8306"/>
        <w:tab w:val="center" w:leader="none" w:pos="5387"/>
        <w:tab w:val="right" w:leader="none" w:pos="10206"/>
      </w:tabs>
      <w:spacing w:after="0" w:before="20" w:lineRule="auto"/>
      <w:ind w:left="-108" w:firstLine="0"/>
      <w:jc w:val="left"/>
      <w:rPr>
        <w:rFonts w:ascii="Arial" w:cs="Arial" w:eastAsia="Arial" w:hAnsi="Arial"/>
        <w:color w:val="000000"/>
        <w:sz w:val="2"/>
        <w:szCs w:val="2"/>
      </w:rPr>
    </w:pPr>
    <w:r w:rsidDel="00000000" w:rsidR="00000000" w:rsidRPr="00000000">
      <w:rPr>
        <w:rFonts w:ascii="Arial" w:cs="Arial" w:eastAsia="Arial" w:hAnsi="Arial"/>
        <w:b w:val="1"/>
        <w:bCs w:val="1"/>
        <w:sz w:val="20"/>
        <w:szCs w:val="20"/>
      </w:rPr>
      <w:drawing>
        <wp:inline distB="114300" distT="114300" distL="114300" distR="114300">
          <wp:extent cx="1151572" cy="428363"/>
          <wp:effectExtent b="0" l="0" r="0" t="0"/>
          <wp:docPr id="76103764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51572" cy="428363"/>
                  </a:xfrm>
                  <a:prstGeom prst="rect"/>
                  <a:ln/>
                </pic:spPr>
              </pic:pic>
            </a:graphicData>
          </a:graphic>
        </wp:inline>
      </w:drawing>
    </w:r>
    <w:r w:rsidDel="00000000" w:rsidR="00000000" w:rsidRPr="00000000">
      <w:rPr>
        <w:rFonts w:ascii="Arial" w:cs="Arial" w:eastAsia="Arial" w:hAnsi="Arial"/>
        <w:b w:val="1"/>
        <w:bCs w:val="1"/>
        <w:sz w:val="20"/>
        <w:szCs w:val="20"/>
        <w:rtl w:val="0"/>
      </w:rPr>
      <w:tab/>
      <w:tab/>
      <w:tab/>
      <w:tab/>
      <w:t xml:space="preserve">Page </w:t>
    </w:r>
    <w:r w:rsidDel="00000000" w:rsidR="00000000" w:rsidRPr="00000000">
      <w:rPr>
        <w:rFonts w:ascii="Arial" w:cs="Arial" w:eastAsia="Arial" w:hAnsi="Arial"/>
        <w:b w:val="1"/>
        <w:bCs w:val="1"/>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bCs w:val="1"/>
        <w:sz w:val="20"/>
        <w:szCs w:val="20"/>
        <w:rtl w:val="0"/>
      </w:rPr>
      <w:t xml:space="preserve"> of </w:t>
    </w:r>
    <w:r w:rsidDel="00000000" w:rsidR="00000000" w:rsidRPr="00000000">
      <w:rPr>
        <w:rFonts w:ascii="Arial" w:cs="Arial" w:eastAsia="Arial" w:hAnsi="Arial"/>
        <w:b w:val="1"/>
        <w:bCs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after="0" w:before="0" w:line="276" w:lineRule="auto"/>
      <w:jc w:val="left"/>
      <w:rPr/>
    </w:pPr>
    <w:r w:rsidDel="00000000" w:rsidR="00000000" w:rsidRPr="00000000">
      <w:rPr>
        <w:rtl w:val="0"/>
      </w:rPr>
    </w:r>
  </w:p>
  <w:tbl>
    <w:tblPr>
      <w:tblStyle w:val="Table8"/>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6"/>
      <w:gridCol w:w="698"/>
      <w:gridCol w:w="1871"/>
      <w:gridCol w:w="2924"/>
      <w:tblGridChange w:id="0">
        <w:tblGrid>
          <w:gridCol w:w="4146"/>
          <w:gridCol w:w="698"/>
          <w:gridCol w:w="1871"/>
          <w:gridCol w:w="2924"/>
        </w:tblGrid>
      </w:tblGridChange>
    </w:tblGrid>
    <w:tr>
      <w:trPr>
        <w:cantSplit w:val="0"/>
        <w:tblHeader w:val="0"/>
      </w:trPr>
      <w:tc>
        <w:tcPr>
          <w:gridSpan w:val="2"/>
          <w:shd w:fill="auto" w:val="clear"/>
        </w:tcPr>
        <w:p w:rsidR="00000000" w:rsidDel="00000000" w:rsidP="00000000" w:rsidRDefault="00000000" w:rsidRPr="00000000" w14:paraId="00000149">
          <w:pPr>
            <w:rPr>
              <w:rFonts w:ascii="Arial Black" w:cs="Arial Black" w:eastAsia="Arial Black" w:hAnsi="Arial Black"/>
              <w:sz w:val="16"/>
              <w:szCs w:val="16"/>
            </w:rPr>
          </w:pPr>
          <w:r w:rsidDel="00000000" w:rsidR="00000000" w:rsidRPr="00000000">
            <w:rPr>
              <w:rFonts w:ascii="Arial" w:cs="Arial" w:eastAsia="Arial" w:hAnsi="Arial"/>
              <w:sz w:val="22"/>
              <w:szCs w:val="22"/>
              <w:rtl w:val="0"/>
            </w:rPr>
            <w:t xml:space="preserve">TIH reserves all rights in this document and in the information contained therein. Reproduction, use or disclosure to third parties without express authority is strictly forbidden.</w:t>
          </w:r>
          <w:r w:rsidDel="00000000" w:rsidR="00000000" w:rsidRPr="00000000">
            <w:rPr>
              <w:rtl w:val="0"/>
            </w:rPr>
          </w:r>
        </w:p>
      </w:tc>
      <w:tc>
        <w:tcPr>
          <w:gridSpan w:val="2"/>
          <w:shd w:fill="auto" w:val="clear"/>
          <w:vAlign w:val="bottom"/>
        </w:tcPr>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153"/>
              <w:tab w:val="right" w:leader="none" w:pos="8306"/>
            </w:tabs>
            <w:jc w:val="right"/>
            <w:rPr>
              <w:rFonts w:ascii="Arial" w:cs="Arial" w:eastAsia="Arial" w:hAnsi="Arial"/>
              <w:color w:val="000000"/>
              <w:sz w:val="22"/>
              <w:szCs w:val="22"/>
            </w:rPr>
          </w:pPr>
          <w:r w:rsidDel="00000000" w:rsidR="00000000" w:rsidRPr="00000000">
            <w:fldChar w:fldCharType="begin"/>
            <w:instrText xml:space="preserve"> DOCPROPERTY "Version"</w:instrText>
            <w:fldChar w:fldCharType="separate"/>
          </w:r>
          <w:r w:rsidDel="00000000" w:rsidR="00000000" w:rsidRPr="00000000">
            <w:rPr>
              <w:rFonts w:ascii="Arial" w:cs="Arial" w:eastAsia="Arial" w:hAnsi="Arial"/>
              <w:color w:val="000000"/>
              <w:sz w:val="22"/>
              <w:szCs w:val="22"/>
              <w:rtl w:val="0"/>
            </w:rPr>
            <w:t xml:space="preserve">Version</w:t>
          </w:r>
          <w:r w:rsidDel="00000000" w:rsidR="00000000" w:rsidRPr="00000000">
            <w:fldChar w:fldCharType="end"/>
          </w:r>
          <w:r w:rsidDel="00000000" w:rsidR="00000000" w:rsidRPr="00000000">
            <w:rPr>
              <w:rFonts w:ascii="Arial" w:cs="Arial" w:eastAsia="Arial" w:hAnsi="Arial"/>
              <w:color w:val="000000"/>
              <w:sz w:val="22"/>
              <w:szCs w:val="22"/>
              <w:rtl w:val="0"/>
            </w:rPr>
            <w:t xml:space="preserve"> </w:t>
          </w:r>
          <w:r w:rsidDel="00000000" w:rsidR="00000000" w:rsidRPr="00000000">
            <w:fldChar w:fldCharType="begin"/>
            <w:instrText xml:space="preserve"> DOCPROPERTY "DocumentVersion"</w:instrText>
            <w:fldChar w:fldCharType="separate"/>
          </w:r>
          <w:r w:rsidDel="00000000" w:rsidR="00000000" w:rsidRPr="00000000">
            <w:rPr>
              <w:rFonts w:ascii="Arial" w:cs="Arial" w:eastAsia="Arial" w:hAnsi="Arial"/>
              <w:color w:val="000000"/>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153"/>
              <w:tab w:val="right" w:leader="none" w:pos="8306"/>
            </w:tabs>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31-October-2026</w:t>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center" w:leader="none" w:pos="4153"/>
              <w:tab w:val="right" w:leader="none" w:pos="8306"/>
            </w:tabs>
            <w:jc w:val="right"/>
            <w:rPr>
              <w:rFonts w:ascii="Arial" w:cs="Arial" w:eastAsia="Arial" w:hAnsi="Arial"/>
              <w:color w:val="000000"/>
              <w:sz w:val="20"/>
              <w:szCs w:val="20"/>
            </w:rPr>
          </w:pPr>
          <w:r w:rsidDel="00000000" w:rsidR="00000000" w:rsidRPr="00000000">
            <w:rPr>
              <w:rFonts w:ascii="Arial" w:cs="Arial" w:eastAsia="Arial" w:hAnsi="Arial"/>
              <w:color w:val="000000"/>
              <w:sz w:val="22"/>
              <w:szCs w:val="22"/>
              <w:rtl w:val="0"/>
            </w:rPr>
            <w:t xml:space="preserve">TIH</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center" w:leader="none" w:pos="4153"/>
              <w:tab w:val="right" w:leader="none" w:pos="8306"/>
              <w:tab w:val="right" w:leader="none" w:pos="10206"/>
            </w:tabs>
            <w:spacing w:after="0" w:lineRule="auto"/>
            <w:ind w:left="-142" w:right="-249" w:firstLine="0"/>
            <w:rPr>
              <w:rFonts w:ascii="Arial Black" w:cs="Arial Black" w:eastAsia="Arial Black" w:hAnsi="Arial Black"/>
              <w:color w:val="000000"/>
              <w:sz w:val="16"/>
              <w:szCs w:val="16"/>
            </w:rPr>
          </w:pPr>
          <w:r w:rsidDel="00000000" w:rsidR="00000000" w:rsidRPr="00000000">
            <w:pict>
              <v:rect style="width:0.0pt;height:1.5pt" o:hr="t" o:hrstd="t" o:hralign="center" fillcolor="#A0A0A0" stroked="f"/>
            </w:pict>
          </w:r>
          <w:r w:rsidDel="00000000" w:rsidR="00000000" w:rsidRPr="00000000">
            <w:rPr>
              <w:rtl w:val="0"/>
            </w:rPr>
          </w:r>
        </w:p>
      </w:tc>
      <w:tc>
        <w:tcPr>
          <w:gridSpan w:val="2"/>
          <w:shd w:fill="auto" w:val="clear"/>
        </w:tcPr>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center" w:leader="none" w:pos="4153"/>
              <w:tab w:val="right" w:leader="none" w:pos="8306"/>
              <w:tab w:val="center" w:leader="none" w:pos="5387"/>
              <w:tab w:val="right" w:leader="none" w:pos="10206"/>
            </w:tabs>
            <w:spacing w:after="0" w:lineRule="auto"/>
            <w:ind w:left="-108" w:right="-179" w:firstLine="0"/>
            <w:rPr>
              <w:rFonts w:ascii="Arial Black" w:cs="Arial Black" w:eastAsia="Arial Black" w:hAnsi="Arial Black"/>
              <w:color w:val="000000"/>
              <w:sz w:val="16"/>
              <w:szCs w:val="16"/>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153"/>
              <w:tab w:val="right" w:leader="none" w:pos="8306"/>
              <w:tab w:val="center" w:leader="none" w:pos="9356"/>
              <w:tab w:val="right" w:leader="none" w:pos="10206"/>
            </w:tabs>
            <w:spacing w:after="0" w:lineRule="auto"/>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Pr>
            <w:drawing>
              <wp:inline distB="0" distT="0" distL="0" distR="0">
                <wp:extent cx="1302109" cy="481722"/>
                <wp:effectExtent b="0" l="0" r="0" t="0"/>
                <wp:docPr id="76103764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02109" cy="481722"/>
                        </a:xfrm>
                        <a:prstGeom prst="rect"/>
                        <a:ln/>
                      </pic:spPr>
                    </pic:pic>
                  </a:graphicData>
                </a:graphic>
              </wp:inline>
            </w:drawing>
          </w:r>
          <w:r w:rsidDel="00000000" w:rsidR="00000000" w:rsidRPr="00000000">
            <w:rPr>
              <w:rtl w:val="0"/>
            </w:rPr>
          </w:r>
        </w:p>
      </w:tc>
      <w:tc>
        <w:tcPr>
          <w:gridSpan w:val="2"/>
          <w:shd w:fill="auto" w:val="clear"/>
        </w:tcPr>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153"/>
              <w:tab w:val="right" w:leader="none" w:pos="8306"/>
              <w:tab w:val="center" w:leader="none" w:pos="5387"/>
              <w:tab w:val="right" w:leader="none" w:pos="10206"/>
            </w:tabs>
            <w:spacing w:after="0" w:lineRule="auto"/>
            <w:ind w:left="-108" w:firstLine="0"/>
            <w:jc w:val="center"/>
            <w:rPr>
              <w:rFonts w:ascii="Arial" w:cs="Arial" w:eastAsia="Arial" w:hAnsi="Arial"/>
              <w:b w:val="1"/>
              <w:bCs w:val="1"/>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153"/>
              <w:tab w:val="right" w:leader="none" w:pos="8306"/>
              <w:tab w:val="center" w:leader="none" w:pos="5387"/>
              <w:tab w:val="right" w:leader="none" w:pos="10206"/>
            </w:tabs>
            <w:spacing w:after="0" w:lineRule="auto"/>
            <w:ind w:left="-108" w:firstLine="0"/>
            <w:jc w:val="righ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Page </w:t>
          </w:r>
          <w:r w:rsidDel="00000000" w:rsidR="00000000" w:rsidRPr="00000000">
            <w:rPr>
              <w:rFonts w:ascii="Arial" w:cs="Arial" w:eastAsia="Arial" w:hAnsi="Arial"/>
              <w:b w:val="1"/>
              <w:bCs w:val="1"/>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bCs w:val="1"/>
              <w:color w:val="000000"/>
              <w:sz w:val="20"/>
              <w:szCs w:val="20"/>
              <w:rtl w:val="0"/>
            </w:rPr>
            <w:t xml:space="preserve"> of </w:t>
          </w:r>
          <w:r w:rsidDel="00000000" w:rsidR="00000000" w:rsidRPr="00000000">
            <w:rPr>
              <w:rFonts w:ascii="Arial" w:cs="Arial" w:eastAsia="Arial" w:hAnsi="Arial"/>
              <w:b w:val="1"/>
              <w:bCs w:val="1"/>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center" w:leader="none" w:pos="4153"/>
              <w:tab w:val="right" w:leader="none" w:pos="8306"/>
              <w:tab w:val="center" w:leader="none" w:pos="5387"/>
              <w:tab w:val="right" w:leader="none" w:pos="10206"/>
            </w:tabs>
            <w:spacing w:after="0" w:lineRule="auto"/>
            <w:ind w:left="-108" w:firstLine="0"/>
            <w:jc w:val="right"/>
            <w:rPr>
              <w:rFonts w:ascii="Arial Black" w:cs="Arial Black" w:eastAsia="Arial Black" w:hAnsi="Arial Black"/>
              <w:color w:val="000000"/>
              <w:sz w:val="18"/>
              <w:szCs w:val="18"/>
            </w:rPr>
          </w:pPr>
          <w:r w:rsidDel="00000000" w:rsidR="00000000" w:rsidRPr="00000000">
            <w:rPr>
              <w:rtl w:val="0"/>
            </w:rPr>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leader="none" w:pos="4153"/>
        <w:tab w:val="right" w:leader="none" w:pos="8306"/>
      </w:tabs>
      <w:spacing w:after="0" w:lineRule="auto"/>
      <w:rPr>
        <w:rFonts w:ascii="Arial" w:cs="Arial" w:eastAsia="Arial" w:hAnsi="Arial"/>
        <w:color w:val="000000"/>
        <w:sz w:val="2"/>
        <w:szCs w:val="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Bdr>
        <w:top w:space="0" w:sz="0" w:val="nil"/>
        <w:left w:space="0" w:sz="0" w:val="nil"/>
        <w:bottom w:space="0" w:sz="0" w:val="nil"/>
        <w:right w:space="0" w:sz="0" w:val="nil"/>
        <w:between w:space="0" w:sz="0" w:val="nil"/>
      </w:pBdr>
      <w:tabs>
        <w:tab w:val="center" w:leader="none" w:pos="4153"/>
        <w:tab w:val="right" w:leader="none" w:pos="8306"/>
      </w:tabs>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tabs>
        <w:tab w:val="center" w:leader="none" w:pos="4153"/>
        <w:tab w:val="right" w:leader="none" w:pos="8306"/>
      </w:tabs>
      <w:spacing w:after="0" w:before="0" w:lineRule="auto"/>
      <w:jc w:val="left"/>
      <w:rPr>
        <w:rFonts w:ascii="Arial" w:cs="Arial" w:eastAsia="Arial" w:hAnsi="Arial"/>
        <w:sz w:val="20"/>
        <w:szCs w:val="20"/>
      </w:rPr>
    </w:pPr>
    <w:r w:rsidDel="00000000" w:rsidR="00000000" w:rsidRPr="00000000">
      <w:rPr>
        <w:rtl w:val="0"/>
      </w:rPr>
    </w:r>
  </w:p>
  <w:tbl>
    <w:tblPr>
      <w:tblStyle w:val="Table6"/>
      <w:tblW w:w="991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7260"/>
      <w:gridCol w:w="1395"/>
      <w:tblGridChange w:id="0">
        <w:tblGrid>
          <w:gridCol w:w="1260"/>
          <w:gridCol w:w="7260"/>
          <w:gridCol w:w="1395"/>
        </w:tblGrid>
      </w:tblGridChange>
    </w:tblGrid>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13C">
          <w:pPr>
            <w:spacing w:after="240" w:before="240" w:lineRule="auto"/>
            <w:ind w:left="-14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Doc Class:</w:t>
          </w:r>
        </w:p>
        <w:p w:rsidR="00000000" w:rsidDel="00000000" w:rsidP="00000000" w:rsidRDefault="00000000" w:rsidRPr="00000000" w14:paraId="0000013D">
          <w:pPr>
            <w:spacing w:after="240" w:before="240" w:lineRule="auto"/>
            <w:ind w:lef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General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13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Proposal</w:t>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13F">
          <w:pPr>
            <w:spacing w:after="240" w:before="24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Version 1.0</w:t>
          </w:r>
        </w:p>
        <w:p w:rsidR="00000000" w:rsidDel="00000000" w:rsidP="00000000" w:rsidRDefault="00000000" w:rsidRPr="00000000" w14:paraId="00000140">
          <w:pPr>
            <w:spacing w:after="240" w:before="240" w:lineRule="auto"/>
            <w:jc w:val="left"/>
            <w:rPr>
              <w:rFonts w:ascii="Arial" w:cs="Arial" w:eastAsia="Arial" w:hAnsi="Arial"/>
              <w:sz w:val="18"/>
              <w:szCs w:val="18"/>
            </w:rPr>
          </w:pPr>
          <w:r w:rsidDel="00000000" w:rsidR="00000000" w:rsidRPr="00000000">
            <w:rPr>
              <w:rFonts w:ascii="Arial" w:cs="Arial" w:eastAsia="Arial" w:hAnsi="Arial"/>
              <w:sz w:val="18"/>
              <w:szCs w:val="18"/>
              <w:rtl w:val="0"/>
            </w:rPr>
            <w:t>31-October-2026</w:t>
          </w:r>
        </w:p>
      </w:tc>
    </w:tr>
  </w:tbl>
  <w:p w:rsidR="00000000" w:rsidDel="00000000" w:rsidP="00000000" w:rsidRDefault="00000000" w:rsidRPr="00000000" w14:paraId="00000141">
    <w:pPr>
      <w:tabs>
        <w:tab w:val="center" w:leader="none" w:pos="4153"/>
        <w:tab w:val="right" w:leader="none" w:pos="8306"/>
      </w:tabs>
      <w:spacing w:after="0" w:before="0" w:lineRule="auto"/>
      <w:jc w:val="left"/>
      <w:rPr>
        <w:rFonts w:ascii="Arial" w:cs="Arial" w:eastAsia="Arial" w:hAnsi="Arial"/>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after="0" w:before="0" w:line="276"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145">
    <w:pPr>
      <w:jc w:val="left"/>
      <w:rPr>
        <w:rFonts w:ascii="Arial" w:cs="Arial" w:eastAsia="Arial" w:hAnsi="Arial"/>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leader="none" w:pos="4153"/>
        <w:tab w:val="right" w:leader="none" w:pos="8306"/>
      </w:tabs>
      <w:spacing w:after="0" w:before="0" w:lineRule="auto"/>
      <w:jc w:val="left"/>
      <w:rPr>
        <w:rFonts w:ascii="Arial" w:cs="Arial" w:eastAsia="Arial" w:hAnsi="Arial"/>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152" w:hanging="432"/>
      </w:pPr>
      <w:rPr/>
    </w:lvl>
    <w:lvl w:ilvl="1">
      <w:start w:val="1"/>
      <w:numFmt w:val="decimal"/>
      <w:lvlText w:val="%1.%2"/>
      <w:lvlJc w:val="left"/>
      <w:pPr>
        <w:ind w:left="1002" w:hanging="576"/>
      </w:pPr>
      <w:rPr>
        <w:b w:val="1"/>
        <w:bCs w:val="1"/>
      </w:rPr>
    </w:lvl>
    <w:lvl w:ilvl="2">
      <w:start w:val="1"/>
      <w:numFmt w:val="decimal"/>
      <w:lvlText w:val="%1.%2.%3"/>
      <w:lvlJc w:val="left"/>
      <w:pPr>
        <w:ind w:left="1440" w:hanging="720"/>
      </w:pPr>
      <w:rPr/>
    </w:lvl>
    <w:lvl w:ilvl="3">
      <w:start w:val="1"/>
      <w:numFmt w:val="decimal"/>
      <w:lvlText w:val="%1.%2.%3.%4"/>
      <w:lvlJc w:val="left"/>
      <w:pPr>
        <w:ind w:left="1584" w:hanging="864"/>
      </w:pPr>
      <w:rPr/>
    </w:lvl>
    <w:lvl w:ilvl="4">
      <w:start w:val="1"/>
      <w:numFmt w:val="decimal"/>
      <w:lvlText w:val="%1.%2.%3.%4.%5"/>
      <w:lvlJc w:val="left"/>
      <w:pPr>
        <w:ind w:left="1728" w:hanging="1004.9999999999998"/>
      </w:pPr>
      <w:rPr/>
    </w:lvl>
    <w:lvl w:ilvl="5">
      <w:start w:val="1"/>
      <w:numFmt w:val="decimal"/>
      <w:lvlText w:val="%1.%2.%3.%4.%5.%6"/>
      <w:lvlJc w:val="left"/>
      <w:pPr>
        <w:ind w:left="1872" w:hanging="1152"/>
      </w:pPr>
      <w:rPr/>
    </w:lvl>
    <w:lvl w:ilvl="6">
      <w:start w:val="1"/>
      <w:numFmt w:val="decimal"/>
      <w:lvlText w:val="%1.%2.%3.%4.%5.%6.%7"/>
      <w:lvlJc w:val="left"/>
      <w:pPr>
        <w:ind w:left="2016" w:hanging="1296"/>
      </w:pPr>
      <w:rPr/>
    </w:lvl>
    <w:lvl w:ilvl="7">
      <w:start w:val="1"/>
      <w:numFmt w:val="decimal"/>
      <w:lvlText w:val="%1.%2.%3.%4.%5.%6.%7.%8"/>
      <w:lvlJc w:val="left"/>
      <w:pPr>
        <w:ind w:left="2160" w:hanging="1440"/>
      </w:pPr>
      <w:rPr/>
    </w:lvl>
    <w:lvl w:ilvl="8">
      <w:start w:val="1"/>
      <w:numFmt w:val="decimal"/>
      <w:lvlText w:val="%1.%2.%3.%4.%5.%6.%7.%8.%9"/>
      <w:lvlJc w:val="left"/>
      <w:pPr>
        <w:ind w:left="230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80" w:before="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0" w:line="360" w:lineRule="auto"/>
      <w:ind w:left="432" w:firstLine="0"/>
      <w:jc w:val="left"/>
    </w:pPr>
    <w:rPr>
      <w:rFonts w:ascii="Arial" w:cs="Arial" w:eastAsia="Arial" w:hAnsi="Arial"/>
      <w:b/>
      <w:bCs w:val="1"/>
      <w:color w:val="1F4E79"/>
      <w:sz w:val="30"/>
      <w:szCs w:val="32"/>
    </w:rPr>
  </w:style>
  <w:style w:type="paragraph" w:styleId="Heading2">
    <w:name w:val="heading 2"/>
    <w:basedOn w:val="Normal"/>
    <w:next w:val="Normal"/>
    <w:pPr>
      <w:keepNext w:val="1"/>
      <w:spacing w:after="60" w:before="240" w:line="360" w:lineRule="auto"/>
      <w:ind w:left="576" w:firstLine="0"/>
    </w:pPr>
    <w:rPr>
      <w:rFonts w:ascii="Arial" w:cs="Arial" w:eastAsia="Arial" w:hAnsi="Arial"/>
      <w:b/>
      <w:bCs w:val="1"/>
      <w:color w:val="2E74B5"/>
      <w:sz w:val="25"/>
      <w:szCs w:val="28"/>
    </w:rPr>
  </w:style>
  <w:style w:type="paragraph" w:styleId="Heading3">
    <w:name w:val="heading 3"/>
    <w:basedOn w:val="Normal"/>
    <w:next w:val="Normal"/>
    <w:pPr>
      <w:keepNext w:val="1"/>
      <w:shd w:fill="ffffff" w:val="clear"/>
      <w:spacing w:after="0" w:before="0" w:line="360" w:lineRule="auto"/>
    </w:pPr>
    <w:rPr>
      <w:rFonts w:ascii="Arial" w:cs="Arial" w:eastAsia="Arial" w:hAnsi="Arial"/>
      <w:b w:val="1"/>
      <w:bCs w:val="1"/>
    </w:rPr>
  </w:style>
  <w:style w:type="paragraph" w:styleId="Heading4">
    <w:name w:val="heading 4"/>
    <w:basedOn w:val="Normal"/>
    <w:next w:val="Normal"/>
    <w:pPr>
      <w:keepNext w:val="1"/>
      <w:spacing w:after="160" w:before="240" w:lineRule="auto"/>
      <w:ind w:left="0" w:firstLine="0"/>
    </w:pPr>
    <w:rPr>
      <w:rFonts w:ascii="Arial" w:cs="Arial" w:eastAsia="Arial" w:hAnsi="Arial"/>
      <w:i w:val="1"/>
      <w:iCs w:val="1"/>
      <w:u w:val="single"/>
    </w:rPr>
  </w:style>
  <w:style w:type="paragraph" w:styleId="Heading5">
    <w:name w:val="heading 5"/>
    <w:basedOn w:val="Normal"/>
    <w:next w:val="Normal"/>
    <w:pPr>
      <w:keepLines w:val="1"/>
      <w:tabs>
        <w:tab w:val="left" w:leader="none" w:pos="1008"/>
      </w:tabs>
      <w:spacing w:before="240" w:lineRule="auto"/>
      <w:ind w:left="0" w:firstLine="0"/>
    </w:pPr>
    <w:rPr>
      <w:rFonts w:ascii="Arial" w:cs="Arial" w:eastAsia="Arial" w:hAnsi="Arial"/>
      <w:i w:val="1"/>
      <w:iCs w:val="1"/>
      <w:u w:val="single"/>
    </w:rPr>
  </w:style>
  <w:style w:type="paragraph" w:styleId="Heading6">
    <w:name w:val="heading 6"/>
    <w:basedOn w:val="Normal"/>
    <w:next w:val="Normal"/>
    <w:pPr>
      <w:keepLines w:val="1"/>
      <w:tabs>
        <w:tab w:val="left" w:leader="none" w:pos="1152"/>
      </w:tabs>
      <w:spacing w:before="120" w:lineRule="auto"/>
      <w:ind w:left="0" w:firstLine="0"/>
    </w:pPr>
    <w:rPr>
      <w:rFonts w:ascii="Arial" w:cs="Arial" w:eastAsia="Arial" w:hAnsi="Arial"/>
      <w:b w:val="1"/>
      <w:bCs w:val="1"/>
      <w:i w:val="1"/>
      <w:iCs w:val="1"/>
      <w:smallCap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before="0" w:line="360" w:lineRule="auto"/>
      <w:ind w:left="432" w:firstLine="0"/>
      <w:jc w:val="left"/>
    </w:pPr>
    <w:rPr>
      <w:rFonts w:ascii="Arial" w:cs="Arial" w:eastAsia="Arial" w:hAnsi="Arial"/>
      <w:b w:val="1"/>
      <w:color w:val="004b9f"/>
      <w:sz w:val="32"/>
      <w:szCs w:val="32"/>
    </w:rPr>
  </w:style>
  <w:style w:type="paragraph" w:styleId="Heading2">
    <w:name w:val="heading 2"/>
    <w:basedOn w:val="Normal"/>
    <w:next w:val="Normal"/>
    <w:pPr>
      <w:keepNext w:val="1"/>
      <w:spacing w:after="60" w:before="240" w:line="360" w:lineRule="auto"/>
      <w:ind w:left="576" w:firstLine="0"/>
    </w:pPr>
    <w:rPr>
      <w:rFonts w:ascii="Arial" w:cs="Arial" w:eastAsia="Arial" w:hAnsi="Arial"/>
      <w:b w:val="1"/>
      <w:color w:val="cc0099"/>
      <w:sz w:val="28"/>
      <w:szCs w:val="28"/>
    </w:rPr>
  </w:style>
  <w:style w:type="paragraph" w:styleId="Heading3">
    <w:name w:val="heading 3"/>
    <w:basedOn w:val="Normal"/>
    <w:next w:val="Normal"/>
    <w:pPr>
      <w:keepNext w:val="1"/>
      <w:shd w:fill="ffffff" w:val="clear"/>
      <w:spacing w:after="0" w:before="0" w:line="360" w:lineRule="auto"/>
      <w:ind w:left="720" w:hanging="720"/>
    </w:pPr>
    <w:rPr>
      <w:rFonts w:ascii="Arial" w:cs="Arial" w:eastAsia="Arial" w:hAnsi="Arial"/>
      <w:b w:val="1"/>
    </w:rPr>
  </w:style>
  <w:style w:type="paragraph" w:styleId="Heading4">
    <w:name w:val="heading 4"/>
    <w:basedOn w:val="Normal"/>
    <w:next w:val="Normal"/>
    <w:pPr>
      <w:keepNext w:val="1"/>
      <w:spacing w:after="160" w:before="240" w:lineRule="auto"/>
      <w:ind w:left="0" w:firstLine="0"/>
    </w:pPr>
    <w:rPr>
      <w:rFonts w:ascii="Arial" w:cs="Arial" w:eastAsia="Arial" w:hAnsi="Arial"/>
      <w:i w:val="1"/>
      <w:u w:val="single"/>
    </w:rPr>
  </w:style>
  <w:style w:type="paragraph" w:styleId="Heading5">
    <w:name w:val="heading 5"/>
    <w:basedOn w:val="Normal"/>
    <w:next w:val="Normal"/>
    <w:pPr>
      <w:keepLines w:val="1"/>
      <w:tabs>
        <w:tab w:val="left" w:leader="none" w:pos="1008"/>
      </w:tabs>
      <w:spacing w:before="240" w:lineRule="auto"/>
      <w:ind w:left="0" w:firstLine="0"/>
    </w:pPr>
    <w:rPr>
      <w:rFonts w:ascii="Arial" w:cs="Arial" w:eastAsia="Arial" w:hAnsi="Arial"/>
      <w:i w:val="1"/>
      <w:u w:val="single"/>
    </w:rPr>
  </w:style>
  <w:style w:type="paragraph" w:styleId="Heading6">
    <w:name w:val="heading 6"/>
    <w:basedOn w:val="Normal"/>
    <w:next w:val="Normal"/>
    <w:pPr>
      <w:keepLines w:val="1"/>
      <w:tabs>
        <w:tab w:val="left" w:leader="none" w:pos="1152"/>
      </w:tabs>
      <w:spacing w:before="120" w:lineRule="auto"/>
      <w:ind w:left="0" w:firstLine="0"/>
    </w:pPr>
    <w:rPr>
      <w:rFonts w:ascii="Arial" w:cs="Arial" w:eastAsia="Arial" w:hAnsi="Arial"/>
      <w:b w:val="1"/>
      <w:i w:val="1"/>
      <w:smallCaps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A62031"/>
    <w:rPr>
      <w:lang w:eastAsia="en-US"/>
    </w:rPr>
  </w:style>
  <w:style w:type="paragraph" w:styleId="Heading1">
    <w:name w:val="heading 1"/>
    <w:basedOn w:val="Normal"/>
    <w:next w:val="Normal"/>
    <w:link w:val="Heading1Char"/>
    <w:uiPriority w:val="9"/>
    <w:qFormat w:val="1"/>
    <w:rsid w:val="002052A2"/>
    <w:pPr>
      <w:keepNext w:val="1"/>
      <w:numPr>
        <w:numId w:val="2"/>
      </w:numPr>
      <w:tabs>
        <w:tab w:val="num" w:pos="432"/>
      </w:tabs>
      <w:spacing w:after="0" w:before="0" w:line="360" w:lineRule="auto"/>
      <w:ind w:left="432"/>
      <w:jc w:val="left"/>
      <w:outlineLvl w:val="0"/>
    </w:pPr>
    <w:rPr>
      <w:rFonts w:ascii="Arial" w:hAnsi="Arial"/>
      <w:b w:val="1"/>
      <w:color w:val="004b9f" w:themeColor="accent1"/>
      <w:kern w:val="28"/>
      <w:sz w:val="32"/>
    </w:rPr>
  </w:style>
  <w:style w:type="paragraph" w:styleId="Heading2">
    <w:name w:val="heading 2"/>
    <w:basedOn w:val="Normal"/>
    <w:next w:val="Normal"/>
    <w:link w:val="Heading2Char"/>
    <w:uiPriority w:val="9"/>
    <w:unhideWhenUsed w:val="1"/>
    <w:qFormat w:val="1"/>
    <w:rsid w:val="009A63AD"/>
    <w:pPr>
      <w:keepNext w:val="1"/>
      <w:numPr>
        <w:ilvl w:val="1"/>
        <w:numId w:val="2"/>
      </w:numPr>
      <w:tabs>
        <w:tab w:val="num" w:pos="576"/>
      </w:tabs>
      <w:spacing w:after="60" w:before="240" w:line="360" w:lineRule="auto"/>
      <w:ind w:left="576"/>
      <w:outlineLvl w:val="1"/>
    </w:pPr>
    <w:rPr>
      <w:rFonts w:ascii="Arial" w:hAnsi="Arial"/>
      <w:b w:val="1"/>
      <w:color w:val="cc0099"/>
      <w:sz w:val="28"/>
    </w:rPr>
  </w:style>
  <w:style w:type="paragraph" w:styleId="Heading3">
    <w:name w:val="heading 3"/>
    <w:basedOn w:val="Normal"/>
    <w:next w:val="Normal"/>
    <w:uiPriority w:val="9"/>
    <w:semiHidden w:val="1"/>
    <w:unhideWhenUsed w:val="1"/>
    <w:qFormat w:val="1"/>
    <w:rsid w:val="009A63AD"/>
    <w:pPr>
      <w:keepNext w:val="1"/>
      <w:numPr>
        <w:numId w:val="8"/>
      </w:numPr>
      <w:shd w:color="auto" w:fill="ffffff" w:val="clear"/>
      <w:spacing w:after="0" w:before="0" w:line="360" w:lineRule="auto"/>
      <w:outlineLvl w:val="2"/>
    </w:pPr>
    <w:rPr>
      <w:rFonts w:ascii="Arial" w:hAnsi="Arial"/>
      <w:b w:val="1"/>
      <w:iCs w:val="1"/>
    </w:rPr>
  </w:style>
  <w:style w:type="paragraph" w:styleId="Heading4">
    <w:name w:val="heading 4"/>
    <w:basedOn w:val="Normal"/>
    <w:next w:val="Normal"/>
    <w:uiPriority w:val="9"/>
    <w:semiHidden w:val="1"/>
    <w:unhideWhenUsed w:val="1"/>
    <w:qFormat w:val="1"/>
    <w:rsid w:val="00594452"/>
    <w:pPr>
      <w:keepNext w:val="1"/>
      <w:numPr>
        <w:ilvl w:val="3"/>
        <w:numId w:val="2"/>
      </w:numPr>
      <w:spacing w:after="160" w:before="240"/>
      <w:outlineLvl w:val="3"/>
    </w:pPr>
    <w:rPr>
      <w:rFonts w:ascii="Arial" w:hAnsi="Arial"/>
      <w:i w:val="1"/>
      <w:u w:val="single"/>
    </w:rPr>
  </w:style>
  <w:style w:type="paragraph" w:styleId="Heading5">
    <w:name w:val="heading 5"/>
    <w:basedOn w:val="Normal"/>
    <w:next w:val="Normal"/>
    <w:uiPriority w:val="9"/>
    <w:semiHidden w:val="1"/>
    <w:unhideWhenUsed w:val="1"/>
    <w:qFormat w:val="1"/>
    <w:rsid w:val="005608C7"/>
    <w:pPr>
      <w:keepLines w:val="1"/>
      <w:numPr>
        <w:ilvl w:val="4"/>
        <w:numId w:val="2"/>
      </w:numPr>
      <w:tabs>
        <w:tab w:val="left" w:pos="1008"/>
      </w:tabs>
      <w:spacing w:before="240"/>
      <w:outlineLvl w:val="4"/>
    </w:pPr>
    <w:rPr>
      <w:rFonts w:ascii="Arial" w:hAnsi="Arial"/>
      <w:i w:val="1"/>
      <w:u w:val="single"/>
    </w:rPr>
  </w:style>
  <w:style w:type="paragraph" w:styleId="Heading6">
    <w:name w:val="heading 6"/>
    <w:basedOn w:val="Normal"/>
    <w:next w:val="Normal"/>
    <w:uiPriority w:val="9"/>
    <w:semiHidden w:val="1"/>
    <w:unhideWhenUsed w:val="1"/>
    <w:qFormat w:val="1"/>
    <w:rsid w:val="005608C7"/>
    <w:pPr>
      <w:keepLines w:val="1"/>
      <w:numPr>
        <w:ilvl w:val="5"/>
        <w:numId w:val="2"/>
      </w:numPr>
      <w:tabs>
        <w:tab w:val="left" w:pos="1152"/>
      </w:tabs>
      <w:spacing w:before="120"/>
      <w:outlineLvl w:val="5"/>
    </w:pPr>
    <w:rPr>
      <w:rFonts w:ascii="Arial" w:hAnsi="Arial"/>
      <w:b w:val="1"/>
      <w:i w:val="1"/>
      <w:caps w:val="1"/>
    </w:rPr>
  </w:style>
  <w:style w:type="paragraph" w:styleId="Heading7">
    <w:name w:val="heading 7"/>
    <w:basedOn w:val="Normal"/>
    <w:next w:val="Normal"/>
    <w:qFormat w:val="1"/>
    <w:rsid w:val="005608C7"/>
    <w:pPr>
      <w:keepNext w:val="1"/>
      <w:numPr>
        <w:ilvl w:val="6"/>
        <w:numId w:val="2"/>
      </w:numPr>
      <w:outlineLvl w:val="6"/>
    </w:pPr>
    <w:rPr>
      <w:b w:val="1"/>
      <w:bCs w:val="1"/>
    </w:rPr>
  </w:style>
  <w:style w:type="paragraph" w:styleId="Heading8">
    <w:name w:val="heading 8"/>
    <w:basedOn w:val="Normal"/>
    <w:next w:val="Normal"/>
    <w:qFormat w:val="1"/>
    <w:rsid w:val="005608C7"/>
    <w:pPr>
      <w:keepNext w:val="1"/>
      <w:widowControl w:val="0"/>
      <w:numPr>
        <w:ilvl w:val="7"/>
        <w:numId w:val="2"/>
      </w:numPr>
      <w:outlineLvl w:val="7"/>
    </w:pPr>
    <w:rPr>
      <w:rFonts w:ascii="Courier New" w:cs="Courier New" w:hAnsi="Courier New"/>
      <w:b w:val="1"/>
      <w:bCs w:val="1"/>
      <w:sz w:val="18"/>
      <w:szCs w:val="16"/>
    </w:rPr>
  </w:style>
  <w:style w:type="paragraph" w:styleId="Heading9">
    <w:name w:val="heading 9"/>
    <w:basedOn w:val="Normal"/>
    <w:next w:val="Normal"/>
    <w:qFormat w:val="1"/>
    <w:rsid w:val="005608C7"/>
    <w:pPr>
      <w:keepNext w:val="1"/>
      <w:numPr>
        <w:ilvl w:val="8"/>
        <w:numId w:val="2"/>
      </w:numPr>
      <w:pBdr>
        <w:top w:color="auto" w:space="1" w:sz="4" w:val="single"/>
        <w:left w:color="auto" w:space="4" w:sz="4" w:val="single"/>
        <w:bottom w:color="auto" w:space="1" w:sz="4" w:val="single"/>
        <w:right w:color="auto" w:space="4" w:sz="4" w:val="single"/>
      </w:pBdr>
      <w:jc w:val="right"/>
      <w:outlineLvl w:val="8"/>
    </w:pPr>
    <w:rPr>
      <w:rFonts w:ascii="Arial" w:cs="Arial" w:hAnsi="Arial"/>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rsid w:val="008A50CB"/>
    <w:pPr>
      <w:tabs>
        <w:tab w:val="center" w:pos="4153"/>
        <w:tab w:val="right" w:pos="8306"/>
      </w:tabs>
    </w:pPr>
    <w:rPr>
      <w:rFonts w:ascii="Arial" w:hAnsi="Arial"/>
      <w:lang w:eastAsia="en-US"/>
    </w:rPr>
  </w:style>
  <w:style w:type="paragraph" w:styleId="Footer">
    <w:name w:val="footer"/>
    <w:basedOn w:val="Normal"/>
    <w:link w:val="FooterChar"/>
    <w:rsid w:val="00AE5F78"/>
    <w:pPr>
      <w:tabs>
        <w:tab w:val="center" w:pos="4153"/>
        <w:tab w:val="right" w:pos="8306"/>
      </w:tabs>
      <w:spacing w:after="0"/>
    </w:pPr>
    <w:rPr>
      <w:rFonts w:ascii="Arial" w:hAnsi="Arial"/>
      <w:sz w:val="20"/>
    </w:rPr>
  </w:style>
  <w:style w:type="character" w:styleId="PageNumber">
    <w:name w:val="page number"/>
    <w:basedOn w:val="DefaultParagraphFont"/>
    <w:rsid w:val="005608C7"/>
  </w:style>
  <w:style w:type="paragraph" w:styleId="ListParagraph">
    <w:name w:val="List Paragraph"/>
    <w:basedOn w:val="Normal"/>
    <w:uiPriority w:val="34"/>
    <w:qFormat w:val="1"/>
    <w:rsid w:val="007C38BE"/>
    <w:pPr>
      <w:ind w:left="720"/>
      <w:contextualSpacing w:val="1"/>
    </w:pPr>
  </w:style>
  <w:style w:type="character" w:styleId="Hyperlink">
    <w:name w:val="Hyperlink"/>
    <w:uiPriority w:val="99"/>
    <w:rsid w:val="005608C7"/>
    <w:rPr>
      <w:color w:val="0000ff"/>
      <w:u w:val="single"/>
    </w:rPr>
  </w:style>
  <w:style w:type="paragraph" w:styleId="BalloonText">
    <w:name w:val="Balloon Text"/>
    <w:basedOn w:val="Normal"/>
    <w:semiHidden w:val="1"/>
    <w:rsid w:val="005608C7"/>
    <w:rPr>
      <w:rFonts w:ascii="Tahoma" w:cs="Tahoma" w:hAnsi="Tahoma"/>
      <w:sz w:val="16"/>
      <w:szCs w:val="16"/>
    </w:rPr>
  </w:style>
  <w:style w:type="character" w:styleId="FollowedHyperlink">
    <w:name w:val="FollowedHyperlink"/>
    <w:rsid w:val="005608C7"/>
    <w:rPr>
      <w:color w:val="800080"/>
      <w:u w:val="single"/>
    </w:rPr>
  </w:style>
  <w:style w:type="paragraph" w:styleId="Caption">
    <w:name w:val="caption"/>
    <w:basedOn w:val="Normal"/>
    <w:next w:val="Normal"/>
    <w:qFormat w:val="1"/>
    <w:rsid w:val="009B2CF4"/>
    <w:pPr>
      <w:tabs>
        <w:tab w:val="left" w:pos="578"/>
      </w:tabs>
      <w:spacing w:before="120"/>
      <w:ind w:left="567"/>
    </w:pPr>
    <w:rPr>
      <w:rFonts w:ascii="Arial" w:hAnsi="Arial"/>
      <w:b w:val="1"/>
      <w:bCs w:val="1"/>
      <w:color w:val="004b9f"/>
      <w:spacing w:val="2"/>
      <w:lang w:val="nl-NL"/>
    </w:rPr>
  </w:style>
  <w:style w:type="paragraph" w:styleId="TOC1">
    <w:name w:val="toc 1"/>
    <w:basedOn w:val="Normal"/>
    <w:next w:val="Normal"/>
    <w:autoRedefine w:val="1"/>
    <w:uiPriority w:val="39"/>
    <w:rsid w:val="00301363"/>
    <w:pPr>
      <w:tabs>
        <w:tab w:val="left" w:pos="400"/>
        <w:tab w:val="left" w:pos="1540"/>
        <w:tab w:val="right" w:leader="dot" w:pos="9990"/>
      </w:tabs>
      <w:ind w:right="-351"/>
    </w:pPr>
    <w:rPr>
      <w:noProof w:val="1"/>
    </w:rPr>
  </w:style>
  <w:style w:type="paragraph" w:styleId="TOC3">
    <w:name w:val="toc 3"/>
    <w:basedOn w:val="Normal"/>
    <w:next w:val="Normal"/>
    <w:autoRedefine w:val="1"/>
    <w:uiPriority w:val="39"/>
    <w:rsid w:val="003F43CB"/>
    <w:pPr>
      <w:ind w:left="400"/>
    </w:pPr>
  </w:style>
  <w:style w:type="table" w:styleId="TableList6">
    <w:name w:val="Table List 6"/>
    <w:basedOn w:val="TableNormal"/>
    <w:rsid w:val="001160B8"/>
    <w:pPr>
      <w:overflowPunct w:val="0"/>
      <w:autoSpaceDE w:val="0"/>
      <w:autoSpaceDN w:val="0"/>
      <w:adjustRightInd w:val="0"/>
      <w:textAlignment w:val="baseline"/>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3">
    <w:name w:val="Table List 3"/>
    <w:basedOn w:val="TableNormal"/>
    <w:rsid w:val="001160B8"/>
    <w:pPr>
      <w:overflowPunct w:val="0"/>
      <w:autoSpaceDE w:val="0"/>
      <w:autoSpaceDN w:val="0"/>
      <w:adjustRightInd w:val="0"/>
      <w:textAlignment w:val="baseline"/>
    </w:p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1">
    <w:name w:val="Table List 1"/>
    <w:basedOn w:val="TableNormal"/>
    <w:rsid w:val="001160B8"/>
    <w:pPr>
      <w:overflowPunct w:val="0"/>
      <w:autoSpaceDE w:val="0"/>
      <w:autoSpaceDN w:val="0"/>
      <w:adjustRightInd w:val="0"/>
      <w:textAlignment w:val="baseline"/>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Grid">
    <w:name w:val="Table Grid"/>
    <w:basedOn w:val="TableNormal"/>
    <w:rsid w:val="00A62031"/>
    <w:pPr>
      <w:overflowPunct w:val="0"/>
      <w:autoSpaceDE w:val="0"/>
      <w:autoSpaceDN w:val="0"/>
      <w:adjustRightInd w:val="0"/>
      <w:spacing w:before="20"/>
      <w:textAlignment w:val="baseline"/>
    </w:p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rFonts w:ascii="Arial" w:hAnsi="Arial"/>
        <w:b w:val="1"/>
        <w:color w:val="ffffff" w:themeColor="background1"/>
        <w:sz w:val="24"/>
      </w:rPr>
      <w:tblPr/>
      <w:tcPr>
        <w:shd w:color="auto" w:fill="004b9f" w:val="clear"/>
      </w:tcPr>
    </w:tblStylePr>
    <w:tblStylePr w:type="lastRow">
      <w:rPr>
        <w:rFonts w:ascii="Arial" w:hAnsi="Arial"/>
        <w:b w:val="1"/>
        <w:color w:val="ffffff" w:themeColor="background1"/>
        <w:sz w:val="24"/>
      </w:rPr>
      <w:tblPr/>
      <w:tcPr>
        <w:shd w:color="auto" w:fill="004b9f" w:themeFill="accent1" w:val="clear"/>
      </w:tcPr>
    </w:tblStylePr>
    <w:tblStylePr w:type="firstCol">
      <w:rPr>
        <w:rFonts w:ascii="Arial" w:hAnsi="Arial"/>
        <w:b w:val="1"/>
        <w:color w:val="000000" w:themeColor="text1"/>
        <w:sz w:val="24"/>
      </w:rPr>
      <w:tblPr/>
      <w:tcPr>
        <w:shd w:color="auto" w:fill="91c61a" w:val="clear"/>
      </w:tcPr>
    </w:tblStylePr>
    <w:tblStylePr w:type="lastCol">
      <w:rPr>
        <w:rFonts w:ascii="Arial" w:hAnsi="Arial"/>
        <w:b w:val="1"/>
        <w:sz w:val="24"/>
      </w:rPr>
      <w:tblPr/>
      <w:tcPr>
        <w:shd w:color="auto" w:fill="91c61a" w:val="clear"/>
      </w:tcPr>
    </w:tblStylePr>
    <w:tblStylePr w:type="band2Vert">
      <w:tblPr/>
      <w:tcPr>
        <w:shd w:color="auto" w:fill="eaf8cc" w:themeFill="accent3" w:themeFillTint="000033" w:val="clear"/>
      </w:tcPr>
    </w:tblStylePr>
    <w:tblStylePr w:type="band2Horz">
      <w:tblPr/>
      <w:tcPr>
        <w:shd w:color="auto" w:fill="eaf8cc" w:themeFill="accent3" w:themeFillTint="000033" w:val="clear"/>
      </w:tcPr>
    </w:tblStylePr>
  </w:style>
  <w:style w:type="paragraph" w:styleId="TOC2">
    <w:name w:val="toc 2"/>
    <w:basedOn w:val="Normal"/>
    <w:next w:val="Normal"/>
    <w:autoRedefine w:val="1"/>
    <w:uiPriority w:val="39"/>
    <w:rsid w:val="00E314FF"/>
    <w:pPr>
      <w:tabs>
        <w:tab w:val="left" w:pos="880"/>
        <w:tab w:val="right" w:leader="dot" w:pos="9990"/>
      </w:tabs>
      <w:spacing w:line="276" w:lineRule="auto"/>
      <w:ind w:left="200" w:right="-351"/>
    </w:pPr>
  </w:style>
  <w:style w:type="paragraph" w:styleId="TOCHeading">
    <w:name w:val="TOC Heading"/>
    <w:basedOn w:val="Heading1"/>
    <w:next w:val="Normal"/>
    <w:uiPriority w:val="39"/>
    <w:unhideWhenUsed w:val="1"/>
    <w:qFormat w:val="1"/>
    <w:rsid w:val="00B655D9"/>
    <w:pPr>
      <w:spacing w:line="276" w:lineRule="auto"/>
      <w:outlineLvl w:val="9"/>
    </w:pPr>
    <w:rPr>
      <w:rFonts w:eastAsia="MS Gothic"/>
      <w:bCs w:val="1"/>
      <w:kern w:val="0"/>
      <w:szCs w:val="28"/>
      <w:lang w:eastAsia="ja-JP"/>
    </w:rPr>
  </w:style>
  <w:style w:type="numbering" w:styleId="Style1" w:customStyle="1">
    <w:name w:val="Style1"/>
    <w:rsid w:val="00E023C7"/>
  </w:style>
  <w:style w:type="table" w:styleId="Style2" w:customStyle="1">
    <w:name w:val="Style2"/>
    <w:basedOn w:val="TableNormal"/>
    <w:uiPriority w:val="99"/>
    <w:rsid w:val="00134BD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FB48BB"/>
    <w:rPr>
      <w:color w:val="808080"/>
    </w:rPr>
  </w:style>
  <w:style w:type="paragraph" w:styleId="AppendixH1" w:customStyle="1">
    <w:name w:val="Appendix H1"/>
    <w:basedOn w:val="Normal"/>
    <w:next w:val="Normal"/>
    <w:qFormat w:val="1"/>
    <w:rsid w:val="00F30DDE"/>
    <w:pPr>
      <w:numPr>
        <w:numId w:val="4"/>
      </w:numPr>
      <w:spacing w:after="240" w:before="240"/>
    </w:pPr>
    <w:rPr>
      <w:rFonts w:ascii="Arial" w:hAnsi="Arial"/>
      <w:b w:val="1"/>
      <w:color w:val="004b9f" w:themeColor="accent1"/>
      <w:sz w:val="32"/>
    </w:rPr>
  </w:style>
  <w:style w:type="paragraph" w:styleId="AppendixH2" w:customStyle="1">
    <w:name w:val="Appendix H2"/>
    <w:basedOn w:val="Normal"/>
    <w:next w:val="Normal"/>
    <w:qFormat w:val="1"/>
    <w:rsid w:val="00F30DDE"/>
    <w:pPr>
      <w:numPr>
        <w:ilvl w:val="1"/>
        <w:numId w:val="4"/>
      </w:numPr>
      <w:spacing w:after="160" w:before="240"/>
    </w:pPr>
    <w:rPr>
      <w:rFonts w:ascii="Arial" w:hAnsi="Arial"/>
      <w:b w:val="1"/>
      <w:i w:val="1"/>
      <w:color w:val="91c61a" w:themeColor="accent3"/>
      <w:sz w:val="28"/>
    </w:rPr>
  </w:style>
  <w:style w:type="paragraph" w:styleId="AppendixH3" w:customStyle="1">
    <w:name w:val="Appendix H3"/>
    <w:basedOn w:val="Normal"/>
    <w:next w:val="Normal"/>
    <w:qFormat w:val="1"/>
    <w:rsid w:val="008A50CB"/>
    <w:pPr>
      <w:numPr>
        <w:ilvl w:val="2"/>
        <w:numId w:val="4"/>
      </w:numPr>
      <w:spacing w:after="160" w:before="240"/>
    </w:pPr>
    <w:rPr>
      <w:rFonts w:ascii="Arial" w:hAnsi="Arial"/>
      <w:b w:val="1"/>
    </w:rPr>
  </w:style>
  <w:style w:type="paragraph" w:styleId="AppendixH4" w:customStyle="1">
    <w:name w:val="Appendix H4"/>
    <w:basedOn w:val="Normal"/>
    <w:next w:val="Normal"/>
    <w:qFormat w:val="1"/>
    <w:rsid w:val="008A50CB"/>
    <w:pPr>
      <w:numPr>
        <w:ilvl w:val="3"/>
        <w:numId w:val="4"/>
      </w:numPr>
      <w:spacing w:after="160" w:before="240"/>
    </w:pPr>
    <w:rPr>
      <w:rFonts w:ascii="Arial" w:hAnsi="Arial"/>
      <w:i w:val="1"/>
      <w:u w:val="single"/>
    </w:rPr>
  </w:style>
  <w:style w:type="numbering" w:styleId="AppendixHeadings" w:customStyle="1">
    <w:name w:val="Appendix Headings"/>
    <w:uiPriority w:val="99"/>
    <w:rsid w:val="00B83011"/>
  </w:style>
  <w:style w:type="paragraph" w:styleId="TOC4">
    <w:name w:val="toc 4"/>
    <w:basedOn w:val="Normal"/>
    <w:next w:val="Normal"/>
    <w:autoRedefine w:val="1"/>
    <w:uiPriority w:val="39"/>
    <w:unhideWhenUsed w:val="1"/>
    <w:rsid w:val="00B83011"/>
    <w:pPr>
      <w:spacing w:after="100"/>
      <w:ind w:left="720"/>
    </w:pPr>
  </w:style>
  <w:style w:type="numbering" w:styleId="Style3" w:customStyle="1">
    <w:name w:val="Style3"/>
    <w:uiPriority w:val="99"/>
    <w:rsid w:val="00E023C7"/>
  </w:style>
  <w:style w:type="paragraph" w:styleId="Bibliography">
    <w:name w:val="Bibliography"/>
    <w:basedOn w:val="Normal"/>
    <w:next w:val="Normal"/>
    <w:uiPriority w:val="37"/>
    <w:unhideWhenUsed w:val="1"/>
    <w:rsid w:val="00694292"/>
  </w:style>
  <w:style w:type="character" w:styleId="FooterChar" w:customStyle="1">
    <w:name w:val="Footer Char"/>
    <w:basedOn w:val="DefaultParagraphFont"/>
    <w:link w:val="Footer"/>
    <w:rsid w:val="008E09A7"/>
    <w:rPr>
      <w:rFonts w:ascii="Arial" w:hAnsi="Arial"/>
      <w:lang w:bidi="ar-SA" w:eastAsia="en-US" w:val="en-US"/>
    </w:rPr>
  </w:style>
  <w:style w:type="character" w:styleId="Heading1Char" w:customStyle="1">
    <w:name w:val="Heading 1 Char"/>
    <w:basedOn w:val="DefaultParagraphFont"/>
    <w:link w:val="Heading1"/>
    <w:uiPriority w:val="9"/>
    <w:rsid w:val="002052A2"/>
    <w:rPr>
      <w:rFonts w:ascii="Arial" w:hAnsi="Arial"/>
      <w:b w:val="1"/>
      <w:color w:val="004b9f" w:themeColor="accent1"/>
      <w:kern w:val="28"/>
      <w:sz w:val="32"/>
      <w:szCs w:val="24"/>
      <w:lang w:bidi="ar-SA" w:eastAsia="en-US" w:val="en-US"/>
    </w:rPr>
  </w:style>
  <w:style w:type="character" w:styleId="Heading2Char" w:customStyle="1">
    <w:name w:val="Heading 2 Char"/>
    <w:basedOn w:val="DefaultParagraphFont"/>
    <w:link w:val="Heading2"/>
    <w:rsid w:val="009A63AD"/>
    <w:rPr>
      <w:rFonts w:ascii="Arial" w:hAnsi="Arial"/>
      <w:b w:val="1"/>
      <w:color w:val="cc0099"/>
      <w:sz w:val="28"/>
      <w:lang w:bidi="ar-SA" w:eastAsia="en-US" w:val="en-US"/>
    </w:rPr>
  </w:style>
  <w:style w:type="paragraph" w:styleId="Subtitle">
    <w:name w:val="Subtitle"/>
    <w:basedOn w:val="Normal"/>
    <w:next w:val="Normal"/>
    <w:link w:val="SubtitleChar"/>
    <w:uiPriority w:val="11"/>
    <w:qFormat w:val="1"/>
    <w:pPr>
      <w:spacing w:after="0" w:before="0"/>
    </w:pPr>
    <w:rPr>
      <w:sz w:val="28"/>
      <w:szCs w:val="28"/>
    </w:rPr>
  </w:style>
  <w:style w:type="character" w:styleId="SubtitleChar" w:customStyle="1">
    <w:name w:val="Subtitle Char"/>
    <w:basedOn w:val="DefaultParagraphFont"/>
    <w:link w:val="Subtitle"/>
    <w:rsid w:val="001A03DC"/>
    <w:rPr>
      <w:sz w:val="28"/>
      <w:szCs w:val="28"/>
      <w:lang w:bidi="ar-SA" w:eastAsia="en-US" w:val="en-US"/>
    </w:rPr>
  </w:style>
  <w:style w:type="paragraph" w:styleId="CommentText">
    <w:name w:val="annotation text"/>
    <w:basedOn w:val="Normal"/>
    <w:link w:val="CommentTextChar"/>
    <w:uiPriority w:val="99"/>
    <w:semiHidden w:val="1"/>
    <w:unhideWhenUsed w:val="1"/>
    <w:rsid w:val="00516229"/>
    <w:pPr>
      <w:spacing w:after="160" w:before="0"/>
      <w:jc w:val="left"/>
    </w:pPr>
    <w:rPr>
      <w:rFonts w:ascii="Calibri" w:cs="Calibri" w:eastAsia="Calibri" w:hAnsi="Calibri"/>
      <w:sz w:val="20"/>
      <w:lang w:eastAsia="en-IN" w:val="en-IN"/>
    </w:rPr>
  </w:style>
  <w:style w:type="character" w:styleId="CommentTextChar" w:customStyle="1">
    <w:name w:val="Comment Text Char"/>
    <w:basedOn w:val="DefaultParagraphFont"/>
    <w:link w:val="CommentText"/>
    <w:uiPriority w:val="99"/>
    <w:semiHidden w:val="1"/>
    <w:rsid w:val="00516229"/>
    <w:rPr>
      <w:rFonts w:ascii="Calibri" w:cs="Calibri" w:eastAsia="Calibri" w:hAnsi="Calibri"/>
      <w:lang w:bidi="ar-SA" w:eastAsia="en-IN" w:val="en-IN"/>
    </w:rPr>
  </w:style>
  <w:style w:type="character" w:styleId="CommentReference">
    <w:name w:val="annotation reference"/>
    <w:basedOn w:val="DefaultParagraphFont"/>
    <w:uiPriority w:val="99"/>
    <w:semiHidden w:val="1"/>
    <w:unhideWhenUsed w:val="1"/>
    <w:rsid w:val="00516229"/>
    <w:rPr>
      <w:sz w:val="16"/>
      <w:szCs w:val="16"/>
    </w:rPr>
  </w:style>
  <w:style w:type="paragraph" w:styleId="TableHeading" w:customStyle="1">
    <w:name w:val="Table Heading"/>
    <w:basedOn w:val="Normal"/>
    <w:rsid w:val="005156D3"/>
    <w:pPr>
      <w:widowControl w:val="0"/>
      <w:suppressLineNumbers w:val="1"/>
      <w:suppressAutoHyphens w:val="1"/>
      <w:spacing w:after="0" w:before="0"/>
      <w:jc w:val="center"/>
    </w:pPr>
    <w:rPr>
      <w:rFonts w:ascii="Nimbus Roman No9 L" w:cs="FreeSans" w:eastAsia="Luxi Sans" w:hAnsi="Nimbus Roman No9 L"/>
      <w:b w:val="1"/>
      <w:bCs w:val="1"/>
      <w:i w:val="1"/>
      <w:iCs w:val="1"/>
      <w:kern w:val="1"/>
      <w:lang w:bidi="hi-IN" w:eastAsia="zh-CN"/>
    </w:rPr>
  </w:style>
  <w:style w:type="paragraph" w:styleId="Label" w:customStyle="1">
    <w:name w:val="Label"/>
    <w:basedOn w:val="Normal"/>
    <w:rsid w:val="00387E19"/>
    <w:pPr>
      <w:suppressAutoHyphens w:val="1"/>
      <w:spacing w:after="20" w:before="60"/>
      <w:jc w:val="left"/>
    </w:pPr>
    <w:rPr>
      <w:rFonts w:ascii="Calibri" w:cs="FreeSans" w:eastAsia="WenQuanYi Zen Hei" w:hAnsi="Calibri"/>
      <w:kern w:val="1"/>
      <w:szCs w:val="22"/>
      <w:lang w:bidi="hi-IN" w:eastAsia="zh-CN"/>
    </w:rPr>
  </w:style>
  <w:style w:type="paragraph" w:styleId="NormalWeb">
    <w:name w:val="Normal (Web)"/>
    <w:basedOn w:val="Normal"/>
    <w:uiPriority w:val="99"/>
    <w:unhideWhenUsed w:val="1"/>
    <w:rsid w:val="00D57E36"/>
    <w:pPr>
      <w:spacing w:after="100" w:afterAutospacing="1" w:before="100" w:beforeAutospacing="1"/>
      <w:jc w:val="left"/>
    </w:pPr>
    <w:rPr>
      <w:lang w:eastAsia="en-IN" w:val="en-IN"/>
    </w:rPr>
  </w:style>
  <w:style w:type="paragraph" w:styleId="CommentSubject">
    <w:name w:val="annotation subject"/>
    <w:basedOn w:val="CommentText"/>
    <w:next w:val="CommentText"/>
    <w:link w:val="CommentSubjectChar"/>
    <w:uiPriority w:val="99"/>
    <w:semiHidden w:val="1"/>
    <w:unhideWhenUsed w:val="1"/>
    <w:rsid w:val="00E866F6"/>
    <w:pPr>
      <w:spacing w:after="80" w:before="40"/>
      <w:jc w:val="both"/>
    </w:pPr>
    <w:rPr>
      <w:rFonts w:ascii="Times New Roman" w:cs="Times New Roman" w:eastAsia="Times New Roman" w:hAnsi="Times New Roman"/>
      <w:b w:val="1"/>
      <w:bCs w:val="1"/>
      <w:lang w:eastAsia="en-US" w:val="en-US"/>
    </w:rPr>
  </w:style>
  <w:style w:type="character" w:styleId="CommentSubjectChar" w:customStyle="1">
    <w:name w:val="Comment Subject Char"/>
    <w:basedOn w:val="CommentTextChar"/>
    <w:link w:val="CommentSubject"/>
    <w:uiPriority w:val="99"/>
    <w:semiHidden w:val="1"/>
    <w:rsid w:val="00E866F6"/>
    <w:rPr>
      <w:rFonts w:ascii="Calibri" w:cs="Calibri" w:eastAsia="Calibri" w:hAnsi="Calibri"/>
      <w:b w:val="1"/>
      <w:bCs w:val="1"/>
      <w:lang w:bidi="ar-SA" w:eastAsia="en-US" w:val="en-US"/>
    </w:rPr>
  </w:style>
  <w:style w:type="paragraph" w:styleId="Revision">
    <w:name w:val="Revision"/>
    <w:hidden w:val="1"/>
    <w:uiPriority w:val="99"/>
    <w:semiHidden w:val="1"/>
    <w:rsid w:val="00301363"/>
    <w:rPr>
      <w:lang w:eastAsia="en-US"/>
    </w:rPr>
  </w:style>
  <w:style w:type="paragraph" w:styleId="BodyText">
    <w:name w:val="Body Text"/>
    <w:basedOn w:val="Normal"/>
    <w:link w:val="BodyTextChar"/>
    <w:rsid w:val="004A2500"/>
    <w:pPr>
      <w:spacing w:after="0" w:before="0"/>
      <w:jc w:val="left"/>
    </w:pPr>
    <w:rPr>
      <w:rFonts w:ascii="Arial" w:hAnsi="Arial"/>
      <w:sz w:val="22"/>
      <w:lang w:val="en-NZ"/>
    </w:rPr>
  </w:style>
  <w:style w:type="character" w:styleId="BodyTextChar" w:customStyle="1">
    <w:name w:val="Body Text Char"/>
    <w:basedOn w:val="DefaultParagraphFont"/>
    <w:link w:val="BodyText"/>
    <w:rsid w:val="004A2500"/>
    <w:rPr>
      <w:rFonts w:ascii="Arial" w:hAnsi="Arial"/>
      <w:sz w:val="22"/>
      <w:lang w:bidi="ar-SA" w:eastAsia="en-US" w:val="en-NZ"/>
    </w:rPr>
  </w:style>
  <w:style w:type="character" w:styleId="Emphasis">
    <w:name w:val="Emphasis"/>
    <w:basedOn w:val="DefaultParagraphFont"/>
    <w:uiPriority w:val="20"/>
    <w:qFormat w:val="1"/>
    <w:rsid w:val="003E30F4"/>
    <w:rPr>
      <w:i w:val="1"/>
      <w:iCs w:val="1"/>
    </w:rPr>
  </w:style>
  <w:style w:type="table" w:styleId="53" w:customStyle="1">
    <w:name w:val="53"/>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52" w:customStyle="1">
    <w:name w:val="52"/>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51" w:customStyle="1">
    <w:name w:val="51"/>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50" w:customStyle="1">
    <w:name w:val="50"/>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9" w:customStyle="1">
    <w:name w:val="49"/>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8" w:customStyle="1">
    <w:name w:val="48"/>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7" w:customStyle="1">
    <w:name w:val="47"/>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6" w:customStyle="1">
    <w:name w:val="46"/>
    <w:basedOn w:val="TableNormal"/>
    <w:tblPr>
      <w:tblStyleRowBandSize w:val="1"/>
      <w:tblStyleColBandSize w:val="1"/>
      <w:tblCellMar>
        <w:left w:w="115.0" w:type="dxa"/>
        <w:right w:w="115.0" w:type="dxa"/>
      </w:tblCellMar>
    </w:tblPr>
  </w:style>
  <w:style w:type="table" w:styleId="45" w:customStyle="1">
    <w:name w:val="45"/>
    <w:basedOn w:val="TableNormal"/>
    <w:tblPr>
      <w:tblStyleRowBandSize w:val="1"/>
      <w:tblStyleColBandSize w:val="1"/>
      <w:tblCellMar>
        <w:left w:w="115.0" w:type="dxa"/>
        <w:right w:w="115.0" w:type="dxa"/>
      </w:tblCellMar>
    </w:tblPr>
  </w:style>
  <w:style w:type="table" w:styleId="44" w:customStyle="1">
    <w:name w:val="44"/>
    <w:basedOn w:val="TableNormal"/>
    <w:tblPr>
      <w:tblStyleRowBandSize w:val="1"/>
      <w:tblStyleColBandSize w:val="1"/>
      <w:tblCellMar>
        <w:left w:w="115.0" w:type="dxa"/>
        <w:right w:w="115.0" w:type="dxa"/>
      </w:tblCellMar>
    </w:tblPr>
  </w:style>
  <w:style w:type="table" w:styleId="43" w:customStyle="1">
    <w:name w:val="43"/>
    <w:basedOn w:val="TableNormal"/>
    <w:tblPr>
      <w:tblStyleRowBandSize w:val="1"/>
      <w:tblStyleColBandSize w:val="1"/>
      <w:tblCellMar>
        <w:left w:w="115.0" w:type="dxa"/>
        <w:right w:w="115.0" w:type="dxa"/>
      </w:tblCellMar>
    </w:tblPr>
  </w:style>
  <w:style w:type="table" w:styleId="42" w:customStyle="1">
    <w:name w:val="42"/>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1" w:customStyle="1">
    <w:name w:val="41"/>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40" w:customStyle="1">
    <w:name w:val="40"/>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9" w:customStyle="1">
    <w:name w:val="39"/>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8" w:customStyle="1">
    <w:name w:val="38"/>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7" w:customStyle="1">
    <w:name w:val="37"/>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6" w:customStyle="1">
    <w:name w:val="36"/>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5" w:customStyle="1">
    <w:name w:val="35"/>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4" w:customStyle="1">
    <w:name w:val="34"/>
    <w:basedOn w:val="TableNormal"/>
    <w:pPr>
      <w:spacing w:before="20"/>
    </w:pPr>
    <w:tblPr>
      <w:tblStyleRowBandSize w:val="1"/>
      <w:tblStyleColBandSize w:val="1"/>
      <w:tblCellMar>
        <w:left w:w="115.0" w:type="dxa"/>
        <w:right w:w="115.0" w:type="dxa"/>
      </w:tblCellMar>
    </w:tblPr>
    <w:tcPr>
      <w:shd w:color="auto" w:fill="auto" w:val="clear"/>
    </w:tcPr>
  </w:style>
  <w:style w:type="table" w:styleId="33" w:customStyle="1">
    <w:name w:val="33"/>
    <w:basedOn w:val="TableNormal"/>
    <w:pPr>
      <w:spacing w:before="20"/>
    </w:pPr>
    <w:tblPr>
      <w:tblStyleRowBandSize w:val="1"/>
      <w:tblStyleColBandSize w:val="1"/>
      <w:tblCellMar>
        <w:left w:w="115.0" w:type="dxa"/>
        <w:right w:w="115.0" w:type="dxa"/>
      </w:tblCellMar>
    </w:tblPr>
    <w:tcPr>
      <w:shd w:color="auto" w:fill="auto" w:val="clear"/>
    </w:tcPr>
  </w:style>
  <w:style w:type="table" w:styleId="32" w:customStyle="1">
    <w:name w:val="32"/>
    <w:basedOn w:val="TableNormal"/>
    <w:pPr>
      <w:spacing w:before="20"/>
    </w:pPr>
    <w:tblPr>
      <w:tblStyleRowBandSize w:val="1"/>
      <w:tblStyleColBandSize w:val="1"/>
      <w:tblCellMar>
        <w:left w:w="115.0" w:type="dxa"/>
        <w:right w:w="115.0" w:type="dxa"/>
      </w:tblCellMar>
    </w:tblPr>
    <w:tcPr>
      <w:shd w:color="auto" w:fill="auto" w:val="clear"/>
    </w:tcPr>
  </w:style>
  <w:style w:type="table" w:styleId="31" w:customStyle="1">
    <w:name w:val="31"/>
    <w:basedOn w:val="TableNormal"/>
    <w:pPr>
      <w:spacing w:before="20"/>
    </w:pPr>
    <w:tblPr>
      <w:tblStyleRowBandSize w:val="1"/>
      <w:tblStyleColBandSize w:val="1"/>
      <w:tblCellMar>
        <w:left w:w="115.0" w:type="dxa"/>
        <w:right w:w="115.0" w:type="dxa"/>
      </w:tblCellMar>
    </w:tblPr>
    <w:tcPr>
      <w:shd w:color="auto" w:fill="auto" w:val="clear"/>
    </w:tcPr>
  </w:style>
  <w:style w:type="table" w:styleId="30" w:customStyle="1">
    <w:name w:val="30"/>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9" w:customStyle="1">
    <w:name w:val="29"/>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8" w:customStyle="1">
    <w:name w:val="28"/>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7" w:customStyle="1">
    <w:name w:val="27"/>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6" w:customStyle="1">
    <w:name w:val="26"/>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5" w:customStyle="1">
    <w:name w:val="25"/>
    <w:basedOn w:val="TableNormal"/>
    <w:pPr>
      <w:spacing w:before="20"/>
    </w:pPr>
    <w:tblPr>
      <w:tblStyleRowBandSize w:val="1"/>
      <w:tblStyleColBandSize w:val="1"/>
      <w:tblCellMar>
        <w:left w:w="115.0" w:type="dxa"/>
        <w:right w:w="115.0" w:type="dxa"/>
      </w:tblCellMar>
    </w:tblPr>
    <w:tcPr>
      <w:shd w:color="auto" w:fill="auto" w:val="clear"/>
    </w:tcPr>
  </w:style>
  <w:style w:type="table" w:styleId="24" w:customStyle="1">
    <w:name w:val="24"/>
    <w:basedOn w:val="TableNormal"/>
    <w:pPr>
      <w:spacing w:before="20"/>
    </w:pPr>
    <w:tblPr>
      <w:tblStyleRowBandSize w:val="1"/>
      <w:tblStyleColBandSize w:val="1"/>
      <w:tblCellMar>
        <w:left w:w="115.0" w:type="dxa"/>
        <w:right w:w="115.0" w:type="dxa"/>
      </w:tblCellMar>
    </w:tblPr>
    <w:tcPr>
      <w:shd w:color="auto" w:fill="auto" w:val="clear"/>
    </w:tcPr>
  </w:style>
  <w:style w:type="table" w:styleId="23" w:customStyle="1">
    <w:name w:val="23"/>
    <w:basedOn w:val="TableNormal"/>
    <w:pPr>
      <w:spacing w:before="20"/>
    </w:pPr>
    <w:tblPr>
      <w:tblStyleRowBandSize w:val="1"/>
      <w:tblStyleColBandSize w:val="1"/>
      <w:tblCellMar>
        <w:left w:w="115.0" w:type="dxa"/>
        <w:right w:w="115.0" w:type="dxa"/>
      </w:tblCellMar>
    </w:tblPr>
    <w:tcPr>
      <w:shd w:color="auto" w:fill="auto" w:val="clear"/>
    </w:tcPr>
  </w:style>
  <w:style w:type="table" w:styleId="22" w:customStyle="1">
    <w:name w:val="22"/>
    <w:basedOn w:val="TableNormal"/>
    <w:pPr>
      <w:spacing w:before="20"/>
    </w:pPr>
    <w:tblPr>
      <w:tblStyleRowBandSize w:val="1"/>
      <w:tblStyleColBandSize w:val="1"/>
      <w:tblCellMar>
        <w:left w:w="115.0" w:type="dxa"/>
        <w:right w:w="115.0" w:type="dxa"/>
      </w:tblCellMar>
    </w:tblPr>
    <w:tcPr>
      <w:shd w:color="auto" w:fill="auto" w:val="clear"/>
    </w:tcPr>
  </w:style>
  <w:style w:type="table" w:styleId="21" w:customStyle="1">
    <w:name w:val="21"/>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20" w:customStyle="1">
    <w:name w:val="20"/>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9" w:customStyle="1">
    <w:name w:val="19"/>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8" w:customStyle="1">
    <w:name w:val="18"/>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7" w:customStyle="1">
    <w:name w:val="17"/>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6" w:customStyle="1">
    <w:name w:val="16"/>
    <w:basedOn w:val="TableNormal"/>
    <w:pPr>
      <w:spacing w:before="20"/>
    </w:pPr>
    <w:tblPr>
      <w:tblStyleRowBandSize w:val="1"/>
      <w:tblStyleColBandSize w:val="1"/>
      <w:tblCellMar>
        <w:left w:w="115.0" w:type="dxa"/>
        <w:right w:w="115.0" w:type="dxa"/>
      </w:tblCellMar>
    </w:tblPr>
    <w:tcPr>
      <w:shd w:color="auto" w:fill="auto" w:val="clear"/>
    </w:tcPr>
  </w:style>
  <w:style w:type="table" w:styleId="15" w:customStyle="1">
    <w:name w:val="15"/>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4" w:customStyle="1">
    <w:name w:val="14"/>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3" w:customStyle="1">
    <w:name w:val="13"/>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2" w:customStyle="1">
    <w:name w:val="12"/>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1" w:customStyle="1">
    <w:name w:val="11"/>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10" w:customStyle="1">
    <w:name w:val="10"/>
    <w:basedOn w:val="TableNormal"/>
    <w:pPr>
      <w:spacing w:before="20"/>
    </w:pPr>
    <w:tblPr>
      <w:tblStyleRowBandSize w:val="1"/>
      <w:tblStyleColBandSize w:val="1"/>
      <w:tblCellMar>
        <w:left w:w="115.0" w:type="dxa"/>
        <w:right w:w="115.0" w:type="dxa"/>
      </w:tblCellMar>
    </w:tblPr>
    <w:tcPr>
      <w:shd w:color="auto" w:fill="auto" w:val="clear"/>
    </w:tcPr>
  </w:style>
  <w:style w:type="table" w:styleId="9" w:customStyle="1">
    <w:name w:val="9"/>
    <w:basedOn w:val="TableNormal"/>
    <w:pPr>
      <w:spacing w:before="20"/>
    </w:pPr>
    <w:tblPr>
      <w:tblStyleRowBandSize w:val="1"/>
      <w:tblStyleColBandSize w:val="1"/>
      <w:tblCellMar>
        <w:left w:w="115.0" w:type="dxa"/>
        <w:right w:w="115.0" w:type="dxa"/>
      </w:tblCellMar>
    </w:tblPr>
    <w:tcPr>
      <w:shd w:color="auto" w:fill="auto" w:val="clear"/>
    </w:tcPr>
  </w:style>
  <w:style w:type="table" w:styleId="8" w:customStyle="1">
    <w:name w:val="8"/>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7" w:customStyle="1">
    <w:name w:val="7"/>
    <w:basedOn w:val="TableNormal"/>
    <w:tblPr>
      <w:tblStyleRowBandSize w:val="1"/>
      <w:tblStyleColBandSize w:val="1"/>
      <w:tblCellMar>
        <w:top w:w="100.0" w:type="dxa"/>
        <w:left w:w="100.0" w:type="dxa"/>
        <w:bottom w:w="100.0" w:type="dxa"/>
        <w:right w:w="100.0" w:type="dxa"/>
      </w:tblCellMar>
    </w:tblPr>
  </w:style>
  <w:style w:type="table" w:styleId="6" w:customStyle="1">
    <w:name w:val="6"/>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5" w:customStyle="1">
    <w:name w:val="5"/>
    <w:basedOn w:val="TableNormal"/>
    <w:tblPr>
      <w:tblStyleRowBandSize w:val="1"/>
      <w:tblStyleColBandSize w:val="1"/>
      <w:tblCellMar>
        <w:top w:w="100.0" w:type="dxa"/>
        <w:left w:w="100.0" w:type="dxa"/>
        <w:bottom w:w="100.0" w:type="dxa"/>
        <w:right w:w="100.0" w:type="dxa"/>
      </w:tblCellMar>
    </w:tblPr>
  </w:style>
  <w:style w:type="table" w:styleId="4" w:customStyle="1">
    <w:name w:val="4"/>
    <w:basedOn w:val="TableNormal"/>
    <w:pPr>
      <w:spacing w:before="20"/>
    </w:pPr>
    <w:tblPr>
      <w:tblStyleRowBandSize w:val="1"/>
      <w:tblStyleColBandSize w:val="1"/>
      <w:tblCellMar>
        <w:left w:w="115.0" w:type="dxa"/>
        <w:right w:w="115.0" w:type="dxa"/>
      </w:tblCellMar>
    </w:tblPr>
    <w:tcPr>
      <w:shd w:color="auto" w:fill="auto" w:val="clear"/>
    </w:tcPr>
    <w:tblStylePr w:type="firstRow">
      <w:rPr>
        <w:rFonts w:ascii="Arial" w:cs="Arial" w:eastAsia="Arial" w:hAnsi="Arial"/>
        <w:b w:val="1"/>
        <w:color w:val="ffffff"/>
        <w:sz w:val="24"/>
        <w:szCs w:val="24"/>
      </w:rPr>
      <w:tblPr/>
      <w:tcPr>
        <w:shd w:color="auto" w:fill="004b9f" w:val="clear"/>
      </w:tcPr>
    </w:tblStylePr>
    <w:tblStylePr w:type="lastRow">
      <w:rPr>
        <w:rFonts w:ascii="Arial" w:cs="Arial" w:eastAsia="Arial" w:hAnsi="Arial"/>
        <w:b w:val="1"/>
        <w:color w:val="ffffff"/>
        <w:sz w:val="24"/>
        <w:szCs w:val="24"/>
      </w:rPr>
      <w:tblPr/>
      <w:tcPr>
        <w:shd w:color="auto" w:fill="004b9f" w:val="clear"/>
      </w:tcPr>
    </w:tblStylePr>
    <w:tblStylePr w:type="firstCol">
      <w:rPr>
        <w:rFonts w:ascii="Arial" w:cs="Arial" w:eastAsia="Arial" w:hAnsi="Arial"/>
        <w:b w:val="1"/>
        <w:color w:val="000000"/>
        <w:sz w:val="24"/>
        <w:szCs w:val="24"/>
      </w:rPr>
      <w:tblPr/>
      <w:tcPr>
        <w:shd w:color="auto" w:fill="91c61a" w:val="clear"/>
      </w:tcPr>
    </w:tblStylePr>
    <w:tblStylePr w:type="lastCol">
      <w:rPr>
        <w:rFonts w:ascii="Arial" w:cs="Arial" w:eastAsia="Arial" w:hAnsi="Arial"/>
        <w:b w:val="1"/>
        <w:sz w:val="24"/>
        <w:szCs w:val="24"/>
      </w:rPr>
      <w:tblPr/>
      <w:tcPr>
        <w:shd w:color="auto" w:fill="91c61a" w:val="clear"/>
      </w:tcPr>
    </w:tblStylePr>
    <w:tblStylePr w:type="band2Vert">
      <w:tblPr/>
      <w:tcPr>
        <w:shd w:color="auto" w:fill="eaf8cc" w:val="clear"/>
      </w:tcPr>
    </w:tblStylePr>
    <w:tblStylePr w:type="band2Horz">
      <w:tblPr/>
      <w:tcPr>
        <w:shd w:color="auto" w:fill="eaf8cc" w:val="clear"/>
      </w:tcPr>
    </w:tblStylePr>
  </w:style>
  <w:style w:type="table" w:styleId="3" w:customStyle="1">
    <w:name w:val="3"/>
    <w:basedOn w:val="TableNormal"/>
    <w:pPr>
      <w:spacing w:before="20"/>
    </w:pPr>
    <w:tblPr>
      <w:tblStyleRowBandSize w:val="1"/>
      <w:tblStyleColBandSize w:val="1"/>
      <w:tblCellMar>
        <w:left w:w="115.0" w:type="dxa"/>
        <w:right w:w="115.0" w:type="dxa"/>
      </w:tblCellMar>
    </w:tblPr>
    <w:tcPr>
      <w:shd w:color="auto" w:fill="auto" w:val="clear"/>
    </w:tcPr>
  </w:style>
  <w:style w:type="table" w:styleId="2" w:customStyle="1">
    <w:name w:val="2"/>
    <w:basedOn w:val="TableNormal"/>
    <w:tblPr>
      <w:tblStyleRowBandSize w:val="1"/>
      <w:tblStyleColBandSize w:val="1"/>
      <w:tblCellMar>
        <w:left w:w="115.0" w:type="dxa"/>
        <w:right w:w="115.0" w:type="dxa"/>
      </w:tblCellMar>
    </w:tblPr>
  </w:style>
  <w:style w:type="table" w:styleId="1" w:customStyle="1">
    <w:name w:val="1"/>
    <w:basedOn w:val="TableNormal"/>
    <w:tblPr>
      <w:tblStyleRowBandSize w:val="1"/>
      <w:tblStyleColBandSize w:val="1"/>
      <w:tblCellMar>
        <w:left w:w="115.0" w:type="dxa"/>
        <w:right w:w="115.0" w:type="dxa"/>
      </w:tblCellMar>
    </w:tblPr>
  </w:style>
  <w:style w:type="paragraph" w:styleId="Subtitle">
    <w:name w:val="Subtitle"/>
    <w:basedOn w:val="Normal"/>
    <w:next w:val="Normal"/>
    <w:pPr>
      <w:spacing w:after="0" w:before="0" w:lineRule="auto"/>
    </w:pPr>
    <w:rPr>
      <w:sz w:val="28"/>
      <w:szCs w:val="28"/>
    </w:rPr>
  </w:style>
  <w:style w:type="table" w:styleId="Table1">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color w:val="000000"/>
        <w:sz w:val="24"/>
        <w:szCs w:val="24"/>
      </w:rPr>
      <w:tcPr>
        <w:shd w:fill="91c61a" w:val="clear"/>
      </w:tcPr>
    </w:tblStylePr>
    <w:tblStylePr w:type="firstRow">
      <w:rPr>
        <w:rFonts w:ascii="Arial" w:cs="Arial" w:eastAsia="Arial" w:hAnsi="Arial"/>
        <w:b w:val="1"/>
        <w:color w:val="ffffff"/>
        <w:sz w:val="24"/>
        <w:szCs w:val="24"/>
      </w:rPr>
      <w:tcPr>
        <w:shd w:fill="004b9f" w:val="clear"/>
      </w:tcPr>
    </w:tblStylePr>
    <w:tblStylePr w:type="lastCol">
      <w:rPr>
        <w:rFonts w:ascii="Arial" w:cs="Arial" w:eastAsia="Arial" w:hAnsi="Arial"/>
        <w:b w:val="1"/>
        <w:sz w:val="24"/>
        <w:szCs w:val="24"/>
      </w:rPr>
      <w:tcPr>
        <w:shd w:fill="91c61a" w:val="clear"/>
      </w:tcPr>
    </w:tblStylePr>
    <w:tblStylePr w:type="lastRow">
      <w:rPr>
        <w:rFonts w:ascii="Arial" w:cs="Arial" w:eastAsia="Arial" w:hAnsi="Arial"/>
        <w:b w:val="1"/>
        <w:color w:val="ffffff"/>
        <w:sz w:val="24"/>
        <w:szCs w:val="24"/>
      </w:rPr>
      <w:tcPr>
        <w:shd w:fill="004b9f" w:val="clear"/>
      </w:tcPr>
    </w:tblStylePr>
  </w:style>
  <w:style w:type="table" w:styleId="Table2">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3">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color w:val="000000"/>
        <w:sz w:val="24"/>
        <w:szCs w:val="24"/>
      </w:rPr>
      <w:tcPr>
        <w:shd w:fill="91c61a" w:val="clear"/>
      </w:tcPr>
    </w:tblStylePr>
    <w:tblStylePr w:type="firstRow">
      <w:rPr>
        <w:rFonts w:ascii="Arial" w:cs="Arial" w:eastAsia="Arial" w:hAnsi="Arial"/>
        <w:b w:val="1"/>
        <w:color w:val="ffffff"/>
        <w:sz w:val="24"/>
        <w:szCs w:val="24"/>
      </w:rPr>
      <w:tcPr>
        <w:shd w:fill="004b9f" w:val="clear"/>
      </w:tcPr>
    </w:tblStylePr>
    <w:tblStylePr w:type="lastCol">
      <w:rPr>
        <w:rFonts w:ascii="Arial" w:cs="Arial" w:eastAsia="Arial" w:hAnsi="Arial"/>
        <w:b w:val="1"/>
        <w:sz w:val="24"/>
        <w:szCs w:val="24"/>
      </w:rPr>
      <w:tcPr>
        <w:shd w:fill="91c61a" w:val="clear"/>
      </w:tcPr>
    </w:tblStylePr>
    <w:tblStylePr w:type="lastRow">
      <w:rPr>
        <w:rFonts w:ascii="Arial" w:cs="Arial" w:eastAsia="Arial" w:hAnsi="Arial"/>
        <w:b w:val="1"/>
        <w:color w:val="ffffff"/>
        <w:sz w:val="24"/>
        <w:szCs w:val="24"/>
      </w:rPr>
      <w:tcPr>
        <w:shd w:fill="004b9f" w:val="clear"/>
      </w:tcPr>
    </w:tblStylePr>
  </w:style>
  <w:style w:type="table" w:styleId="Table4">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5">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color w:val="000000"/>
        <w:sz w:val="24"/>
        <w:szCs w:val="24"/>
      </w:rPr>
      <w:tcPr>
        <w:shd w:fill="91c61a" w:val="clear"/>
      </w:tcPr>
    </w:tblStylePr>
    <w:tblStylePr w:type="firstRow">
      <w:rPr>
        <w:rFonts w:ascii="Arial" w:cs="Arial" w:eastAsia="Arial" w:hAnsi="Arial"/>
        <w:b w:val="1"/>
        <w:color w:val="ffffff"/>
        <w:sz w:val="24"/>
        <w:szCs w:val="24"/>
      </w:rPr>
      <w:tcPr>
        <w:shd w:fill="004b9f" w:val="clear"/>
      </w:tcPr>
    </w:tblStylePr>
    <w:tblStylePr w:type="lastCol">
      <w:rPr>
        <w:rFonts w:ascii="Arial" w:cs="Arial" w:eastAsia="Arial" w:hAnsi="Arial"/>
        <w:b w:val="1"/>
        <w:sz w:val="24"/>
        <w:szCs w:val="24"/>
      </w:rPr>
      <w:tcPr>
        <w:shd w:fill="91c61a" w:val="clear"/>
      </w:tcPr>
    </w:tblStylePr>
    <w:tblStylePr w:type="lastRow">
      <w:rPr>
        <w:rFonts w:ascii="Arial" w:cs="Arial" w:eastAsia="Arial" w:hAnsi="Arial"/>
        <w:b w:val="1"/>
        <w:color w:val="ffffff"/>
        <w:sz w:val="24"/>
        <w:szCs w:val="24"/>
      </w:rPr>
      <w:tcPr>
        <w:shd w:fill="004b9f" w:val="clear"/>
      </w:tcPr>
    </w:tblStylePr>
  </w:style>
  <w:style w:type="table" w:styleId="Table6">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7">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8">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paragraph" w:styleId="Subtitle">
    <w:name w:val="Subtitle"/>
    <w:basedOn w:val="Normal"/>
    <w:next w:val="Normal"/>
    <w:pPr>
      <w:spacing w:after="0" w:before="0" w:lineRule="auto"/>
    </w:pPr>
    <w:rPr>
      <w:sz w:val="28"/>
      <w:szCs w:val="28"/>
    </w:rPr>
  </w:style>
  <w:style w:type="table" w:styleId="Table1">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bCs w:val="1"/>
        <w:color w:val="000000"/>
        <w:sz w:val="24"/>
        <w:szCs w:val="24"/>
      </w:rPr>
      <w:tcPr>
        <w:shd w:fill="91c61a" w:val="clear"/>
      </w:tcPr>
    </w:tblStylePr>
    <w:tblStylePr w:type="firstRow">
      <w:rPr>
        <w:rFonts w:ascii="Arial" w:cs="Arial" w:eastAsia="Arial" w:hAnsi="Arial"/>
        <w:b w:val="1"/>
        <w:bCs w:val="1"/>
        <w:color w:val="ffffff"/>
        <w:sz w:val="24"/>
        <w:szCs w:val="24"/>
      </w:rPr>
      <w:tcPr>
        <w:shd w:fill="004b9f" w:val="clear"/>
      </w:tcPr>
    </w:tblStylePr>
    <w:tblStylePr w:type="lastCol">
      <w:rPr>
        <w:rFonts w:ascii="Arial" w:cs="Arial" w:eastAsia="Arial" w:hAnsi="Arial"/>
        <w:b w:val="1"/>
        <w:bCs w:val="1"/>
        <w:sz w:val="24"/>
        <w:szCs w:val="24"/>
      </w:rPr>
      <w:tcPr>
        <w:shd w:fill="91c61a" w:val="clear"/>
      </w:tcPr>
    </w:tblStylePr>
    <w:tblStylePr w:type="lastRow">
      <w:rPr>
        <w:rFonts w:ascii="Arial" w:cs="Arial" w:eastAsia="Arial" w:hAnsi="Arial"/>
        <w:b w:val="1"/>
        <w:bCs w:val="1"/>
        <w:color w:val="ffffff"/>
        <w:sz w:val="24"/>
        <w:szCs w:val="24"/>
      </w:rPr>
      <w:tcPr>
        <w:shd w:fill="004b9f" w:val="clear"/>
      </w:tcPr>
    </w:tblStylePr>
  </w:style>
  <w:style w:type="table" w:styleId="Table2">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3">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bCs w:val="1"/>
        <w:color w:val="000000"/>
        <w:sz w:val="24"/>
        <w:szCs w:val="24"/>
      </w:rPr>
      <w:tcPr>
        <w:shd w:fill="91c61a" w:val="clear"/>
      </w:tcPr>
    </w:tblStylePr>
    <w:tblStylePr w:type="firstRow">
      <w:rPr>
        <w:rFonts w:ascii="Arial" w:cs="Arial" w:eastAsia="Arial" w:hAnsi="Arial"/>
        <w:b w:val="1"/>
        <w:bCs w:val="1"/>
        <w:color w:val="ffffff"/>
        <w:sz w:val="24"/>
        <w:szCs w:val="24"/>
      </w:rPr>
      <w:tcPr>
        <w:shd w:fill="004b9f" w:val="clear"/>
      </w:tcPr>
    </w:tblStylePr>
    <w:tblStylePr w:type="lastCol">
      <w:rPr>
        <w:rFonts w:ascii="Arial" w:cs="Arial" w:eastAsia="Arial" w:hAnsi="Arial"/>
        <w:b w:val="1"/>
        <w:bCs w:val="1"/>
        <w:sz w:val="24"/>
        <w:szCs w:val="24"/>
      </w:rPr>
      <w:tcPr>
        <w:shd w:fill="91c61a" w:val="clear"/>
      </w:tcPr>
    </w:tblStylePr>
    <w:tblStylePr w:type="lastRow">
      <w:rPr>
        <w:rFonts w:ascii="Arial" w:cs="Arial" w:eastAsia="Arial" w:hAnsi="Arial"/>
        <w:b w:val="1"/>
        <w:bCs w:val="1"/>
        <w:color w:val="ffffff"/>
        <w:sz w:val="24"/>
        <w:szCs w:val="24"/>
      </w:rPr>
      <w:tcPr>
        <w:shd w:fill="004b9f" w:val="clear"/>
      </w:tcPr>
    </w:tblStylePr>
  </w:style>
  <w:style w:type="table" w:styleId="Table4">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5">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tblStylePr w:type="band2Horz">
      <w:tcPr>
        <w:shd w:fill="eaf8cc" w:val="clear"/>
      </w:tcPr>
    </w:tblStylePr>
    <w:tblStylePr w:type="band2Vert">
      <w:tcPr>
        <w:shd w:fill="eaf8cc" w:val="clear"/>
      </w:tcPr>
    </w:tblStylePr>
    <w:tblStylePr w:type="firstCol">
      <w:rPr>
        <w:rFonts w:ascii="Arial" w:cs="Arial" w:eastAsia="Arial" w:hAnsi="Arial"/>
        <w:b w:val="1"/>
        <w:bCs w:val="1"/>
        <w:color w:val="000000"/>
        <w:sz w:val="24"/>
        <w:szCs w:val="24"/>
      </w:rPr>
      <w:tcPr>
        <w:shd w:fill="91c61a" w:val="clear"/>
      </w:tcPr>
    </w:tblStylePr>
    <w:tblStylePr w:type="firstRow">
      <w:rPr>
        <w:rFonts w:ascii="Arial" w:cs="Arial" w:eastAsia="Arial" w:hAnsi="Arial"/>
        <w:b w:val="1"/>
        <w:bCs w:val="1"/>
        <w:color w:val="ffffff"/>
        <w:sz w:val="24"/>
        <w:szCs w:val="24"/>
      </w:rPr>
      <w:tcPr>
        <w:shd w:fill="004b9f" w:val="clear"/>
      </w:tcPr>
    </w:tblStylePr>
    <w:tblStylePr w:type="lastCol">
      <w:rPr>
        <w:rFonts w:ascii="Arial" w:cs="Arial" w:eastAsia="Arial" w:hAnsi="Arial"/>
        <w:b w:val="1"/>
        <w:bCs w:val="1"/>
        <w:sz w:val="24"/>
        <w:szCs w:val="24"/>
      </w:rPr>
      <w:tcPr>
        <w:shd w:fill="91c61a" w:val="clear"/>
      </w:tcPr>
    </w:tblStylePr>
    <w:tblStylePr w:type="lastRow">
      <w:rPr>
        <w:rFonts w:ascii="Arial" w:cs="Arial" w:eastAsia="Arial" w:hAnsi="Arial"/>
        <w:b w:val="1"/>
        <w:bCs w:val="1"/>
        <w:color w:val="ffffff"/>
        <w:sz w:val="24"/>
        <w:szCs w:val="24"/>
      </w:rPr>
      <w:tcPr>
        <w:shd w:fill="004b9f" w:val="clear"/>
      </w:tcPr>
    </w:tblStylePr>
  </w:style>
  <w:style w:type="table" w:styleId="Table6">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7">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 w:type="table" w:styleId="Table8">
    <w:basedOn w:val="TableNormal"/>
    <w:pPr>
      <w:spacing w:before="20" w:lineRule="auto"/>
    </w:p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CG_CoExTemplate">
  <a:themeElements>
    <a:clrScheme name="CG_CoExTemplate">
      <a:dk1>
        <a:srgbClr val="000000"/>
      </a:dk1>
      <a:lt1>
        <a:srgbClr val="FFFFFF"/>
      </a:lt1>
      <a:dk2>
        <a:srgbClr val="004B9F"/>
      </a:dk2>
      <a:lt2>
        <a:srgbClr val="FFFFFF"/>
      </a:lt2>
      <a:accent1>
        <a:srgbClr val="004B9F"/>
      </a:accent1>
      <a:accent2>
        <a:srgbClr val="A22721"/>
      </a:accent2>
      <a:accent3>
        <a:srgbClr val="91C61A"/>
      </a:accent3>
      <a:accent4>
        <a:srgbClr val="004B9F"/>
      </a:accent4>
      <a:accent5>
        <a:srgbClr val="A22721"/>
      </a:accent5>
      <a:accent6>
        <a:srgbClr val="91C61A"/>
      </a:accent6>
      <a:hlink>
        <a:srgbClr val="91C61A"/>
      </a:hlink>
      <a:folHlink>
        <a:srgbClr val="A22721"/>
      </a:folHlink>
    </a:clrScheme>
    <a:fontScheme name="CG_CoExTemplate">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pju+f+62Ml5/87lbnRMTwi5OzQ==">CgMxLjAyCWguMmV0OTJwMDIIaC50eWpjd3QyCWguM2R5NnZrbTIJaC4xdDNoNXNmMgloLjRkMzRvZzgyCWguMnM4ZXlvMTIJaC4xN2RwOHZ1MgloLjNyZGNyam4yCWguMjZpbjFyZzIIaC5sbnhiejkyCWguMzVua3VuMjIJaC4xa3N2NHV2MgloLjQ0c2luaW84AHIhMThfeUtValJtNkxkZzZfTFlSbkIyRVJURktETG1qVktB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2023-01-14T18:40:00Z</dcterms:created>
  <dc:creator>Dr. Vishnu Vasudev</dc:creator>
  <dc:title>TankGuard: self-powered monitoring, pump control and sludge cleaning for water tanks</dc:title>
  <dc:subject>TIH IoT Technology Development Program 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Version</vt:lpwstr>
  </property>
  <property fmtid="{D5CDD505-2E9C-101B-9397-08002B2CF9AE}" pid="3" name="DocumentVersion">
    <vt:lpwstr>1.0</vt:lpwstr>
  </property>
  <property fmtid="{D5CDD505-2E9C-101B-9397-08002B2CF9AE}" pid="4" name="Author2">
    <vt:lpwstr>Author2</vt:lpwstr>
  </property>
  <property fmtid="{D5CDD505-2E9C-101B-9397-08002B2CF9AE}" pid="5" name="Author3">
    <vt:lpwstr>Author3</vt:lpwstr>
  </property>
  <property fmtid="{D5CDD505-2E9C-101B-9397-08002B2CF9AE}" pid="6" name="Confidential">
    <vt:lpwstr>Confidential</vt:lpwstr>
  </property>
  <property fmtid="{D5CDD505-2E9C-101B-9397-08002B2CF9AE}" pid="7" name="DocumentDate">
    <vt:lpwstr>08/12/2015</vt:lpwstr>
  </property>
  <property fmtid="{D5CDD505-2E9C-101B-9397-08002B2CF9AE}" pid="8" name="TemplateVersion">
    <vt:lpwstr>CoEx 2.4</vt:lpwstr>
  </property>
  <property fmtid="{D5CDD505-2E9C-101B-9397-08002B2CF9AE}" pid="9" name="DocumentNumber">
    <vt:lpwstr>PBU Common/PT Mumbai (T1)/15-16/01</vt:lpwstr>
  </property>
</Properties>
</file>