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 IoT Technology Development Program 2026</w:t>
      </w:r>
    </w:p>
    <w:p>
      <w:pPr>
        <w:spacing w:after="320"/>
        <w:jc w:val="center"/>
      </w:pPr>
      <w:r>
        <w:rPr>
          <w:b/>
          <w:color w:val="1F4E79"/>
          <w:sz w:val="32"/>
        </w:rPr>
        <w:t>TankGuard — self-powered IoT water-tank monitoring, pump control and automated sludge cleaning</w:t>
      </w:r>
    </w:p>
    <w:p>
      <w:pPr>
        <w:spacing w:after="40"/>
        <w:jc w:val="center"/>
      </w:pPr>
      <w:r>
        <w:rPr>
          <w:b w:val="0"/>
          <w:sz w:val="22"/>
        </w:rPr>
        <w:t>Submitted by</w:t>
      </w:r>
    </w:p>
    <w:p>
      <w:pPr>
        <w:spacing w:after="40"/>
        <w:jc w:val="center"/>
      </w:pPr>
      <w:r>
        <w:rPr>
          <w:b/>
          <w:color w:val="1F4E79"/>
          <w:sz w:val="28"/>
        </w:rPr>
        <w:t>Dr. Vishnu Vasudev</w:t>
      </w:r>
    </w:p>
    <w:p>
      <w:pPr>
        <w:spacing w:after="200"/>
        <w:jc w:val="center"/>
      </w:pPr>
      <w:r>
        <w:rPr>
          <w:b w:val="0"/>
          <w:sz w:val="22"/>
        </w:rPr>
        <w:t>Nuke Labs — Industry Partner</w:t>
      </w:r>
    </w:p>
    <w:p>
      <w:pPr>
        <w:spacing w:after="40"/>
        <w:jc w:val="center"/>
      </w:pPr>
      <w:r>
        <w:rPr>
          <w:b w:val="0"/>
          <w:sz w:val="21"/>
        </w:rPr>
        <w:t>Theme: TIH — IoT Technology Development Program 2026</w:t>
      </w:r>
    </w:p>
    <w:p>
      <w:pPr>
        <w:spacing w:after="40"/>
        <w:jc w:val="center"/>
      </w:pPr>
      <w:r>
        <w:rPr>
          <w:b w:val="0"/>
          <w:sz w:val="21"/>
        </w:rPr>
        <w:t>Date of submission: 31 October 2026</w:t>
      </w:r>
    </w:p>
    <w:p>
      <w:r>
        <w:br w:type="page"/>
      </w:r>
    </w:p>
    <w:p>
      <w:pPr>
        <w:pStyle w:val="Heading1"/>
        <w:numPr>
          <w:ilvl w:val="0"/>
          <w:numId w:val="0"/>
        </w:numPr>
        <w:spacing w:before="280" w:after="120"/>
      </w:pPr>
      <w:r>
        <w:rPr>
          <w:b/>
          <w:color w:val="1F4E79"/>
          <w:sz w:val="30"/>
        </w:rPr>
        <w:t>Contents</w:t>
      </w:r>
    </w:p>
    <w:p>
      <w:pPr>
        <w:spacing w:after="40"/>
      </w:pPr>
      <w:r>
        <w:rPr>
          <w:b w:val="0"/>
          <w:sz w:val="22"/>
        </w:rPr>
        <w:t>1  Cover Sheet</w:t>
      </w:r>
    </w:p>
    <w:p>
      <w:pPr>
        <w:spacing w:after="40"/>
      </w:pPr>
      <w:r>
        <w:rPr>
          <w:b w:val="0"/>
          <w:sz w:val="22"/>
        </w:rPr>
        <w:t>2  Executive Summary</w:t>
      </w:r>
    </w:p>
    <w:p>
      <w:pPr>
        <w:spacing w:after="40"/>
      </w:pPr>
      <w:r>
        <w:rPr>
          <w:b w:val="0"/>
          <w:sz w:val="22"/>
        </w:rPr>
        <w:t>3  Background</w:t>
      </w:r>
    </w:p>
    <w:p>
      <w:pPr>
        <w:spacing w:after="40"/>
      </w:pPr>
      <w:r>
        <w:rPr>
          <w:b w:val="0"/>
          <w:sz w:val="22"/>
        </w:rPr>
        <w:t xml:space="preserve">     3.1  History</w:t>
      </w:r>
    </w:p>
    <w:p>
      <w:pPr>
        <w:spacing w:after="40"/>
      </w:pPr>
      <w:r>
        <w:rPr>
          <w:b w:val="0"/>
          <w:sz w:val="22"/>
        </w:rPr>
        <w:t xml:space="preserve">     3.2  Statement of the problem</w:t>
      </w:r>
    </w:p>
    <w:p>
      <w:pPr>
        <w:spacing w:after="40"/>
      </w:pPr>
      <w:r>
        <w:rPr>
          <w:b w:val="0"/>
          <w:sz w:val="22"/>
        </w:rPr>
        <w:t xml:space="preserve">     3.3  Objectives</w:t>
      </w:r>
    </w:p>
    <w:p>
      <w:pPr>
        <w:spacing w:after="40"/>
      </w:pPr>
      <w:r>
        <w:rPr>
          <w:b w:val="0"/>
          <w:sz w:val="22"/>
        </w:rPr>
        <w:t xml:space="preserve">     3.4  Deliverables</w:t>
      </w:r>
    </w:p>
    <w:p>
      <w:pPr>
        <w:spacing w:after="40"/>
      </w:pPr>
      <w:r>
        <w:rPr>
          <w:b w:val="0"/>
          <w:sz w:val="22"/>
        </w:rPr>
        <w:t xml:space="preserve">     3.5  Project plan with major milestones</w:t>
      </w:r>
    </w:p>
    <w:p>
      <w:pPr>
        <w:spacing w:after="40"/>
      </w:pPr>
      <w:r>
        <w:rPr>
          <w:b w:val="0"/>
          <w:sz w:val="22"/>
        </w:rPr>
        <w:t xml:space="preserve">     3.6  Resources and budget</w:t>
      </w:r>
    </w:p>
    <w:p>
      <w:pPr>
        <w:spacing w:after="40"/>
      </w:pPr>
      <w:r>
        <w:rPr>
          <w:b w:val="0"/>
          <w:sz w:val="22"/>
        </w:rPr>
        <w:t xml:space="preserve">     3.7  Category of new technology/product</w:t>
      </w:r>
    </w:p>
    <w:p>
      <w:pPr>
        <w:spacing w:after="40"/>
      </w:pPr>
      <w:r>
        <w:rPr>
          <w:b w:val="0"/>
          <w:sz w:val="22"/>
        </w:rPr>
        <w:t>4  Appendix</w:t>
      </w:r>
    </w:p>
    <w:p>
      <w:pPr>
        <w:spacing w:after="40"/>
      </w:pPr>
      <w:r>
        <w:rPr>
          <w:b w:val="0"/>
          <w:sz w:val="22"/>
        </w:rPr>
        <w:t xml:space="preserve">     4.1  Supporting documentation</w:t>
      </w:r>
    </w:p>
    <w:p>
      <w:r>
        <w:br w:type="page"/>
      </w:r>
    </w:p>
    <w:p>
      <w:pPr>
        <w:pStyle w:val="Heading1"/>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 self-powered IoT water-tank monitoring, pump control and automated sludge cleaning</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Nuke Labs — Industry Partner</w:t>
            </w:r>
          </w:p>
        </w:tc>
      </w:tr>
      <w:tr>
        <w:tc>
          <w:tcPr>
            <w:tcW w:type="dxa" w:w="3000"/>
            <w:shd w:val="clear" w:color="auto" w:fill="FFFFFF"/>
          </w:tcPr>
          <w:p>
            <w:r/>
            <w:r>
              <w:rPr>
                <w:sz w:val="19"/>
              </w:rPr>
              <w:t>Email</w:t>
            </w:r>
          </w:p>
        </w:tc>
        <w:tc>
          <w:tcPr>
            <w:tcW w:type="dxa" w:w="6000"/>
            <w:shd w:val="clear" w:color="auto" w:fill="FFFFFF"/>
          </w:tcPr>
          <w:p>
            <w:r/>
            <w:r>
              <w:rPr>
                <w:sz w:val="19"/>
              </w:rPr>
            </w:r>
          </w:p>
        </w:tc>
      </w:tr>
      <w:tr>
        <w:tc>
          <w:tcPr>
            <w:tcW w:type="dxa" w:w="3000"/>
            <w:shd w:val="clear" w:color="auto" w:fill="FFFFFF"/>
          </w:tcPr>
          <w:p>
            <w:r/>
            <w:r>
              <w:rPr>
                <w:sz w:val="19"/>
              </w:rPr>
              <w:t>Co-investigator</w:t>
            </w:r>
          </w:p>
        </w:tc>
        <w:tc>
          <w:tcPr>
            <w:tcW w:type="dxa" w:w="6000"/>
            <w:shd w:val="clear" w:color="auto" w:fill="FFFFFF"/>
          </w:tcPr>
          <w:p>
            <w:r/>
            <w:r>
              <w:rPr>
                <w:sz w:val="19"/>
              </w:rPr>
              <w:t>—</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TIH — IoT Technology Development Program 2026</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numPr>
          <w:ilvl w:val="0"/>
          <w:numId w:val="0"/>
        </w:numPr>
        <w:spacing w:before="280" w:after="120"/>
      </w:pPr>
      <w:r>
        <w:rPr>
          <w:b/>
          <w:color w:val="1F4E79"/>
          <w:sz w:val="30"/>
        </w:rPr>
        <w:t>2  Executive Summary</w:t>
      </w:r>
    </w:p>
    <w:p>
      <w:pPr>
        <w:spacing w:after="120"/>
      </w:pPr>
      <w:r>
        <w:rPr>
          <w:b w:val="0"/>
          <w:sz w:val="22"/>
        </w:rPr>
        <w:t>TankGuard is a self-powered Internet of Things (IoT) system for domestic and institutional water storage tanks. It measures water quality in the tank, scores it, controls the household pump safely, and cleans the settled sludge layer with a small robotic arm — all on the local network, with no cloud, subscription or account.</w:t>
      </w:r>
    </w:p>
    <w:p>
      <w:pPr>
        <w:spacing w:after="120"/>
      </w:pPr>
      <w:r>
        <w:rPr>
          <w:b w:val="0"/>
          <w:sz w:val="22"/>
        </w:rPr>
        <w:t>The system is three units on one local network. M1 sits on the tank lid and reads turbidity, TDS, pH, temperature and level through submerged probes, computes a weighted 0-100 TankScore at the edge, and serves the dashboard itself from its own flash. H1 sits next to the pump switch, shows the score on a 1.8-inch colour display, and drives the pump through an isolated relay and contactor with automatic level control and a manual override. C1 is the cleaning arm: a two-link 20 cm + 20 cm mechanism that sweeps the tank floor in three concentric passes while a ring brush loosens the sludge and a submersible pump draws it out through the centre of the head.</w:t>
      </w:r>
    </w:p>
    <w:p>
      <w:pPr>
        <w:spacing w:after="120"/>
      </w:pPr>
      <w:r>
        <w:rPr>
          <w:b w:val="0"/>
          <w:sz w:val="22"/>
        </w:rPr>
        <w:t>Water safety management still relies on manual sampling and calendar-based cleaning. Tanks degrade silently: disinfectant residual dissipates within 24-48 hours, particles settle into a sludge layer at the floor, biofilm forms on the walls, and algae bloom in warm water. By the time the water smells or looks wrong it is already unsafe, and the only remedy is a full drain and manual scrub that wastes the entire stored volume.</w:t>
      </w:r>
    </w:p>
    <w:p>
      <w:pPr>
        <w:spacing w:after="120"/>
      </w:pPr>
      <w:r>
        <w:rPr>
          <w:b w:val="0"/>
          <w:sz w:val="22"/>
        </w:rPr>
        <w:t>TankGuard closes that loop at the edge: sense, score, act, and verify. The cleaning arm covers 90% of the tank floor per cycle; the remaining 7.8% is a 2 cm ring at the wall that the mechanism cannot reach, and the design record states it rather than hiding it. The dashboard reports what happened, not what the vendor wishes had happened.</w:t>
      </w:r>
    </w:p>
    <w:p>
      <w:pPr>
        <w:spacing w:after="120"/>
      </w:pPr>
      <w:r>
        <w:rPr>
          <w:b w:val="0"/>
          <w:sz w:val="22"/>
        </w:rPr>
        <w:t>Deliverables: (1) a working TankGuard prototype (M1 + H1); (2) the cleaning arm C1 with its planner and controller; (3) the web dashboard, served by the tank unit itself; (4) validation at TRL 6+ with an industry partner, including field data from at least three installations.</w:t>
      </w:r>
    </w:p>
    <w:p>
      <w:pPr>
        <w:pStyle w:val="Heading1"/>
        <w:numPr>
          <w:ilvl w:val="0"/>
          <w:numId w:val="0"/>
        </w:numPr>
        <w:spacing w:before="280" w:after="120"/>
      </w:pPr>
      <w:r>
        <w:rPr>
          <w:b/>
          <w:color w:val="1F4E79"/>
          <w:sz w:val="30"/>
        </w:rPr>
        <w:t>3  Background</w:t>
      </w:r>
    </w:p>
    <w:p>
      <w:pPr>
        <w:pStyle w:val="Heading2"/>
        <w:numPr>
          <w:ilvl w:val="0"/>
          <w:numId w:val="0"/>
        </w:numPr>
        <w:spacing w:before="200" w:after="120"/>
      </w:pPr>
      <w:r>
        <w:rPr>
          <w:b/>
          <w:color w:val="2E74B5"/>
          <w:sz w:val="25"/>
        </w:rPr>
        <w:t>3.1  History</w:t>
      </w:r>
    </w:p>
    <w:p>
      <w:pPr>
        <w:spacing w:after="120"/>
      </w:pPr>
      <w:r>
        <w:rPr>
          <w:b w:val="0"/>
          <w:sz w:val="22"/>
        </w:rPr>
        <w:t>TankGuard began as an in-tank water-quality monitor: five probes, an edge-computed score, and a dashboard served by the device itself. The first build proved that a low-cost ESP8266 can carry the whole stack — sensing, scoring, a web UI and a local Wi-Fi link — without a cloud path.</w:t>
      </w:r>
    </w:p>
    <w:p>
      <w:pPr>
        <w:spacing w:after="120"/>
      </w:pPr>
      <w:r>
        <w:rPr>
          <w:b w:val="0"/>
          <w:sz w:val="22"/>
        </w:rPr>
        <w:t>Field work exposed the real failure mode. Measurement alone does not fix a tank: the sludge layer at the floor keeps feeding turbidity and biofilm, and the household's only remedy is a full drain and manual scrub. The product therefore moved from monitoring to care: a home unit that runs the pump safely, and a cleaning arm that removes the sludge layer without emptying the tank.</w:t>
      </w:r>
    </w:p>
    <w:p>
      <w:pPr>
        <w:spacing w:after="120"/>
      </w:pPr>
      <w:r>
        <w:rPr>
          <w:b w:val="0"/>
          <w:sz w:val="22"/>
        </w:rPr>
        <w:t>The current design keeps every earlier decision that still holds — the five probes, the TankScore weights, the local-only architecture — and replaces the abandoned drain-and-flush mechanism with the robotic cleaning arm described here.</w:t>
      </w:r>
    </w:p>
    <w:p>
      <w:pPr>
        <w:pStyle w:val="Heading2"/>
        <w:numPr>
          <w:ilvl w:val="0"/>
          <w:numId w:val="0"/>
        </w:numPr>
        <w:spacing w:before="200" w:after="120"/>
      </w:pPr>
      <w:r>
        <w:rPr>
          <w:b/>
          <w:color w:val="2E74B5"/>
          <w:sz w:val="25"/>
        </w:rPr>
        <w:t>3.2  Statement of the problem</w:t>
      </w:r>
    </w:p>
    <w:p>
      <w:pPr>
        <w:spacing w:after="120"/>
      </w:pPr>
      <w:r>
        <w:rPr>
          <w:b w:val="0"/>
          <w:sz w:val="22"/>
        </w:rPr>
        <w:t>Storage tanks degrade silently. Disinfectant residual dissipates within 24-48 hours of filling; suspended particles settle into a sludge layer at the floor; biofilm forms on internal surfaces; algae proliferate in warm conditions. By the time degradation is detected by smell, taste or sight, the water is already unsafe.</w:t>
      </w:r>
    </w:p>
    <w:p>
      <w:pPr>
        <w:spacing w:after="120"/>
      </w:pPr>
      <w:r>
        <w:rPr>
          <w:b w:val="0"/>
          <w:sz w:val="22"/>
        </w:rPr>
        <w:t>Existing options either monitor without acting, or clean by draining and scrubbing the entire tank, which wastes the whole stored volume and needs manual labour. No affordable product closes the loop: measure, decide, clean selectively, and show whether the cleaning worked.</w:t>
      </w:r>
    </w:p>
    <w:p>
      <w:pPr>
        <w:spacing w:after="120"/>
      </w:pPr>
      <w:r>
        <w:rPr>
          <w:b w:val="0"/>
          <w:sz w:val="22"/>
        </w:rPr>
        <w:t>The problem is worst where it matters most: schools, hospitals and apartment buildings store large volumes, clean on a calendar rather than on evidence, and have no way to tell whether the last cleaning actually helped.</w:t>
      </w:r>
    </w:p>
    <w:p>
      <w:pPr>
        <w:pStyle w:val="Heading2"/>
        <w:numPr>
          <w:ilvl w:val="0"/>
          <w:numId w:val="0"/>
        </w:numPr>
        <w:spacing w:before="200" w:after="120"/>
      </w:pPr>
      <w:r>
        <w:rPr>
          <w:b/>
          <w:color w:val="2E74B5"/>
          <w:sz w:val="25"/>
        </w:rPr>
        <w:t>3.3  Objectives</w:t>
      </w:r>
    </w:p>
    <w:p>
      <w:pPr>
        <w:spacing w:after="120"/>
      </w:pPr>
      <w:r>
        <w:rPr>
          <w:b w:val="0"/>
          <w:sz w:val="22"/>
        </w:rPr>
        <w:t>Objective 1 — Measure and score water quality at the edge. Five probes (turbidity, TDS, pH, temperature, level) digitised through an ADS1115 and fused into a weighted TankScore (turbidity 40%, TDS 25%, pH 25%, temperature 10%), with the same bands the display and the dashboard use (&gt;=70 good, &gt;=40 watch, &lt;40 needs attention). Acceptance: score repeatable within +/-2 points across ten consecutive samples in still water.</w:t>
      </w:r>
    </w:p>
    <w:p>
      <w:pPr>
        <w:spacing w:after="120"/>
      </w:pPr>
      <w:r>
        <w:rPr>
          <w:b w:val="0"/>
          <w:sz w:val="22"/>
        </w:rPr>
        <w:t>Objective 2 — Make the result readable without a phone. H1 shows TankScore, level, the four readings, pump state and link health on a 1.8-inch TFT, and controls the pump in AUTO (on below the low-level setpoint, off above the high) with a manual override that times out safely.</w:t>
      </w:r>
    </w:p>
    <w:p>
      <w:pPr>
        <w:spacing w:after="120"/>
      </w:pPr>
      <w:r>
        <w:rPr>
          <w:b w:val="0"/>
          <w:sz w:val="22"/>
        </w:rPr>
        <w:t>Objective 3 — Clean the tank floor without draining it. C1 sweeps three concentric rings at 8.0 / 23.7 / 39.4 cm with a 16 cm ring brush and a central suction intake, covering 90% of the floor per cycle, and parks in a defined rest pose at both ends of every cycle.</w:t>
      </w:r>
    </w:p>
    <w:p>
      <w:pPr>
        <w:spacing w:after="120"/>
      </w:pPr>
      <w:r>
        <w:rPr>
          <w:b w:val="0"/>
          <w:sz w:val="22"/>
        </w:rPr>
        <w:t>Objective 4 — Prove it in the field. Twelve months to TRL 6+: three installations, 90 days of continuous operation, and a published measurement of score accuracy, cleaning coverage and water saved against a full drain.</w:t>
      </w:r>
    </w:p>
    <w:p>
      <w:pPr>
        <w:pStyle w:val="Heading2"/>
        <w:numPr>
          <w:ilvl w:val="0"/>
          <w:numId w:val="0"/>
        </w:numPr>
        <w:spacing w:before="200" w:after="120"/>
      </w:pPr>
      <w:r>
        <w:rPr>
          <w:b/>
          <w:color w:val="2E74B5"/>
          <w:sz w:val="25"/>
        </w:rPr>
        <w:t>3.4  Deliverables</w:t>
      </w:r>
    </w:p>
    <w:p>
      <w:pPr>
        <w:spacing w:after="120"/>
      </w:pPr>
      <w:r>
        <w:rPr>
          <w:b w:val="0"/>
          <w:sz w:val="22"/>
        </w:rPr>
        <w:t>D1 — M1 monitor: ESP8266 unit on the tank lid with five calibrated probes, edge TankScore, and the web dashboard served from LittleFS.</w:t>
      </w:r>
    </w:p>
    <w:p>
      <w:pPr>
        <w:spacing w:after="120"/>
      </w:pPr>
      <w:r>
        <w:rPr>
          <w:b w:val="0"/>
          <w:sz w:val="22"/>
        </w:rPr>
        <w:t>D2 — H1 home unit: ESP8266 with a 1.8-inch TFT, automatic pump control through an isolated relay and contactor, and a manual override.</w:t>
      </w:r>
    </w:p>
    <w:p>
      <w:pPr>
        <w:spacing w:after="120"/>
      </w:pPr>
      <w:r>
        <w:rPr>
          <w:b w:val="0"/>
          <w:sz w:val="22"/>
        </w:rPr>
        <w:t>D3 — C1 cleaning arm: ESP32 controller, two-link arm, ring brush head with suction, planner and path executor, with the coverage analysis that states its limits.</w:t>
      </w:r>
    </w:p>
    <w:p>
      <w:pPr>
        <w:spacing w:after="120"/>
      </w:pPr>
      <w:r>
        <w:rPr>
          <w:b w:val="0"/>
          <w:sz w:val="22"/>
        </w:rPr>
        <w:t>D4 — Field evidence: three installations, 90 days of data, and a TRL 6+ evidence pack including score accuracy and cleaning coverage.</w:t>
      </w:r>
    </w:p>
    <w:p>
      <w:pPr>
        <w:pStyle w:val="Heading2"/>
        <w:numPr>
          <w:ilvl w:val="0"/>
          <w:numId w:val="0"/>
        </w:numPr>
        <w:spacing w:before="200" w:after="120"/>
      </w:pPr>
      <w:r>
        <w:rPr>
          <w:b/>
          <w:color w:val="2E74B5"/>
          <w:sz w:val="25"/>
        </w:rPr>
        <w:t>3.5  Project plan with major milestones</w:t>
      </w:r>
    </w:p>
    <w:p>
      <w:pPr>
        <w:spacing w:after="120"/>
      </w:pPr>
      <w:r>
        <w:rPr>
          <w:b w:val="0"/>
          <w:sz w:val="22"/>
        </w:rPr>
        <w:t>Twelve-month plan from T0, with a gate at every milestone.</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What is delivered</w:t>
            </w:r>
          </w:p>
        </w:tc>
      </w:tr>
      <w:tr>
        <w:tc>
          <w:tcPr>
            <w:tcW w:type="dxa" w:w="480"/>
            <w:shd w:val="clear" w:color="auto" w:fill="FFFFFF"/>
          </w:tcPr>
          <w:p>
            <w:r/>
            <w:r>
              <w:rPr>
                <w:sz w:val="19"/>
              </w:rPr>
              <w:t>1</w:t>
            </w:r>
          </w:p>
        </w:tc>
        <w:tc>
          <w:tcPr>
            <w:tcW w:type="dxa" w:w="3000"/>
            <w:shd w:val="clear" w:color="auto" w:fill="FFFFFF"/>
          </w:tcPr>
          <w:p>
            <w:r/>
            <w:r>
              <w:rPr>
                <w:sz w:val="19"/>
              </w:rPr>
              <w:t>Requirements and monitor prototype</w:t>
            </w:r>
          </w:p>
        </w:tc>
        <w:tc>
          <w:tcPr>
            <w:tcW w:type="dxa" w:w="1400"/>
            <w:shd w:val="clear" w:color="auto" w:fill="FFFFFF"/>
          </w:tcPr>
          <w:p>
            <w:r/>
            <w:r>
              <w:rPr>
                <w:sz w:val="19"/>
              </w:rPr>
              <w:t>T0 + 2 months</w:t>
            </w:r>
          </w:p>
        </w:tc>
        <w:tc>
          <w:tcPr>
            <w:tcW w:type="dxa" w:w="4200"/>
            <w:shd w:val="clear" w:color="auto" w:fill="FFFFFF"/>
          </w:tcPr>
          <w:p>
            <w:r/>
            <w:r>
              <w:rPr>
                <w:sz w:val="19"/>
              </w:rPr>
              <w:t>M1 assembled and calibrated; TankScore validated; dashboard served from flash.</w:t>
            </w:r>
          </w:p>
        </w:tc>
      </w:tr>
      <w:tr>
        <w:tc>
          <w:tcPr>
            <w:tcW w:type="dxa" w:w="480"/>
            <w:shd w:val="clear" w:color="auto" w:fill="FFFFFF"/>
          </w:tcPr>
          <w:p>
            <w:r/>
            <w:r>
              <w:rPr>
                <w:sz w:val="19"/>
              </w:rPr>
              <w:t>2</w:t>
            </w:r>
          </w:p>
        </w:tc>
        <w:tc>
          <w:tcPr>
            <w:tcW w:type="dxa" w:w="3000"/>
            <w:shd w:val="clear" w:color="auto" w:fill="FFFFFF"/>
          </w:tcPr>
          <w:p>
            <w:r/>
            <w:r>
              <w:rPr>
                <w:sz w:val="19"/>
              </w:rPr>
              <w:t>Home unit and dashboard</w:t>
            </w:r>
          </w:p>
        </w:tc>
        <w:tc>
          <w:tcPr>
            <w:tcW w:type="dxa" w:w="1400"/>
            <w:shd w:val="clear" w:color="auto" w:fill="FFFFFF"/>
          </w:tcPr>
          <w:p>
            <w:r/>
            <w:r>
              <w:rPr>
                <w:sz w:val="19"/>
              </w:rPr>
              <w:t>T0 + 4 months</w:t>
            </w:r>
          </w:p>
        </w:tc>
        <w:tc>
          <w:tcPr>
            <w:tcW w:type="dxa" w:w="4200"/>
            <w:shd w:val="clear" w:color="auto" w:fill="FFFFFF"/>
          </w:tcPr>
          <w:p>
            <w:r/>
            <w:r>
              <w:rPr>
                <w:sz w:val="19"/>
              </w:rPr>
              <w:t>H1 installed with pump control; dashboard, session log and device table complete.</w:t>
            </w:r>
          </w:p>
        </w:tc>
      </w:tr>
      <w:tr>
        <w:tc>
          <w:tcPr>
            <w:tcW w:type="dxa" w:w="480"/>
            <w:shd w:val="clear" w:color="auto" w:fill="FFFFFF"/>
          </w:tcPr>
          <w:p>
            <w:r/>
            <w:r>
              <w:rPr>
                <w:sz w:val="19"/>
              </w:rPr>
              <w:t>3</w:t>
            </w:r>
          </w:p>
        </w:tc>
        <w:tc>
          <w:tcPr>
            <w:tcW w:type="dxa" w:w="3000"/>
            <w:shd w:val="clear" w:color="auto" w:fill="FFFFFF"/>
          </w:tcPr>
          <w:p>
            <w:r/>
            <w:r>
              <w:rPr>
                <w:sz w:val="19"/>
              </w:rPr>
              <w:t>Cleaning arm</w:t>
            </w:r>
          </w:p>
        </w:tc>
        <w:tc>
          <w:tcPr>
            <w:tcW w:type="dxa" w:w="1400"/>
            <w:shd w:val="clear" w:color="auto" w:fill="FFFFFF"/>
          </w:tcPr>
          <w:p>
            <w:r/>
            <w:r>
              <w:rPr>
                <w:sz w:val="19"/>
              </w:rPr>
              <w:t>T0 + 8 months</w:t>
            </w:r>
          </w:p>
        </w:tc>
        <w:tc>
          <w:tcPr>
            <w:tcW w:type="dxa" w:w="4200"/>
            <w:shd w:val="clear" w:color="auto" w:fill="FFFFFF"/>
          </w:tcPr>
          <w:p>
            <w:r/>
            <w:r>
              <w:rPr>
                <w:sz w:val="19"/>
              </w:rPr>
              <w:t>C1 built; three-ring cycle executed; coverage and repeatability measured.</w:t>
            </w:r>
          </w:p>
        </w:tc>
      </w:tr>
      <w:tr>
        <w:tc>
          <w:tcPr>
            <w:tcW w:type="dxa" w:w="480"/>
            <w:shd w:val="clear" w:color="auto" w:fill="FFFFFF"/>
          </w:tcPr>
          <w:p>
            <w:r/>
            <w:r>
              <w:rPr>
                <w:sz w:val="19"/>
              </w:rPr>
              <w:t>4</w:t>
            </w:r>
          </w:p>
        </w:tc>
        <w:tc>
          <w:tcPr>
            <w:tcW w:type="dxa" w:w="3000"/>
            <w:shd w:val="clear" w:color="auto" w:fill="FFFFFF"/>
          </w:tcPr>
          <w:p>
            <w:r/>
            <w:r>
              <w:rPr>
                <w:sz w:val="19"/>
              </w:rPr>
              <w:t>Field validation</w:t>
            </w:r>
          </w:p>
        </w:tc>
        <w:tc>
          <w:tcPr>
            <w:tcW w:type="dxa" w:w="1400"/>
            <w:shd w:val="clear" w:color="auto" w:fill="FFFFFF"/>
          </w:tcPr>
          <w:p>
            <w:r/>
            <w:r>
              <w:rPr>
                <w:sz w:val="19"/>
              </w:rPr>
              <w:t>T0 + 12 months</w:t>
            </w:r>
          </w:p>
        </w:tc>
        <w:tc>
          <w:tcPr>
            <w:tcW w:type="dxa" w:w="4200"/>
            <w:shd w:val="clear" w:color="auto" w:fill="FFFFFF"/>
          </w:tcPr>
          <w:p>
            <w:r/>
            <w:r>
              <w:rPr>
                <w:sz w:val="19"/>
              </w:rPr>
              <w:t>Three installations, 90 days of data, TRL 6+ evidence pack.</w:t>
            </w:r>
          </w:p>
        </w:tc>
      </w:tr>
    </w:tbl>
    <w:p/>
    <w:p>
      <w:pPr>
        <w:pStyle w:val="Heading2"/>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c>
          <w:tcPr>
            <w:tcW w:type="dxa" w:w="4800"/>
            <w:shd w:val="clear" w:color="auto" w:fill="1F4E79"/>
          </w:tcPr>
          <w:p>
            <w:r/>
            <w:r>
              <w:rPr>
                <w:b/>
                <w:color w:val="FFFFFF"/>
                <w:sz w:val="19"/>
              </w:rPr>
              <w:t>Item</w:t>
            </w:r>
          </w:p>
        </w:tc>
        <w:tc>
          <w:tcPr>
            <w:tcW w:type="dxa" w:w="2200"/>
            <w:shd w:val="clear" w:color="auto" w:fill="1F4E79"/>
          </w:tcPr>
          <w:p>
            <w:r/>
            <w:r>
              <w:rPr>
                <w:b/>
                <w:color w:val="FFFFFF"/>
                <w:sz w:val="19"/>
              </w:rPr>
              <w:t>Amount (INR)</w:t>
            </w:r>
          </w:p>
        </w:tc>
      </w:tr>
      <w:tr>
        <w:tc>
          <w:tcPr>
            <w:tcW w:type="dxa" w:w="4800"/>
            <w:shd w:val="clear" w:color="auto" w:fill="FFFFFF"/>
          </w:tcPr>
          <w:p>
            <w:r/>
            <w:r>
              <w:rPr>
                <w:sz w:val="19"/>
              </w:rPr>
              <w:t>Manpower</w:t>
            </w:r>
          </w:p>
        </w:tc>
        <w:tc>
          <w:tcPr>
            <w:tcW w:type="dxa" w:w="2200"/>
            <w:shd w:val="clear" w:color="auto" w:fill="FFFFFF"/>
          </w:tcPr>
          <w:p>
            <w:r/>
            <w:r>
              <w:rPr>
                <w:sz w:val="19"/>
              </w:rPr>
              <w:t>0</w:t>
            </w:r>
          </w:p>
        </w:tc>
      </w:tr>
      <w:tr>
        <w:tc>
          <w:tcPr>
            <w:tcW w:type="dxa" w:w="4800"/>
            <w:shd w:val="clear" w:color="auto" w:fill="FFFFFF"/>
          </w:tcPr>
          <w:p>
            <w:r/>
            <w:r>
              <w:rPr>
                <w:sz w:val="19"/>
              </w:rPr>
              <w:t>Equipment (exclusive of GST)</w:t>
            </w:r>
          </w:p>
        </w:tc>
        <w:tc>
          <w:tcPr>
            <w:tcW w:type="dxa" w:w="2200"/>
            <w:shd w:val="clear" w:color="auto" w:fill="FFFFFF"/>
          </w:tcPr>
          <w:p>
            <w:r/>
            <w:r>
              <w:rPr>
                <w:sz w:val="19"/>
              </w:rPr>
              <w:t>15,600</w:t>
            </w:r>
          </w:p>
        </w:tc>
      </w:tr>
      <w:tr>
        <w:tc>
          <w:tcPr>
            <w:tcW w:type="dxa" w:w="4800"/>
            <w:shd w:val="clear" w:color="auto" w:fill="FFFFFF"/>
          </w:tcPr>
          <w:p>
            <w:r/>
            <w:r>
              <w:rPr>
                <w:sz w:val="19"/>
              </w:rPr>
              <w:t>Consumables</w:t>
            </w:r>
          </w:p>
        </w:tc>
        <w:tc>
          <w:tcPr>
            <w:tcW w:type="dxa" w:w="2200"/>
            <w:shd w:val="clear" w:color="auto" w:fill="FFFFFF"/>
          </w:tcPr>
          <w:p>
            <w:r/>
            <w:r>
              <w:rPr>
                <w:sz w:val="19"/>
              </w:rPr>
              <w:t>0</w:t>
            </w:r>
          </w:p>
        </w:tc>
      </w:tr>
      <w:tr>
        <w:tc>
          <w:tcPr>
            <w:tcW w:type="dxa" w:w="4800"/>
            <w:shd w:val="clear" w:color="auto" w:fill="FFFFFF"/>
          </w:tcPr>
          <w:p>
            <w:r/>
            <w:r>
              <w:rPr>
                <w:sz w:val="19"/>
              </w:rPr>
              <w:t>Travel</w:t>
            </w:r>
          </w:p>
        </w:tc>
        <w:tc>
          <w:tcPr>
            <w:tcW w:type="dxa" w:w="2200"/>
            <w:shd w:val="clear" w:color="auto" w:fill="FFFFFF"/>
          </w:tcPr>
          <w:p>
            <w:r/>
            <w:r>
              <w:rPr>
                <w:sz w:val="19"/>
              </w:rPr>
              <w:t>0</w:t>
            </w:r>
          </w:p>
        </w:tc>
      </w:tr>
      <w:tr>
        <w:tc>
          <w:tcPr>
            <w:tcW w:type="dxa" w:w="4800"/>
            <w:shd w:val="clear" w:color="auto" w:fill="FFFFFF"/>
          </w:tcPr>
          <w:p>
            <w:r/>
            <w:r>
              <w:rPr>
                <w:sz w:val="19"/>
              </w:rPr>
              <w:t>Miscellaneous</w:t>
            </w:r>
          </w:p>
        </w:tc>
        <w:tc>
          <w:tcPr>
            <w:tcW w:type="dxa" w:w="2200"/>
            <w:shd w:val="clear" w:color="auto" w:fill="FFFFFF"/>
          </w:tcPr>
          <w:p>
            <w:r/>
            <w:r>
              <w:rPr>
                <w:sz w:val="19"/>
              </w:rPr>
              <w:t>0</w:t>
            </w:r>
          </w:p>
        </w:tc>
      </w:tr>
      <w:tr>
        <w:tc>
          <w:tcPr>
            <w:tcW w:type="dxa" w:w="4800"/>
            <w:shd w:val="clear" w:color="auto" w:fill="FFFFFF"/>
          </w:tcPr>
          <w:p>
            <w:r/>
            <w:r>
              <w:rPr>
                <w:sz w:val="19"/>
              </w:rPr>
              <w:t>Contingency (max 5%)</w:t>
            </w:r>
          </w:p>
        </w:tc>
        <w:tc>
          <w:tcPr>
            <w:tcW w:type="dxa" w:w="2200"/>
            <w:shd w:val="clear" w:color="auto" w:fill="FFFFFF"/>
          </w:tcPr>
          <w:p>
            <w:r/>
            <w:r>
              <w:rPr>
                <w:sz w:val="19"/>
              </w:rPr>
              <w:t>780</w:t>
            </w:r>
          </w:p>
        </w:tc>
      </w:tr>
      <w:tr>
        <w:tc>
          <w:tcPr>
            <w:tcW w:type="dxa" w:w="4800"/>
            <w:shd w:val="clear" w:color="auto" w:fill="FFFFFF"/>
          </w:tcPr>
          <w:p>
            <w:r/>
            <w:r>
              <w:rPr>
                <w:sz w:val="19"/>
              </w:rPr>
              <w:t>Sub total</w:t>
            </w:r>
          </w:p>
        </w:tc>
        <w:tc>
          <w:tcPr>
            <w:tcW w:type="dxa" w:w="2200"/>
            <w:shd w:val="clear" w:color="auto" w:fill="FFFFFF"/>
          </w:tcPr>
          <w:p>
            <w:r/>
            <w:r>
              <w:rPr>
                <w:sz w:val="19"/>
              </w:rPr>
              <w:t>16,380</w:t>
            </w:r>
          </w:p>
        </w:tc>
      </w:tr>
      <w:tr>
        <w:tc>
          <w:tcPr>
            <w:tcW w:type="dxa" w:w="4800"/>
            <w:shd w:val="clear" w:color="auto" w:fill="FFFFFF"/>
          </w:tcPr>
          <w:p>
            <w:r/>
            <w:r>
              <w:rPr>
                <w:sz w:val="19"/>
              </w:rPr>
              <w:t>Overhead (max 20%)</w:t>
            </w:r>
          </w:p>
        </w:tc>
        <w:tc>
          <w:tcPr>
            <w:tcW w:type="dxa" w:w="2200"/>
            <w:shd w:val="clear" w:color="auto" w:fill="FFFFFF"/>
          </w:tcPr>
          <w:p>
            <w:r/>
            <w:r>
              <w:rPr>
                <w:sz w:val="19"/>
              </w:rPr>
              <w:t>3,276</w:t>
            </w:r>
          </w:p>
        </w:tc>
      </w:tr>
      <w:tr>
        <w:tc>
          <w:tcPr>
            <w:tcW w:type="dxa" w:w="4800"/>
            <w:shd w:val="clear" w:color="auto" w:fill="FFFFFF"/>
          </w:tcPr>
          <w:p>
            <w:r/>
            <w:r>
              <w:rPr>
                <w:sz w:val="19"/>
              </w:rPr>
              <w:t>Faculty fee (max 20%)</w:t>
            </w:r>
          </w:p>
        </w:tc>
        <w:tc>
          <w:tcPr>
            <w:tcW w:type="dxa" w:w="2200"/>
            <w:shd w:val="clear" w:color="auto" w:fill="FFFFFF"/>
          </w:tcPr>
          <w:p>
            <w:r/>
            <w:r>
              <w:rPr>
                <w:sz w:val="19"/>
              </w:rPr>
              <w:t>3,931</w:t>
            </w:r>
          </w:p>
        </w:tc>
      </w:tr>
      <w:tr>
        <w:tc>
          <w:tcPr>
            <w:tcW w:type="dxa" w:w="4800"/>
            <w:shd w:val="clear" w:color="auto" w:fill="FFFFFF"/>
          </w:tcPr>
          <w:p>
            <w:r/>
            <w:r>
              <w:rPr>
                <w:sz w:val="19"/>
              </w:rPr>
              <w:t>Total (7+8+9)</w:t>
            </w:r>
          </w:p>
        </w:tc>
        <w:tc>
          <w:tcPr>
            <w:tcW w:type="dxa" w:w="2200"/>
            <w:shd w:val="clear" w:color="auto" w:fill="FFFFFF"/>
          </w:tcPr>
          <w:p>
            <w:r/>
            <w:r>
              <w:rPr>
                <w:sz w:val="19"/>
              </w:rPr>
              <w:t>23,587</w:t>
            </w:r>
          </w:p>
        </w:tc>
      </w:tr>
      <w:tr>
        <w:tc>
          <w:tcPr>
            <w:tcW w:type="dxa" w:w="4800"/>
            <w:shd w:val="clear" w:color="auto" w:fill="FFFFFF"/>
          </w:tcPr>
          <w:p>
            <w:r/>
            <w:r>
              <w:rPr>
                <w:sz w:val="19"/>
              </w:rPr>
              <w:t>GST (18%)</w:t>
            </w:r>
          </w:p>
        </w:tc>
        <w:tc>
          <w:tcPr>
            <w:tcW w:type="dxa" w:w="2200"/>
            <w:shd w:val="clear" w:color="auto" w:fill="FFFFFF"/>
          </w:tcPr>
          <w:p>
            <w:r/>
            <w:r>
              <w:rPr>
                <w:sz w:val="19"/>
              </w:rPr>
              <w:t>0</w:t>
            </w:r>
          </w:p>
        </w:tc>
      </w:tr>
      <w:tr>
        <w:tc>
          <w:tcPr>
            <w:tcW w:type="dxa" w:w="4800"/>
            <w:shd w:val="clear" w:color="auto" w:fill="FFFFFF"/>
          </w:tcPr>
          <w:p>
            <w:r/>
            <w:r>
              <w:rPr>
                <w:sz w:val="19"/>
              </w:rPr>
              <w:t>Grand total</w:t>
            </w:r>
          </w:p>
        </w:tc>
        <w:tc>
          <w:tcPr>
            <w:tcW w:type="dxa" w:w="2200"/>
            <w:shd w:val="clear" w:color="auto" w:fill="FFFFFF"/>
          </w:tcPr>
          <w:p>
            <w:r/>
            <w:r>
              <w:rPr>
                <w:sz w:val="19"/>
              </w:rPr>
              <w:t>23,587</w:t>
            </w:r>
          </w:p>
        </w:tc>
      </w:tr>
    </w:tbl>
    <w:p/>
    <w:p>
      <w:pPr>
        <w:spacing w:after="120"/>
      </w:pPr>
      <w:r>
        <w:rPr>
          <w:b w:val="0"/>
          <w:sz w:val="20"/>
        </w:rPr>
        <w:t>Equipment split (indicative): M1 monitor INR 6,500; H1 home unit INR 1,800; C1 cleaning arm INR 7,300 (two 12 V planetary gearmotors, ESP32, two H-bridges, submersible pump, brush head, enclosure).</w:t>
      </w:r>
    </w:p>
    <w:p>
      <w:pPr>
        <w:spacing w:after="120"/>
      </w:pPr>
      <w:r>
        <w:rPr>
          <w:b w:val="0"/>
          <w:sz w:val="20"/>
        </w:rPr>
        <w:t>Contingency cannot exceed 5% of project value; overhead cannot exceed 20% of the sub total; the faculty fee is optional and capped at 20% of the total.</w:t>
      </w:r>
    </w:p>
    <w:p>
      <w:pPr>
        <w:spacing w:after="120"/>
      </w:pPr>
      <w:r>
        <w:rPr>
          <w:b w:val="0"/>
          <w:sz w:val="20"/>
        </w:rPr>
        <w:t>Manpower, consumables, travel and miscellaneous heads will be aligned during the grant kickoff; equipment figures are vendor quotes pending confirmation.</w:t>
      </w:r>
    </w:p>
    <w:p>
      <w:pPr>
        <w:pStyle w:val="Heading2"/>
        <w:pageBreakBefore/>
        <w:numPr>
          <w:ilvl w:val="0"/>
          <w:numId w:val="0"/>
        </w:numPr>
        <w:spacing w:before="200" w:after="12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c>
          <w:tcPr>
            <w:tcW w:type="dxa" w:w="2200"/>
            <w:shd w:val="clear" w:color="auto" w:fill="1F4E79"/>
          </w:tcPr>
          <w:p>
            <w:r/>
            <w:r>
              <w:rPr>
                <w:b/>
                <w:color w:val="FFFFFF"/>
                <w:sz w:val="19"/>
              </w:rPr>
              <w:t>Timeline</w:t>
            </w:r>
          </w:p>
        </w:tc>
        <w:tc>
          <w:tcPr>
            <w:tcW w:type="dxa" w:w="1800"/>
            <w:shd w:val="clear" w:color="auto" w:fill="1F4E79"/>
          </w:tcPr>
          <w:p>
            <w:r/>
            <w:r>
              <w:rPr>
                <w:b/>
                <w:color w:val="FFFFFF"/>
                <w:sz w:val="19"/>
              </w:rPr>
              <w:t>Amount (INR)</w:t>
            </w:r>
          </w:p>
        </w:tc>
        <w:tc>
          <w:tcPr>
            <w:tcW w:type="dxa" w:w="5000"/>
            <w:shd w:val="clear" w:color="auto" w:fill="1F4E79"/>
          </w:tcPr>
          <w:p>
            <w:r/>
            <w:r>
              <w:rPr>
                <w:b/>
                <w:color w:val="FFFFFF"/>
                <w:sz w:val="19"/>
              </w:rPr>
              <w:t>Milestone covered</w:t>
            </w:r>
          </w:p>
        </w:tc>
      </w:tr>
      <w:tr>
        <w:tc>
          <w:tcPr>
            <w:tcW w:type="dxa" w:w="2200"/>
            <w:shd w:val="clear" w:color="auto" w:fill="FFFFFF"/>
          </w:tcPr>
          <w:p>
            <w:r/>
            <w:r>
              <w:rPr>
                <w:sz w:val="19"/>
              </w:rPr>
              <w:t>Project start (T0)</w:t>
            </w:r>
          </w:p>
        </w:tc>
        <w:tc>
          <w:tcPr>
            <w:tcW w:type="dxa" w:w="1800"/>
            <w:shd w:val="clear" w:color="auto" w:fill="FFFFFF"/>
          </w:tcPr>
          <w:p>
            <w:r/>
            <w:r>
              <w:rPr>
                <w:sz w:val="19"/>
              </w:rPr>
              <w:t>8,235</w:t>
            </w:r>
          </w:p>
        </w:tc>
        <w:tc>
          <w:tcPr>
            <w:tcW w:type="dxa" w:w="5000"/>
            <w:shd w:val="clear" w:color="auto" w:fill="FFFFFF"/>
          </w:tcPr>
          <w:p>
            <w:r/>
            <w:r>
              <w:rPr>
                <w:sz w:val="19"/>
              </w:rPr>
              <w:t>M1 monitor build and dashboard</w:t>
            </w:r>
          </w:p>
        </w:tc>
      </w:tr>
      <w:tr>
        <w:tc>
          <w:tcPr>
            <w:tcW w:type="dxa" w:w="2200"/>
            <w:shd w:val="clear" w:color="auto" w:fill="FFFFFF"/>
          </w:tcPr>
          <w:p>
            <w:r/>
            <w:r>
              <w:rPr>
                <w:sz w:val="19"/>
              </w:rPr>
              <w:t>T0 + 6 months</w:t>
            </w:r>
          </w:p>
        </w:tc>
        <w:tc>
          <w:tcPr>
            <w:tcW w:type="dxa" w:w="1800"/>
            <w:shd w:val="clear" w:color="auto" w:fill="FFFFFF"/>
          </w:tcPr>
          <w:p>
            <w:r/>
            <w:r>
              <w:rPr>
                <w:sz w:val="19"/>
              </w:rPr>
              <w:t>9,415</w:t>
            </w:r>
          </w:p>
        </w:tc>
        <w:tc>
          <w:tcPr>
            <w:tcW w:type="dxa" w:w="5000"/>
            <w:shd w:val="clear" w:color="auto" w:fill="FFFFFF"/>
          </w:tcPr>
          <w:p>
            <w:r/>
            <w:r>
              <w:rPr>
                <w:sz w:val="19"/>
              </w:rPr>
              <w:t>H1 home unit and C1 cleaning arm</w:t>
            </w:r>
          </w:p>
        </w:tc>
      </w:tr>
      <w:tr>
        <w:tc>
          <w:tcPr>
            <w:tcW w:type="dxa" w:w="2200"/>
            <w:shd w:val="clear" w:color="auto" w:fill="FFFFFF"/>
          </w:tcPr>
          <w:p>
            <w:r/>
            <w:r>
              <w:rPr>
                <w:sz w:val="19"/>
              </w:rPr>
              <w:t>T0 + 12 months</w:t>
            </w:r>
          </w:p>
        </w:tc>
        <w:tc>
          <w:tcPr>
            <w:tcW w:type="dxa" w:w="1800"/>
            <w:shd w:val="clear" w:color="auto" w:fill="FFFFFF"/>
          </w:tcPr>
          <w:p>
            <w:r/>
            <w:r>
              <w:rPr>
                <w:sz w:val="19"/>
              </w:rPr>
              <w:t>5,937</w:t>
            </w:r>
          </w:p>
        </w:tc>
        <w:tc>
          <w:tcPr>
            <w:tcW w:type="dxa" w:w="5000"/>
            <w:shd w:val="clear" w:color="auto" w:fill="FFFFFF"/>
          </w:tcPr>
          <w:p>
            <w:r/>
            <w:r>
              <w:rPr>
                <w:sz w:val="19"/>
              </w:rPr>
              <w:t>Field validation and evidence pack</w:t>
            </w:r>
          </w:p>
        </w:tc>
      </w:tr>
      <w:tr>
        <w:tc>
          <w:tcPr>
            <w:tcW w:type="dxa" w:w="2200"/>
            <w:shd w:val="clear" w:color="auto" w:fill="FFFFFF"/>
          </w:tcPr>
          <w:p>
            <w:r/>
            <w:r>
              <w:rPr>
                <w:sz w:val="19"/>
              </w:rPr>
              <w:t>Total</w:t>
            </w:r>
          </w:p>
        </w:tc>
        <w:tc>
          <w:tcPr>
            <w:tcW w:type="dxa" w:w="1800"/>
            <w:shd w:val="clear" w:color="auto" w:fill="FFFFFF"/>
          </w:tcPr>
          <w:p>
            <w:r/>
            <w:r>
              <w:rPr>
                <w:sz w:val="19"/>
              </w:rPr>
              <w:t>23,587</w:t>
            </w:r>
          </w:p>
        </w:tc>
        <w:tc>
          <w:tcPr>
            <w:tcW w:type="dxa" w:w="5000"/>
            <w:shd w:val="clear" w:color="auto" w:fill="FFFFFF"/>
          </w:tcPr>
          <w:p>
            <w:r/>
            <w:r>
              <w:rPr>
                <w:sz w:val="19"/>
              </w:rPr>
            </w:r>
          </w:p>
        </w:tc>
      </w:tr>
    </w:tbl>
    <w:p/>
    <w:p>
      <w:pPr>
        <w:pStyle w:val="Heading2"/>
        <w:numPr>
          <w:ilvl w:val="0"/>
          <w:numId w:val="0"/>
        </w:numPr>
        <w:spacing w:before="200" w:after="120"/>
      </w:pPr>
      <w:r>
        <w:rPr>
          <w:b/>
          <w:color w:val="2E74B5"/>
          <w:sz w:val="25"/>
        </w:rPr>
        <w:t>3.7  Category of new technology/product</w:t>
      </w:r>
    </w:p>
    <w:p>
      <w:pPr>
        <w:spacing w:after="120"/>
      </w:pPr>
      <w:r>
        <w:rPr>
          <w:b w:val="0"/>
          <w:sz w:val="22"/>
        </w:rPr>
        <w:t>Category: New-to-the-world product / technology. The combination of edge-computed water scoring, a self-hosted dashboard, safe pump control and a selective robotic cleaning arm — all on a local network with no cloud dependency — is not offered by monitoring-only products or by full-drain cleaning services.</w:t>
      </w:r>
    </w:p>
    <w:p>
      <w:pPr>
        <w:pStyle w:val="Heading1"/>
        <w:numPr>
          <w:ilvl w:val="0"/>
          <w:numId w:val="0"/>
        </w:numPr>
        <w:spacing w:before="280" w:after="120"/>
      </w:pPr>
      <w:r>
        <w:rPr>
          <w:b/>
          <w:color w:val="1F4E79"/>
          <w:sz w:val="30"/>
        </w:rPr>
        <w:t>4  Appendix</w:t>
      </w:r>
    </w:p>
    <w:p>
      <w:pPr>
        <w:pStyle w:val="Heading2"/>
        <w:numPr>
          <w:ilvl w:val="0"/>
          <w:numId w:val="0"/>
        </w:numPr>
        <w:spacing w:before="200" w:after="120"/>
      </w:pPr>
      <w:r>
        <w:rPr>
          <w:b/>
          <w:color w:val="2E74B5"/>
          <w:sz w:val="25"/>
        </w:rPr>
        <w:t>4.1  Supporting documentation</w:t>
      </w:r>
    </w:p>
    <w:p>
      <w:pPr>
        <w:spacing w:after="120"/>
      </w:pPr>
      <w:r>
        <w:rPr>
          <w:b w:val="0"/>
          <w:sz w:val="22"/>
        </w:rPr>
        <w:t xml:space="preserve"> TankGuard Technical Specification (Document Ref: TG-SPEC-2026-001), October 2026, 7 pages.</w:t>
      </w:r>
    </w:p>
    <w:p>
      <w:pPr>
        <w:spacing w:after="120"/>
      </w:pPr>
      <w:r>
        <w:rPr>
          <w:b w:val="0"/>
          <w:sz w:val="22"/>
        </w:rPr>
        <w:t xml:space="preserve"> Firmware for all three units, compiling for ESP8266 (M1, H1) and ESP32 (C1), plus the React dashboard served from M1 flash.</w:t>
      </w:r>
    </w:p>
    <w:p>
      <w:pPr>
        <w:spacing w:after="120"/>
      </w:pPr>
      <w:r>
        <w:rPr>
          <w:b w:val="0"/>
          <w:sz w:val="22"/>
        </w:rPr>
        <w:t xml:space="preserve"> Design record (docs/CLEANER.md): kinematics, coverage analysis and control limits, including the 2 cm wall ring the mechanism cannot reach.</w:t>
      </w:r>
    </w:p>
    <w:p>
      <w:pPr>
        <w:spacing w:after="120"/>
      </w:pPr>
      <w:r>
        <w:rPr>
          <w:b w:val="0"/>
          <w:sz w:val="22"/>
        </w:rPr>
        <w:t xml:space="preserve"> Coverage planner (tools/swept_area.html) and the generated path used by the controller (firmware/c1_cleaner/path.h).</w:t>
      </w:r>
    </w:p>
    <w:p>
      <w:pPr>
        <w:spacing w:after="120"/>
      </w:pPr>
      <w:r>
        <w:rPr>
          <w:b w:val="0"/>
          <w:sz w:val="22"/>
        </w:rPr>
        <w:t xml:space="preserve"> Patentability disclosure and minimum bill of materials.</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 self-powered IoT water-tank monitoring, pump control and automated sludge cleaning</dc:title>
  <dc:subject>TIH —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