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40"/>
        <w:jc w:val="center"/>
      </w:pPr>
      <w:r>
        <w:rPr>
          <w:b w:val="0"/>
          <w:sz w:val="22"/>
        </w:rPr>
        <w:t>Sree Buddha College of Engineering</w:t>
      </w:r>
    </w:p>
    <w:p>
      <w:pPr>
        <w:spacing w:after="200"/>
        <w:jc w:val="center"/>
      </w:pPr>
      <w:r>
        <w:rPr>
          <w:b w:val="0"/>
          <w:sz w:val="22"/>
        </w:rPr>
        <w:t>Industry partner: Nuke Labs</w:t>
      </w:r>
    </w:p>
    <w:p>
      <w:pPr>
        <w:spacing w:after="40"/>
        <w:jc w:val="center"/>
      </w:pPr>
      <w:r>
        <w:rPr>
          <w:b w:val="0"/>
          <w:sz w:val="21"/>
        </w:rPr>
        <w:t>Theme: Water Management</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 xml:space="preserve">     3.8  Commercialisation plan</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pPr>
        <w:tabs>
          <w:tab w:pos="8800" w:val="right" w:leader="dot"/>
        </w:tabs>
        <w:spacing w:after="80"/>
      </w:pPr>
      <w:r>
        <w:rPr>
          <w:sz w:val="22"/>
        </w:rPr>
        <w:t xml:space="preserve">     4.2  Equipment breakdown</w:t>
        <w:tab/>
        <w:t>7</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Sree Buddha College of Engineering, Department of Electronics and Communication Engineering</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Water Management</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monitoring prototype is built. The M1 firmware, the dashboard and the path planner run, and INR 23,587 of parts have already been invested. The grant funds the step from that prototype to a certified product: the arm hardware, twenty-five pilot units, certification and twelve field installations.</w:t>
      </w:r>
    </w:p>
    <w:p>
      <w:pPr>
        <w:spacing w:after="120"/>
      </w:pPr>
      <w:r>
        <w:rPr>
          <w:b w:val="0"/>
          <w:sz w:val="22"/>
        </w:rPr>
        <w:t>The project delivers a production revision of M1 and H1, twenty-five pilot units of the C1 cleaning arm, twelve field installations, certification, and three paying pilot customers. The target is TRL 8, with the unit cost and the service model proven before the first production run.</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Household and building tank monitoring is well covered. Singh et al. (2021) monitored level and pH in a building tank over 2.4 GHz radio with a cloud dashboard. Rayni et al. (2023) added turbidity and TDS on an ESP32 and displayed them in Blynk. Irawan et al. (2024) reported a household unit with pH, TDS, turbidity and temperature, and Nugraha (2026) added a 16-bit ADS1115 front end with rule-based classification. Each ends at the reading: the owner is told the water is bad and must arrange the clean.</w:t>
      </w:r>
    </w:p>
    <w:p>
      <w:pPr>
        <w:spacing w:after="120"/>
      </w:pPr>
      <w:r>
        <w:rPr>
          <w:b w:val="0"/>
          <w:sz w:val="22"/>
        </w:rPr>
        <w:t>Cleaning has been studied separately. Megalingam et al. (2022) simulated a robot that cleans tank floors and walls in Gazebo under ROS, and wall-climbing cleaners are sold for large tanks. Neither is a selective floor cleaner that leaves the stored water in place, and neither reports how much of the floor it covered.</w:t>
      </w:r>
    </w:p>
    <w:p>
      <w:pPr>
        <w:spacing w:after="120"/>
      </w:pPr>
      <w:r>
        <w:rPr>
          <w:b w:val="0"/>
          <w:sz w:val="22"/>
        </w:rPr>
        <w:t>TankGuard began as a monitor in that first group. Field trials showed the gap: a reading does not remove the sludge that keeps producing it. The design moved to a planned arm that cleans the floor without a drain, driven by the same score.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it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blocks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Previous work either measures the water or cleans the tank. Monitoring systems (Singh 2021; Rayni 2023; Irawan 2024) stop at the reading and leave the clean to the owner. Cleaning robots (Megalingam 2022) are simulated or built for large walls, and none reports floor coverage or keeps the stored water. TankGuard closes the loop: one local score decides when to clean, a planned arm cleans 90 percent of the floor without draining, and the same score reports whether the clean worked.</w:t>
      </w:r>
    </w:p>
    <w:p>
      <w:pPr>
        <w:spacing w:after="120"/>
      </w:pPr>
      <w:r>
        <w:rPr>
          <w:b w:val="0"/>
          <w:sz w:val="22"/>
        </w:rPr>
        <w:t>Objective 1: measure and score water quality at the edge. Five probes (turbidity, TDS, pH, temperature, level) are digitised through an ADS1115 and fused into a weighted score (40/25/25/10). Acceptance: the score repeats within 2 points over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and take it to market. The monitor enters at TRL 6 and the arm at TRL 4; twelve months later the system is at TRL 8, with twenty-five pilot units, twelve installations, certification and three paying customers.</w:t>
      </w:r>
    </w:p>
    <w:p>
      <w:pPr>
        <w:pStyle w:val="Heading2"/>
        <w:keepNext/>
        <w:numPr>
          <w:ilvl w:val="0"/>
          <w:numId w:val="0"/>
        </w:numPr>
        <w:spacing w:before="200" w:after="120"/>
      </w:pPr>
      <w:r>
        <w:rPr>
          <w:b/>
          <w:color w:val="2E74B5"/>
          <w:sz w:val="25"/>
        </w:rPr>
        <w:t>3.4  Deliverables</w:t>
      </w:r>
    </w:p>
    <w:p>
      <w:pPr>
        <w:spacing w:after="120"/>
      </w:pPr>
      <w:r>
        <w:rPr>
          <w:b w:val="0"/>
          <w:sz w:val="22"/>
        </w:rPr>
        <w:t>D1. M1 monitor, production revision: the ESP8266 board with five calibrated probes, an edge score, the dashboard in flash, and an enclosure that can be moulded at volume.</w:t>
      </w:r>
    </w:p>
    <w:p>
      <w:pPr>
        <w:spacing w:after="120"/>
      </w:pPr>
      <w:r>
        <w:rPr>
          <w:b w:val="0"/>
          <w:sz w:val="22"/>
        </w:rPr>
        <w:t>D2. H1 home unit, production revision: the display board, isolated relay and contactor interface, and a manual override that passes electrical safety review.</w:t>
      </w:r>
    </w:p>
    <w:p>
      <w:pPr>
        <w:spacing w:after="120"/>
      </w:pPr>
      <w:r>
        <w:rPr>
          <w:b w:val="0"/>
          <w:sz w:val="22"/>
        </w:rPr>
        <w:t>D3. C1 cleaning arm, pilot build: twenty-five units with the two-link arm, ring brush, suction head and the planner-generated path, at a confirmed unit cost.</w:t>
      </w:r>
    </w:p>
    <w:p>
      <w:pPr>
        <w:spacing w:after="120"/>
      </w:pPr>
      <w:r>
        <w:rPr>
          <w:b w:val="0"/>
          <w:sz w:val="22"/>
        </w:rPr>
        <w:t>D4. Commercial pack: twelve installations, certification filed, three paying pilot customers, a channel agreement, and the TRL 8 evidence set.</w:t>
      </w:r>
    </w:p>
    <w:p>
      <w:pPr>
        <w:pStyle w:val="Heading2"/>
        <w:keepNext/>
        <w:numPr>
          <w:ilvl w:val="0"/>
          <w:numId w:val="0"/>
        </w:numPr>
        <w:spacing w:before="200" w:after="120"/>
      </w:pPr>
      <w:r>
        <w:rPr>
          <w:b/>
          <w:color w:val="2E74B5"/>
          <w:sz w:val="25"/>
        </w:rPr>
        <w:t>3.5  Project plan with major milestones</w:t>
      </w:r>
    </w:p>
    <w:p>
      <w:pPr>
        <w:spacing w:after="120"/>
      </w:pPr>
      <w:r>
        <w:rPr>
          <w:b w:val="0"/>
          <w:sz w:val="22"/>
        </w:rPr>
        <w:t>Twelve months from T0, with a deliverable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Design freeze and line procurement</w:t>
            </w:r>
          </w:p>
        </w:tc>
        <w:tc>
          <w:tcPr>
            <w:tcW w:type="dxa" w:w="1400"/>
            <w:shd w:val="clear" w:color="auto" w:fill="FFFFFF"/>
          </w:tcPr>
          <w:p>
            <w:r/>
            <w:r>
              <w:rPr>
                <w:sz w:val="19"/>
              </w:rPr>
              <w:t>T0 + 3 months</w:t>
            </w:r>
          </w:p>
        </w:tc>
        <w:tc>
          <w:tcPr>
            <w:tcW w:type="dxa" w:w="4200"/>
            <w:shd w:val="clear" w:color="auto" w:fill="FFFFFF"/>
          </w:tcPr>
          <w:p>
            <w:r/>
            <w:r>
              <w:rPr>
                <w:sz w:val="19"/>
              </w:rPr>
              <w:t>Moulder, moulds, printer, PnP and reflow installed. Arm and enclosure frozen. Certification scope agreed with the test laboratory.</w:t>
            </w:r>
          </w:p>
        </w:tc>
      </w:tr>
      <w:tr>
        <w:tc>
          <w:tcPr>
            <w:tcW w:type="dxa" w:w="480"/>
            <w:shd w:val="clear" w:color="auto" w:fill="FFFFFF"/>
          </w:tcPr>
          <w:p>
            <w:r/>
            <w:r>
              <w:rPr>
                <w:sz w:val="19"/>
              </w:rPr>
              <w:t>2</w:t>
            </w:r>
          </w:p>
        </w:tc>
        <w:tc>
          <w:tcPr>
            <w:tcW w:type="dxa" w:w="3000"/>
            <w:shd w:val="clear" w:color="auto" w:fill="FFFFFF"/>
          </w:tcPr>
          <w:p>
            <w:r/>
            <w:r>
              <w:rPr>
                <w:sz w:val="19"/>
              </w:rPr>
              <w:t>Pilot build and lab qualification</w:t>
            </w:r>
          </w:p>
        </w:tc>
        <w:tc>
          <w:tcPr>
            <w:tcW w:type="dxa" w:w="1400"/>
            <w:shd w:val="clear" w:color="auto" w:fill="FFFFFF"/>
          </w:tcPr>
          <w:p>
            <w:r/>
            <w:r>
              <w:rPr>
                <w:sz w:val="19"/>
              </w:rPr>
              <w:t>T0 + 6 months</w:t>
            </w:r>
          </w:p>
        </w:tc>
        <w:tc>
          <w:tcPr>
            <w:tcW w:type="dxa" w:w="4200"/>
            <w:shd w:val="clear" w:color="auto" w:fill="FFFFFF"/>
          </w:tcPr>
          <w:p>
            <w:r/>
            <w:r>
              <w:rPr>
                <w:sz w:val="19"/>
              </w:rPr>
              <w:t>Twenty-five pilot sets built in-house and calibrated against reference instruments. IP68 and EMC pre-compliance passed. Unit cost confirmed.</w:t>
            </w:r>
          </w:p>
        </w:tc>
      </w:tr>
      <w:tr>
        <w:tc>
          <w:tcPr>
            <w:tcW w:type="dxa" w:w="480"/>
            <w:shd w:val="clear" w:color="auto" w:fill="FFFFFF"/>
          </w:tcPr>
          <w:p>
            <w:r/>
            <w:r>
              <w:rPr>
                <w:sz w:val="19"/>
              </w:rPr>
              <w:t>3</w:t>
            </w:r>
          </w:p>
        </w:tc>
        <w:tc>
          <w:tcPr>
            <w:tcW w:type="dxa" w:w="3000"/>
            <w:shd w:val="clear" w:color="auto" w:fill="FFFFFF"/>
          </w:tcPr>
          <w:p>
            <w:r/>
            <w:r>
              <w:rPr>
                <w:sz w:val="19"/>
              </w:rPr>
              <w:t>Field deployment</w:t>
            </w:r>
          </w:p>
        </w:tc>
        <w:tc>
          <w:tcPr>
            <w:tcW w:type="dxa" w:w="1400"/>
            <w:shd w:val="clear" w:color="auto" w:fill="FFFFFF"/>
          </w:tcPr>
          <w:p>
            <w:r/>
            <w:r>
              <w:rPr>
                <w:sz w:val="19"/>
              </w:rPr>
              <w:t>T0 + 9 months</w:t>
            </w:r>
          </w:p>
        </w:tc>
        <w:tc>
          <w:tcPr>
            <w:tcW w:type="dxa" w:w="4200"/>
            <w:shd w:val="clear" w:color="auto" w:fill="FFFFFF"/>
          </w:tcPr>
          <w:p>
            <w:r/>
            <w:r>
              <w:rPr>
                <w:sz w:val="19"/>
              </w:rPr>
              <w:t>Twelve installations in three cities with sixty days of continuous operation. Installation manual and service workflow complete.</w:t>
            </w:r>
          </w:p>
        </w:tc>
      </w:tr>
      <w:tr>
        <w:tc>
          <w:tcPr>
            <w:tcW w:type="dxa" w:w="480"/>
            <w:shd w:val="clear" w:color="auto" w:fill="FFFFFF"/>
          </w:tcPr>
          <w:p>
            <w:r/>
            <w:r>
              <w:rPr>
                <w:sz w:val="19"/>
              </w:rPr>
              <w:t>4</w:t>
            </w:r>
          </w:p>
        </w:tc>
        <w:tc>
          <w:tcPr>
            <w:tcW w:type="dxa" w:w="3000"/>
            <w:shd w:val="clear" w:color="auto" w:fill="FFFFFF"/>
          </w:tcPr>
          <w:p>
            <w:r/>
            <w:r>
              <w:rPr>
                <w:sz w:val="19"/>
              </w:rPr>
              <w:t>Commercial readiness</w:t>
            </w:r>
          </w:p>
        </w:tc>
        <w:tc>
          <w:tcPr>
            <w:tcW w:type="dxa" w:w="1400"/>
            <w:shd w:val="clear" w:color="auto" w:fill="FFFFFF"/>
          </w:tcPr>
          <w:p>
            <w:r/>
            <w:r>
              <w:rPr>
                <w:sz w:val="19"/>
              </w:rPr>
              <w:t>T0 + 12 months</w:t>
            </w:r>
          </w:p>
        </w:tc>
        <w:tc>
          <w:tcPr>
            <w:tcW w:type="dxa" w:w="4200"/>
            <w:shd w:val="clear" w:color="auto" w:fill="FFFFFF"/>
          </w:tcPr>
          <w:p>
            <w:r/>
            <w:r>
              <w:rPr>
                <w:sz w:val="19"/>
              </w:rPr>
              <w:t>Certification filed, three paying pilot customers, channel agreement signed, TRL 8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7,20,000</w:t>
            </w:r>
          </w:p>
        </w:tc>
      </w:tr>
      <w:tr>
        <w:tc>
          <w:tcPr>
            <w:tcW w:type="dxa" w:w="6000"/>
            <w:shd w:val="clear" w:color="auto" w:fill="FFFFFF"/>
          </w:tcPr>
          <w:p>
            <w:r/>
            <w:r>
              <w:rPr>
                <w:sz w:val="19"/>
              </w:rPr>
              <w:t>Equipment</w:t>
            </w:r>
          </w:p>
        </w:tc>
        <w:tc>
          <w:tcPr>
            <w:tcW w:type="dxa" w:w="3080"/>
            <w:shd w:val="clear" w:color="auto" w:fill="FFFFFF"/>
          </w:tcPr>
          <w:p>
            <w:pPr>
              <w:jc w:val="right"/>
            </w:pPr>
            <w:r/>
            <w:r>
              <w:rPr>
                <w:sz w:val="19"/>
              </w:rPr>
              <w:t>24,27,288</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3,40,000</w:t>
            </w:r>
          </w:p>
        </w:tc>
      </w:tr>
      <w:tr>
        <w:tc>
          <w:tcPr>
            <w:tcW w:type="dxa" w:w="6000"/>
            <w:shd w:val="clear" w:color="auto" w:fill="FFFFFF"/>
          </w:tcPr>
          <w:p>
            <w:r/>
            <w:r>
              <w:rPr>
                <w:sz w:val="19"/>
              </w:rPr>
              <w:t>Travel</w:t>
            </w:r>
          </w:p>
        </w:tc>
        <w:tc>
          <w:tcPr>
            <w:tcW w:type="dxa" w:w="3080"/>
            <w:shd w:val="clear" w:color="auto" w:fill="FFFFFF"/>
          </w:tcPr>
          <w:p>
            <w:pPr>
              <w:jc w:val="right"/>
            </w:pPr>
            <w:r/>
            <w:r>
              <w:rPr>
                <w:sz w:val="19"/>
              </w:rPr>
              <w:t>1,00,000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17,966</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1,80,263</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37,85,517</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0</w:t>
            </w:r>
          </w:p>
        </w:tc>
      </w:tr>
      <w:tr>
        <w:tc>
          <w:tcPr>
            <w:tcW w:type="dxa" w:w="6000"/>
            <w:shd w:val="clear" w:color="auto" w:fill="FFFFFF"/>
          </w:tcPr>
          <w:p>
            <w:r/>
            <w:r>
              <w:rPr>
                <w:sz w:val="19"/>
              </w:rPr>
              <w:t>Faculty fee</w:t>
            </w:r>
          </w:p>
        </w:tc>
        <w:tc>
          <w:tcPr>
            <w:tcW w:type="dxa" w:w="3080"/>
            <w:shd w:val="clear" w:color="auto" w:fill="FFFFFF"/>
          </w:tcPr>
          <w:p>
            <w:pPr>
              <w:jc w:val="right"/>
            </w:pPr>
            <w:r/>
            <w:r>
              <w:rPr>
                <w:sz w:val="19"/>
              </w:rPr>
              <w:t>2,00,000</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39,85,517</w:t>
            </w:r>
          </w:p>
        </w:tc>
      </w:tr>
      <w:tr>
        <w:tc>
          <w:tcPr>
            <w:tcW w:type="dxa" w:w="6000"/>
            <w:shd w:val="clear" w:color="auto" w:fill="FFFFFF"/>
          </w:tcPr>
          <w:p>
            <w:r/>
            <w:r>
              <w:rPr>
                <w:sz w:val="19"/>
              </w:rPr>
              <w:t>GST (18%)</w:t>
            </w:r>
          </w:p>
        </w:tc>
        <w:tc>
          <w:tcPr>
            <w:tcW w:type="dxa" w:w="3080"/>
            <w:shd w:val="clear" w:color="auto" w:fill="FFFFFF"/>
          </w:tcPr>
          <w:p>
            <w:pPr>
              <w:jc w:val="right"/>
            </w:pPr>
            <w:r/>
            <w:r>
              <w:rPr>
                <w:sz w:val="19"/>
              </w:rPr>
              <w:t>7,17,393</w:t>
            </w:r>
          </w:p>
        </w:tc>
      </w:tr>
      <w:tr>
        <w:tc>
          <w:tcPr>
            <w:tcW w:type="dxa" w:w="6000"/>
            <w:shd w:val="clear" w:color="auto" w:fill="FFFFFF"/>
          </w:tcPr>
          <w:p>
            <w:r/>
            <w:r>
              <w:rPr>
                <w:sz w:val="19"/>
              </w:rPr>
              <w:t>Grand total (inclusive of GST)</w:t>
            </w:r>
          </w:p>
        </w:tc>
        <w:tc>
          <w:tcPr>
            <w:tcW w:type="dxa" w:w="3080"/>
            <w:shd w:val="clear" w:color="auto" w:fill="FFFFFF"/>
          </w:tcPr>
          <w:p>
            <w:pPr>
              <w:jc w:val="right"/>
            </w:pPr>
            <w:r/>
            <w:r>
              <w:rPr>
                <w:sz w:val="19"/>
              </w:rPr>
              <w:t>47,02,910</w:t>
            </w:r>
          </w:p>
        </w:tc>
      </w:tr>
    </w:tbl>
    <w:p/>
    <w:p>
      <w:pPr>
        <w:spacing w:after="120"/>
      </w:pPr>
      <w:r>
        <w:rPr>
          <w:b w:val="0"/>
          <w:sz w:val="20"/>
        </w:rPr>
        <w:t>Equipment is the pilot line, itemised in the appendix: a used 100 T moulder, three moulds, a stencil printer, a two-head pick-and-place, a six-zone reflow, test fixtures and the bench. Manpower covers two engineers at Nuke Labs for twelve months. Consumables cover twenty-five pilot sets and PCB fabrication.</w:t>
      </w:r>
    </w:p>
    <w:p>
      <w:pPr>
        <w:spacing w:after="120"/>
      </w:pPr>
      <w:r>
        <w:rPr>
          <w:b w:val="0"/>
          <w:sz w:val="20"/>
        </w:rPr>
        <w:t>Travel covers twelve field installations. Miscellaneous covers market work and small items; certification is carried by Nuke Labs. Contingency is 5 percent of direct cost and no overhead is claimed. The faculty fee is INR 2.0 lakh. GST at 18 percent is shown on the total.</w:t>
      </w:r>
    </w:p>
    <w:p>
      <w:pPr>
        <w:spacing w:after="120"/>
      </w:pPr>
      <w:r>
        <w:rPr>
          <w:b w:val="0"/>
          <w:sz w:val="20"/>
        </w:rPr>
        <w:t>Prototype parts to date total INR 23,587, already invested and not part of this request.</w:t>
      </w:r>
    </w:p>
    <w:p>
      <w:pPr>
        <w:keepNext/>
        <w:pageBreakBefore/>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400"/>
            <w:shd w:val="clear" w:color="auto" w:fill="1F4E79"/>
          </w:tcPr>
          <w:p>
            <w:r/>
            <w:r>
              <w:rPr>
                <w:b/>
                <w:color w:val="FFFFFF"/>
                <w:sz w:val="19"/>
              </w:rPr>
              <w:t>Timeline</w:t>
            </w:r>
          </w:p>
        </w:tc>
        <w:tc>
          <w:tcPr>
            <w:tcW w:type="dxa" w:w="2400"/>
            <w:shd w:val="clear" w:color="auto" w:fill="1F4E79"/>
          </w:tcPr>
          <w:p>
            <w:r/>
            <w:r>
              <w:rPr>
                <w:b/>
                <w:color w:val="FFFFFF"/>
                <w:sz w:val="19"/>
              </w:rPr>
              <w:t>Amount (INR, incl. GST)</w:t>
            </w:r>
          </w:p>
        </w:tc>
        <w:tc>
          <w:tcPr>
            <w:tcW w:type="dxa" w:w="4280"/>
            <w:shd w:val="clear" w:color="auto" w:fill="1F4E79"/>
          </w:tcPr>
          <w:p>
            <w:r/>
            <w:r>
              <w:rPr>
                <w:b/>
                <w:color w:val="FFFFFF"/>
                <w:sz w:val="19"/>
              </w:rPr>
              <w:t>Milestone covered</w:t>
            </w:r>
          </w:p>
        </w:tc>
      </w:tr>
      <w:tr>
        <w:tc>
          <w:tcPr>
            <w:tcW w:type="dxa" w:w="2400"/>
            <w:shd w:val="clear" w:color="auto" w:fill="FFFFFF"/>
          </w:tcPr>
          <w:p>
            <w:r/>
            <w:r>
              <w:rPr>
                <w:sz w:val="19"/>
              </w:rPr>
              <w:t>Project start (T0)</w:t>
            </w:r>
          </w:p>
        </w:tc>
        <w:tc>
          <w:tcPr>
            <w:tcW w:type="dxa" w:w="2400"/>
            <w:shd w:val="clear" w:color="auto" w:fill="FFFFFF"/>
          </w:tcPr>
          <w:p>
            <w:pPr>
              <w:jc w:val="right"/>
            </w:pPr>
            <w:r/>
            <w:r>
              <w:rPr>
                <w:sz w:val="19"/>
              </w:rPr>
              <w:t>25,66,222</w:t>
            </w:r>
          </w:p>
        </w:tc>
        <w:tc>
          <w:tcPr>
            <w:tcW w:type="dxa" w:w="4280"/>
            <w:shd w:val="clear" w:color="auto" w:fill="FFFFFF"/>
          </w:tcPr>
          <w:p>
            <w:r/>
            <w:r>
              <w:rPr>
                <w:sz w:val="19"/>
              </w:rPr>
              <w:t>Line procurement, tooling and design freeze</w:t>
            </w:r>
          </w:p>
        </w:tc>
      </w:tr>
      <w:tr>
        <w:tc>
          <w:tcPr>
            <w:tcW w:type="dxa" w:w="2400"/>
            <w:shd w:val="clear" w:color="auto" w:fill="FFFFFF"/>
          </w:tcPr>
          <w:p>
            <w:r/>
            <w:r>
              <w:rPr>
                <w:sz w:val="19"/>
              </w:rPr>
              <w:t>T0 + 6 months</w:t>
            </w:r>
          </w:p>
        </w:tc>
        <w:tc>
          <w:tcPr>
            <w:tcW w:type="dxa" w:w="2400"/>
            <w:shd w:val="clear" w:color="auto" w:fill="FFFFFF"/>
          </w:tcPr>
          <w:p>
            <w:pPr>
              <w:jc w:val="right"/>
            </w:pPr>
            <w:r/>
            <w:r>
              <w:rPr>
                <w:sz w:val="19"/>
              </w:rPr>
              <w:t>16,23,623</w:t>
            </w:r>
          </w:p>
        </w:tc>
        <w:tc>
          <w:tcPr>
            <w:tcW w:type="dxa" w:w="4280"/>
            <w:shd w:val="clear" w:color="auto" w:fill="FFFFFF"/>
          </w:tcPr>
          <w:p>
            <w:r/>
            <w:r>
              <w:rPr>
                <w:sz w:val="19"/>
              </w:rPr>
              <w:t>Pilot build, certification testing and field deployment</w:t>
            </w:r>
          </w:p>
        </w:tc>
      </w:tr>
      <w:tr>
        <w:tc>
          <w:tcPr>
            <w:tcW w:type="dxa" w:w="2400"/>
            <w:shd w:val="clear" w:color="auto" w:fill="FFFFFF"/>
          </w:tcPr>
          <w:p>
            <w:r/>
            <w:r>
              <w:rPr>
                <w:sz w:val="19"/>
              </w:rPr>
              <w:t>T0 + 12 months</w:t>
            </w:r>
          </w:p>
        </w:tc>
        <w:tc>
          <w:tcPr>
            <w:tcW w:type="dxa" w:w="2400"/>
            <w:shd w:val="clear" w:color="auto" w:fill="FFFFFF"/>
          </w:tcPr>
          <w:p>
            <w:pPr>
              <w:jc w:val="right"/>
            </w:pPr>
            <w:r/>
            <w:r>
              <w:rPr>
                <w:sz w:val="19"/>
              </w:rPr>
              <w:t>5,13,065</w:t>
            </w:r>
          </w:p>
        </w:tc>
        <w:tc>
          <w:tcPr>
            <w:tcW w:type="dxa" w:w="4280"/>
            <w:shd w:val="clear" w:color="auto" w:fill="FFFFFF"/>
          </w:tcPr>
          <w:p>
            <w:r/>
            <w:r>
              <w:rPr>
                <w:sz w:val="19"/>
              </w:rPr>
              <w:t>Validation close-out, certification and commercial launch</w:t>
            </w:r>
          </w:p>
        </w:tc>
      </w:tr>
      <w:tr>
        <w:tc>
          <w:tcPr>
            <w:tcW w:type="dxa" w:w="2400"/>
            <w:shd w:val="clear" w:color="auto" w:fill="FFFFFF"/>
          </w:tcPr>
          <w:p>
            <w:r/>
            <w:r>
              <w:rPr>
                <w:sz w:val="19"/>
              </w:rPr>
              <w:t>Total</w:t>
            </w:r>
          </w:p>
        </w:tc>
        <w:tc>
          <w:tcPr>
            <w:tcW w:type="dxa" w:w="2400"/>
            <w:shd w:val="clear" w:color="auto" w:fill="FFFFFF"/>
          </w:tcPr>
          <w:p>
            <w:pPr>
              <w:jc w:val="right"/>
            </w:pPr>
            <w:r/>
            <w:r>
              <w:rPr>
                <w:sz w:val="19"/>
              </w:rPr>
              <w:t>47,02,910</w:t>
            </w:r>
          </w:p>
        </w:tc>
        <w:tc>
          <w:tcPr>
            <w:tcW w:type="dxa" w:w="42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2"/>
        <w:keepNext/>
        <w:numPr>
          <w:ilvl w:val="0"/>
          <w:numId w:val="0"/>
        </w:numPr>
        <w:spacing w:before="200" w:after="120"/>
      </w:pPr>
      <w:r>
        <w:rPr>
          <w:b/>
          <w:color w:val="2E74B5"/>
          <w:sz w:val="25"/>
        </w:rPr>
        <w:t>3.8  Commercialisation plan</w:t>
      </w:r>
    </w:p>
    <w:p>
      <w:pPr>
        <w:spacing w:after="120"/>
      </w:pPr>
      <w:r>
        <w:rPr>
          <w:b w:val="0"/>
          <w:sz w:val="22"/>
        </w:rPr>
        <w:t>The buyer is the contractor or facility manager who already pays for cleaning. A household buys a clean, not a device, so the arm is sold to the contractor who visits the tank, and the monitor is sold to the institution that wants a reading between cleans.</w:t>
      </w:r>
    </w:p>
    <w:p>
      <w:pPr>
        <w:spacing w:after="120"/>
      </w:pPr>
      <w:r>
        <w:rPr>
          <w:b w:val="0"/>
          <w:sz w:val="22"/>
        </w:rPr>
        <w:t>Price targets: INR 39,999 for the complete system (M1, H1 and C1) against INR 15,600 of parts, a gross margin near 61 percent. The monitor and home unit alone sell at INR 16,999 for sites that do not need the arm.</w:t>
      </w:r>
    </w:p>
    <w:p>
      <w:pPr>
        <w:spacing w:after="120"/>
      </w:pPr>
      <w:r>
        <w:rPr>
          <w:b w:val="0"/>
          <w:sz w:val="22"/>
        </w:rPr>
        <w:t>Market base: 79 million urban households in the 2011 Census, of which about 60 percent are assumed to store water in a tank (47 million), plus 1.5 million schools and 70,000 hospitals. A tank clean sells for INR 1,500 to 4,000 in urban India, once or twice a year.</w:t>
      </w:r>
    </w:p>
    <w:p>
      <w:pPr>
        <w:spacing w:after="120"/>
      </w:pPr>
      <w:r>
        <w:rPr>
          <w:b w:val="0"/>
          <w:sz w:val="22"/>
        </w:rPr>
        <w:t>Route to revenue: three paying pilot sites in the grant year, converted to reference accounts; two channel partners in the following year, one in cleaning services and one in plumbing distribution; a target of 250 units in the first full year of sale.</w:t>
      </w:r>
    </w:p>
    <w:p>
      <w:pPr>
        <w:spacing w:after="120"/>
      </w:pPr>
      <w:r>
        <w:rPr>
          <w:b w:val="0"/>
          <w:sz w:val="22"/>
        </w:rPr>
        <w:t>The grant pays for the pilot line and the pilot units. Certification is carried by Nuke Labs, which also holds the channel and the service network.</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H1 and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Patentability disclosure (prior-art record, no filing claimed) and the minimum bill of materials.</w:t>
      </w:r>
    </w:p>
    <w:p>
      <w:pPr>
        <w:spacing w:after="80"/>
        <w:ind w:left="280"/>
      </w:pPr>
      <w:r>
        <w:rPr>
          <w:b w:val="0"/>
          <w:sz w:val="22"/>
        </w:rPr>
        <w:t>Prototype spend to date: INR 23,587 in parts, with the monitor running at TRL 6.</w:t>
      </w:r>
    </w:p>
    <w:p>
      <w:pPr>
        <w:pStyle w:val="Heading2"/>
        <w:keepNext/>
        <w:numPr>
          <w:ilvl w:val="0"/>
          <w:numId w:val="0"/>
        </w:numPr>
        <w:spacing w:before="200" w:after="120"/>
      </w:pPr>
      <w:r>
        <w:rPr>
          <w:b/>
          <w:color w:val="2E74B5"/>
          <w:sz w:val="25"/>
        </w:rPr>
        <w:t>4.2  Equipment breakdown</w:t>
      </w:r>
    </w:p>
    <w:p>
      <w:pPr>
        <w:spacing w:after="120"/>
      </w:pPr>
      <w:r>
        <w:rPr>
          <w:b w:val="0"/>
          <w:sz w:val="20"/>
        </w:rPr>
        <w:t>Pilot line, exclusive of GST. Figures are vendor quotes and negotiated targets at the time of writing.</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600"/>
            <w:shd w:val="clear" w:color="auto" w:fill="1F4E79"/>
          </w:tcPr>
          <w:p>
            <w:r/>
            <w:r>
              <w:rPr>
                <w:b/>
                <w:color w:val="FFFFFF"/>
                <w:sz w:val="19"/>
              </w:rPr>
              <w:t>Equipment item</w:t>
            </w:r>
          </w:p>
        </w:tc>
        <w:tc>
          <w:tcPr>
            <w:tcW w:type="dxa" w:w="2480"/>
            <w:shd w:val="clear" w:color="auto" w:fill="1F4E79"/>
          </w:tcPr>
          <w:p>
            <w:r/>
            <w:r>
              <w:rPr>
                <w:b/>
                <w:color w:val="FFFFFF"/>
                <w:sz w:val="19"/>
              </w:rPr>
              <w:t>Amount (INR)</w:t>
            </w:r>
          </w:p>
        </w:tc>
      </w:tr>
      <w:tr>
        <w:tc>
          <w:tcPr>
            <w:tcW w:type="dxa" w:w="6600"/>
            <w:shd w:val="clear" w:color="auto" w:fill="FFFFFF"/>
          </w:tcPr>
          <w:p>
            <w:r/>
            <w:r>
              <w:rPr>
                <w:sz w:val="19"/>
              </w:rPr>
              <w:t>Used 100 T injection moulder</w:t>
            </w:r>
          </w:p>
        </w:tc>
        <w:tc>
          <w:tcPr>
            <w:tcW w:type="dxa" w:w="2480"/>
            <w:shd w:val="clear" w:color="auto" w:fill="FFFFFF"/>
          </w:tcPr>
          <w:p>
            <w:pPr>
              <w:jc w:val="right"/>
            </w:pPr>
            <w:r/>
            <w:r>
              <w:rPr>
                <w:sz w:val="19"/>
              </w:rPr>
              <w:t>4,50,000</w:t>
            </w:r>
          </w:p>
        </w:tc>
      </w:tr>
      <w:tr>
        <w:tc>
          <w:tcPr>
            <w:tcW w:type="dxa" w:w="6600"/>
            <w:shd w:val="clear" w:color="auto" w:fill="FFFFFF"/>
          </w:tcPr>
          <w:p>
            <w:r/>
            <w:r>
              <w:rPr>
                <w:sz w:val="19"/>
              </w:rPr>
              <w:t>Three moulds (toolroom)</w:t>
            </w:r>
          </w:p>
        </w:tc>
        <w:tc>
          <w:tcPr>
            <w:tcW w:type="dxa" w:w="2480"/>
            <w:shd w:val="clear" w:color="auto" w:fill="FFFFFF"/>
          </w:tcPr>
          <w:p>
            <w:pPr>
              <w:jc w:val="right"/>
            </w:pPr>
            <w:r/>
            <w:r>
              <w:rPr>
                <w:sz w:val="19"/>
              </w:rPr>
              <w:t>3,50,000</w:t>
            </w:r>
          </w:p>
        </w:tc>
      </w:tr>
      <w:tr>
        <w:tc>
          <w:tcPr>
            <w:tcW w:type="dxa" w:w="6600"/>
            <w:shd w:val="clear" w:color="auto" w:fill="FFFFFF"/>
          </w:tcPr>
          <w:p>
            <w:r/>
            <w:r>
              <w:rPr>
                <w:sz w:val="19"/>
              </w:rPr>
              <w:t>Chiller, dryer, granulator</w:t>
            </w:r>
          </w:p>
        </w:tc>
        <w:tc>
          <w:tcPr>
            <w:tcW w:type="dxa" w:w="2480"/>
            <w:shd w:val="clear" w:color="auto" w:fill="FFFFFF"/>
          </w:tcPr>
          <w:p>
            <w:pPr>
              <w:jc w:val="right"/>
            </w:pPr>
            <w:r/>
            <w:r>
              <w:rPr>
                <w:sz w:val="19"/>
              </w:rPr>
              <w:t>2,00,000</w:t>
            </w:r>
          </w:p>
        </w:tc>
      </w:tr>
      <w:tr>
        <w:tc>
          <w:tcPr>
            <w:tcW w:type="dxa" w:w="6600"/>
            <w:shd w:val="clear" w:color="auto" w:fill="FFFFFF"/>
          </w:tcPr>
          <w:p>
            <w:r/>
            <w:r>
              <w:rPr>
                <w:sz w:val="19"/>
              </w:rPr>
              <w:t>Semi-auto stencil printer</w:t>
            </w:r>
          </w:p>
        </w:tc>
        <w:tc>
          <w:tcPr>
            <w:tcW w:type="dxa" w:w="2480"/>
            <w:shd w:val="clear" w:color="auto" w:fill="FFFFFF"/>
          </w:tcPr>
          <w:p>
            <w:pPr>
              <w:jc w:val="right"/>
            </w:pPr>
            <w:r/>
            <w:r>
              <w:rPr>
                <w:sz w:val="19"/>
              </w:rPr>
              <w:t>2,50,000</w:t>
            </w:r>
          </w:p>
        </w:tc>
      </w:tr>
      <w:tr>
        <w:tc>
          <w:tcPr>
            <w:tcW w:type="dxa" w:w="6600"/>
            <w:shd w:val="clear" w:color="auto" w:fill="FFFFFF"/>
          </w:tcPr>
          <w:p>
            <w:r/>
            <w:r>
              <w:rPr>
                <w:sz w:val="19"/>
              </w:rPr>
              <w:t>Two-head vision pick-and-place</w:t>
            </w:r>
          </w:p>
        </w:tc>
        <w:tc>
          <w:tcPr>
            <w:tcW w:type="dxa" w:w="2480"/>
            <w:shd w:val="clear" w:color="auto" w:fill="FFFFFF"/>
          </w:tcPr>
          <w:p>
            <w:pPr>
              <w:jc w:val="right"/>
            </w:pPr>
            <w:r/>
            <w:r>
              <w:rPr>
                <w:sz w:val="19"/>
              </w:rPr>
              <w:t>3,10,000</w:t>
            </w:r>
          </w:p>
        </w:tc>
      </w:tr>
      <w:tr>
        <w:tc>
          <w:tcPr>
            <w:tcW w:type="dxa" w:w="6600"/>
            <w:shd w:val="clear" w:color="auto" w:fill="FFFFFF"/>
          </w:tcPr>
          <w:p>
            <w:r/>
            <w:r>
              <w:rPr>
                <w:sz w:val="19"/>
              </w:rPr>
              <w:t>Six-zone reflow oven</w:t>
            </w:r>
          </w:p>
        </w:tc>
        <w:tc>
          <w:tcPr>
            <w:tcW w:type="dxa" w:w="2480"/>
            <w:shd w:val="clear" w:color="auto" w:fill="FFFFFF"/>
          </w:tcPr>
          <w:p>
            <w:pPr>
              <w:jc w:val="right"/>
            </w:pPr>
            <w:r/>
            <w:r>
              <w:rPr>
                <w:sz w:val="19"/>
              </w:rPr>
              <w:t>2,16,500</w:t>
            </w:r>
          </w:p>
        </w:tc>
      </w:tr>
      <w:tr>
        <w:tc>
          <w:tcPr>
            <w:tcW w:type="dxa" w:w="6600"/>
            <w:shd w:val="clear" w:color="auto" w:fill="FFFFFF"/>
          </w:tcPr>
          <w:p>
            <w:r/>
            <w:r>
              <w:rPr>
                <w:sz w:val="19"/>
              </w:rPr>
              <w:t>Rework station</w:t>
            </w:r>
          </w:p>
        </w:tc>
        <w:tc>
          <w:tcPr>
            <w:tcW w:type="dxa" w:w="2480"/>
            <w:shd w:val="clear" w:color="auto" w:fill="FFFFFF"/>
          </w:tcPr>
          <w:p>
            <w:pPr>
              <w:jc w:val="right"/>
            </w:pPr>
            <w:r/>
            <w:r>
              <w:rPr>
                <w:sz w:val="19"/>
              </w:rPr>
              <w:t>20,000</w:t>
            </w:r>
          </w:p>
        </w:tc>
      </w:tr>
      <w:tr>
        <w:tc>
          <w:tcPr>
            <w:tcW w:type="dxa" w:w="6600"/>
            <w:shd w:val="clear" w:color="auto" w:fill="FFFFFF"/>
          </w:tcPr>
          <w:p>
            <w:r/>
            <w:r>
              <w:rPr>
                <w:sz w:val="19"/>
              </w:rPr>
              <w:t>Stencils</w:t>
            </w:r>
          </w:p>
        </w:tc>
        <w:tc>
          <w:tcPr>
            <w:tcW w:type="dxa" w:w="2480"/>
            <w:shd w:val="clear" w:color="auto" w:fill="FFFFFF"/>
          </w:tcPr>
          <w:p>
            <w:pPr>
              <w:jc w:val="right"/>
            </w:pPr>
            <w:r/>
            <w:r>
              <w:rPr>
                <w:sz w:val="19"/>
              </w:rPr>
              <w:t>10,000</w:t>
            </w:r>
          </w:p>
        </w:tc>
      </w:tr>
      <w:tr>
        <w:tc>
          <w:tcPr>
            <w:tcW w:type="dxa" w:w="6600"/>
            <w:shd w:val="clear" w:color="auto" w:fill="FFFFFF"/>
          </w:tcPr>
          <w:p>
            <w:r/>
            <w:r>
              <w:rPr>
                <w:sz w:val="19"/>
              </w:rPr>
              <w:t>Four ESD benches</w:t>
            </w:r>
          </w:p>
        </w:tc>
        <w:tc>
          <w:tcPr>
            <w:tcW w:type="dxa" w:w="2480"/>
            <w:shd w:val="clear" w:color="auto" w:fill="FFFFFF"/>
          </w:tcPr>
          <w:p>
            <w:pPr>
              <w:jc w:val="right"/>
            </w:pPr>
            <w:r/>
            <w:r>
              <w:rPr>
                <w:sz w:val="19"/>
              </w:rPr>
              <w:t>1,16,000</w:t>
            </w:r>
          </w:p>
        </w:tc>
      </w:tr>
      <w:tr>
        <w:tc>
          <w:tcPr>
            <w:tcW w:type="dxa" w:w="6600"/>
            <w:shd w:val="clear" w:color="auto" w:fill="FFFFFF"/>
          </w:tcPr>
          <w:p>
            <w:r/>
            <w:r>
              <w:rPr>
                <w:sz w:val="19"/>
              </w:rPr>
              <w:t>Soldering stations and microscope</w:t>
            </w:r>
          </w:p>
        </w:tc>
        <w:tc>
          <w:tcPr>
            <w:tcW w:type="dxa" w:w="2480"/>
            <w:shd w:val="clear" w:color="auto" w:fill="FFFFFF"/>
          </w:tcPr>
          <w:p>
            <w:pPr>
              <w:jc w:val="right"/>
            </w:pPr>
            <w:r/>
            <w:r>
              <w:rPr>
                <w:sz w:val="19"/>
              </w:rPr>
              <w:t>48,000</w:t>
            </w:r>
          </w:p>
        </w:tc>
      </w:tr>
      <w:tr>
        <w:tc>
          <w:tcPr>
            <w:tcW w:type="dxa" w:w="6600"/>
            <w:shd w:val="clear" w:color="auto" w:fill="FFFFFF"/>
          </w:tcPr>
          <w:p>
            <w:r/>
            <w:r>
              <w:rPr>
                <w:sz w:val="19"/>
              </w:rPr>
              <w:t>Oscilloscope, PSU, DMM</w:t>
            </w:r>
          </w:p>
        </w:tc>
        <w:tc>
          <w:tcPr>
            <w:tcW w:type="dxa" w:w="2480"/>
            <w:shd w:val="clear" w:color="auto" w:fill="FFFFFF"/>
          </w:tcPr>
          <w:p>
            <w:pPr>
              <w:jc w:val="right"/>
            </w:pPr>
            <w:r/>
            <w:r>
              <w:rPr>
                <w:sz w:val="19"/>
              </w:rPr>
              <w:t>27,000</w:t>
            </w:r>
          </w:p>
        </w:tc>
      </w:tr>
      <w:tr>
        <w:tc>
          <w:tcPr>
            <w:tcW w:type="dxa" w:w="6600"/>
            <w:shd w:val="clear" w:color="auto" w:fill="FFFFFF"/>
          </w:tcPr>
          <w:p>
            <w:r/>
            <w:r>
              <w:rPr>
                <w:sz w:val="19"/>
              </w:rPr>
              <w:t>Functional-test fixtures</w:t>
            </w:r>
          </w:p>
        </w:tc>
        <w:tc>
          <w:tcPr>
            <w:tcW w:type="dxa" w:w="2480"/>
            <w:shd w:val="clear" w:color="auto" w:fill="FFFFFF"/>
          </w:tcPr>
          <w:p>
            <w:pPr>
              <w:jc w:val="right"/>
            </w:pPr>
            <w:r/>
            <w:r>
              <w:rPr>
                <w:sz w:val="19"/>
              </w:rPr>
              <w:t>1,50,000</w:t>
            </w:r>
          </w:p>
        </w:tc>
      </w:tr>
      <w:tr>
        <w:tc>
          <w:tcPr>
            <w:tcW w:type="dxa" w:w="6600"/>
            <w:shd w:val="clear" w:color="auto" w:fill="FFFFFF"/>
          </w:tcPr>
          <w:p>
            <w:r/>
            <w:r>
              <w:rPr>
                <w:sz w:val="19"/>
              </w:rPr>
              <w:t>Calibration</w:t>
            </w:r>
          </w:p>
        </w:tc>
        <w:tc>
          <w:tcPr>
            <w:tcW w:type="dxa" w:w="2480"/>
            <w:shd w:val="clear" w:color="auto" w:fill="FFFFFF"/>
          </w:tcPr>
          <w:p>
            <w:pPr>
              <w:jc w:val="right"/>
            </w:pPr>
            <w:r/>
            <w:r>
              <w:rPr>
                <w:sz w:val="19"/>
              </w:rPr>
              <w:t>40,000</w:t>
            </w:r>
          </w:p>
        </w:tc>
      </w:tr>
      <w:tr>
        <w:tc>
          <w:tcPr>
            <w:tcW w:type="dxa" w:w="6600"/>
            <w:shd w:val="clear" w:color="auto" w:fill="FFFFFF"/>
          </w:tcPr>
          <w:p>
            <w:r/>
            <w:r>
              <w:rPr>
                <w:sz w:val="19"/>
              </w:rPr>
              <w:t>Hand tools, crimpers, bench consumables</w:t>
            </w:r>
          </w:p>
        </w:tc>
        <w:tc>
          <w:tcPr>
            <w:tcW w:type="dxa" w:w="2480"/>
            <w:shd w:val="clear" w:color="auto" w:fill="FFFFFF"/>
          </w:tcPr>
          <w:p>
            <w:pPr>
              <w:jc w:val="right"/>
            </w:pPr>
            <w:r/>
            <w:r>
              <w:rPr>
                <w:sz w:val="19"/>
              </w:rPr>
              <w:t>39,788</w:t>
            </w:r>
          </w:p>
        </w:tc>
      </w:tr>
      <w:tr>
        <w:tc>
          <w:tcPr>
            <w:tcW w:type="dxa" w:w="6600"/>
            <w:shd w:val="clear" w:color="auto" w:fill="FFFFFF"/>
          </w:tcPr>
          <w:p>
            <w:r/>
            <w:r>
              <w:rPr>
                <w:sz w:val="19"/>
              </w:rPr>
              <w:t>Electrical, air, fume, fire</w:t>
            </w:r>
          </w:p>
        </w:tc>
        <w:tc>
          <w:tcPr>
            <w:tcW w:type="dxa" w:w="2480"/>
            <w:shd w:val="clear" w:color="auto" w:fill="FFFFFF"/>
          </w:tcPr>
          <w:p>
            <w:pPr>
              <w:jc w:val="right"/>
            </w:pPr>
            <w:r/>
            <w:r>
              <w:rPr>
                <w:sz w:val="19"/>
              </w:rPr>
              <w:t>1,20,000</w:t>
            </w:r>
          </w:p>
        </w:tc>
      </w:tr>
      <w:tr>
        <w:tc>
          <w:tcPr>
            <w:tcW w:type="dxa" w:w="6600"/>
            <w:shd w:val="clear" w:color="auto" w:fill="FFFFFF"/>
          </w:tcPr>
          <w:p>
            <w:r/>
            <w:r>
              <w:rPr>
                <w:sz w:val="19"/>
              </w:rPr>
              <w:t>Freight and installation</w:t>
            </w:r>
          </w:p>
        </w:tc>
        <w:tc>
          <w:tcPr>
            <w:tcW w:type="dxa" w:w="2480"/>
            <w:shd w:val="clear" w:color="auto" w:fill="FFFFFF"/>
          </w:tcPr>
          <w:p>
            <w:pPr>
              <w:jc w:val="right"/>
            </w:pPr>
            <w:r/>
            <w:r>
              <w:rPr>
                <w:sz w:val="19"/>
              </w:rPr>
              <w:t>80,000</w:t>
            </w:r>
          </w:p>
        </w:tc>
      </w:tr>
      <w:tr>
        <w:tc>
          <w:tcPr>
            <w:tcW w:type="dxa" w:w="6600"/>
            <w:shd w:val="clear" w:color="auto" w:fill="FFFFFF"/>
          </w:tcPr>
          <w:p>
            <w:r/>
            <w:r>
              <w:rPr>
                <w:sz w:val="19"/>
              </w:rPr>
              <w:t>Equipment total</w:t>
            </w:r>
          </w:p>
        </w:tc>
        <w:tc>
          <w:tcPr>
            <w:tcW w:type="dxa" w:w="2480"/>
            <w:shd w:val="clear" w:color="auto" w:fill="FFFFFF"/>
          </w:tcPr>
          <w:p>
            <w:pPr>
              <w:jc w:val="right"/>
            </w:pPr>
            <w:r/>
            <w:r>
              <w:rPr>
                <w:sz w:val="19"/>
              </w:rPr>
              <w:t>24,27,288</w:t>
            </w:r>
          </w:p>
        </w:tc>
      </w:tr>
    </w:tbl>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after="0"/>
      <w:jc w:val="center"/>
    </w:pPr>
    <w:r>
      <w:drawing>
        <wp:inline>
          <wp:extent cx="5943600" cy="798871"/>
          <wp:docPr id="761037644" name="Picture 761037644"/>
          <wp:cNvGraphicFramePr>
            <a:graphicFrameLocks noChangeAspect="1"/>
          </wp:cNvGraphicFramePr>
          <a:graphic>
            <a:graphicData uri="http://schemas.openxmlformats.org/drawingml/2006/picture">
              <pic:pic>
                <pic:nvPicPr>
                  <pic:cNvPr id="0" name="cover_band.png"/>
                  <pic:cNvPicPr/>
                </pic:nvPicPr>
                <pic:blipFill>
                  <a:blip r:embed="rId2"/>
                  <a:stretch>
                    <a:fillRect/>
                  </a:stretch>
                </pic:blipFill>
                <pic:spPr>
                  <a:xfrm>
                    <a:off x="0" y="0"/>
                    <a:ext cx="5943600" cy="798871"/>
                  </a:xfrm>
                  <a:prstGeom prst="rect"/>
                </pic:spPr>
              </pic:pic>
            </a:graphicData>
          </a:graphic>
        </wp:inline>
      </w:drawing>
    </w:r>
  </w:p>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6.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