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40"/>
        <w:jc w:val="center"/>
      </w:pPr>
      <w:r>
        <w:rPr>
          <w:b w:val="0"/>
          <w:sz w:val="22"/>
        </w:rPr>
        <w:t>Sree Buddha College of Engineering</w:t>
      </w:r>
    </w:p>
    <w:p>
      <w:pPr>
        <w:spacing w:after="200"/>
        <w:jc w:val="center"/>
      </w:pPr>
      <w:r>
        <w:rPr>
          <w:b w:val="0"/>
          <w:sz w:val="22"/>
        </w:rPr>
        <w:t>Industry partner: Nuke Labs</w:t>
      </w:r>
    </w:p>
    <w:p>
      <w:pPr>
        <w:spacing w:after="40"/>
        <w:jc w:val="center"/>
      </w:pPr>
      <w:r>
        <w:rPr>
          <w:b w:val="0"/>
          <w:sz w:val="21"/>
        </w:rPr>
        <w:t>Theme: TIH IoT Technology Development Program 2026</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 xml:space="preserve">     3.8  Commercialisation plan</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Sree Buddha College of Engineering, Department of Electronics and Communication Engineering</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TIH IoT Technology Development Program 2026</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monitoring prototype is built. The M1 firmware, the dashboard and the path planner run, and INR 23,587 of parts have already been invested. The grant funds the step from that prototype to a certified product: the arm hardware, twenty-five pilot units, certification, a patent and twelve field installations.</w:t>
      </w:r>
    </w:p>
    <w:p>
      <w:pPr>
        <w:spacing w:after="120"/>
      </w:pPr>
      <w:r>
        <w:rPr>
          <w:b w:val="0"/>
          <w:sz w:val="22"/>
        </w:rPr>
        <w:t>The project delivers a production revision of M1 and H1, twenty-five pilot units of the C1 cleaning arm, twelve field installations, certification, a filed patent, and three paying pilot customers. The target is TRL 8, with the unit cost and the service model proven before the first production run.</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TankGuard started as a water-quality monitor. Five probes fed an edge-computed score, and the ESP8266 served its own dashboard over Wi-Fi, with no cloud service.</w:t>
      </w:r>
    </w:p>
    <w:p>
      <w:pPr>
        <w:spacing w:after="120"/>
      </w:pPr>
      <w:r>
        <w:rPr>
          <w:b w:val="0"/>
          <w:sz w:val="22"/>
        </w:rPr>
        <w:t>Field trials exposed the real failure mode. Measurement alone does not clean a tank: the sludge layer keeps feeding turbidity and biofilm, and the household still drains and scrubs by hand. The product moved from monitoring to care, with a home unit for the pump and an arm for the sludge.</w:t>
      </w:r>
    </w:p>
    <w:p>
      <w:pPr>
        <w:spacing w:after="120"/>
      </w:pPr>
      <w:r>
        <w:rPr>
          <w:b w:val="0"/>
          <w:sz w:val="22"/>
        </w:rPr>
        <w:t>The current design keeps the five probes, the score weights and the local-only architecture. It replaces the abandoned drain-and-flush mechanism with the cleaning arm described here.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it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blocks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Objective 1: measure and score water quality at the edge. Five probes (turbidity, TDS, pH, temperature, level) are digitised through an ADS1115 and fused into a weighted score (40/25/25/10). Acceptance: the score repeats within 2 points over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and take it to market. The monitor enters at TRL 6 and the arm at TRL 4; twelve months later the system is at TRL 8, with twenty-five pilot units, twelve installations, certification, a filed patent and three paying customers.</w:t>
      </w:r>
    </w:p>
    <w:p>
      <w:pPr>
        <w:pStyle w:val="Heading2"/>
        <w:keepNext/>
        <w:numPr>
          <w:ilvl w:val="0"/>
          <w:numId w:val="0"/>
        </w:numPr>
        <w:spacing w:before="200" w:after="120"/>
      </w:pPr>
      <w:r>
        <w:rPr>
          <w:b/>
          <w:color w:val="2E74B5"/>
          <w:sz w:val="25"/>
        </w:rPr>
        <w:t>3.4  Deliverables</w:t>
      </w:r>
    </w:p>
    <w:p>
      <w:pPr>
        <w:spacing w:after="120"/>
      </w:pPr>
      <w:r>
        <w:rPr>
          <w:b w:val="0"/>
          <w:sz w:val="22"/>
        </w:rPr>
        <w:t>D1. M1 monitor, production revision: the ESP8266 board with five calibrated probes, an edge score, the dashboard in flash, and an enclosure that can be moulded at volume.</w:t>
      </w:r>
    </w:p>
    <w:p>
      <w:pPr>
        <w:spacing w:after="120"/>
      </w:pPr>
      <w:r>
        <w:rPr>
          <w:b w:val="0"/>
          <w:sz w:val="22"/>
        </w:rPr>
        <w:t>D2. H1 home unit, production revision: the display board, isolated relay and contactor interface, and a manual override that passes electrical safety review.</w:t>
      </w:r>
    </w:p>
    <w:p>
      <w:pPr>
        <w:spacing w:after="120"/>
      </w:pPr>
      <w:r>
        <w:rPr>
          <w:b w:val="0"/>
          <w:sz w:val="22"/>
        </w:rPr>
        <w:t>D3. C1 cleaning arm, pilot build: twenty-five units with the two-link arm, ring brush, suction head and the planner-generated path, at a confirmed unit cost.</w:t>
      </w:r>
    </w:p>
    <w:p>
      <w:pPr>
        <w:spacing w:after="120"/>
      </w:pPr>
      <w:r>
        <w:rPr>
          <w:b w:val="0"/>
          <w:sz w:val="22"/>
        </w:rPr>
        <w:t>D4. Commercial pack: twelve installations, certification and patent filed, three paying pilot customers, a channel agreement, and the TRL 8 evidence set.</w:t>
      </w:r>
    </w:p>
    <w:p>
      <w:pPr>
        <w:pStyle w:val="Heading2"/>
        <w:keepNext/>
        <w:pageBreakBefore/>
        <w:numPr>
          <w:ilvl w:val="0"/>
          <w:numId w:val="0"/>
        </w:numPr>
        <w:spacing w:before="200" w:after="120"/>
      </w:pPr>
      <w:r>
        <w:rPr>
          <w:b/>
          <w:color w:val="2E74B5"/>
          <w:sz w:val="25"/>
        </w:rPr>
        <w:t>3.5  Project plan with major milestones</w:t>
      </w:r>
    </w:p>
    <w:p>
      <w:pPr>
        <w:spacing w:after="120"/>
      </w:pPr>
      <w:r>
        <w:rPr>
          <w:b w:val="0"/>
          <w:sz w:val="22"/>
        </w:rPr>
        <w:t>Twelve months from T0, with a deliverable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Design freeze and tooling</w:t>
            </w:r>
          </w:p>
        </w:tc>
        <w:tc>
          <w:tcPr>
            <w:tcW w:type="dxa" w:w="1400"/>
            <w:shd w:val="clear" w:color="auto" w:fill="FFFFFF"/>
          </w:tcPr>
          <w:p>
            <w:r/>
            <w:r>
              <w:rPr>
                <w:sz w:val="19"/>
              </w:rPr>
              <w:t>T0 + 3 months</w:t>
            </w:r>
          </w:p>
        </w:tc>
        <w:tc>
          <w:tcPr>
            <w:tcW w:type="dxa" w:w="4200"/>
            <w:shd w:val="clear" w:color="auto" w:fill="FFFFFF"/>
          </w:tcPr>
          <w:p>
            <w:r/>
            <w:r>
              <w:rPr>
                <w:sz w:val="19"/>
              </w:rPr>
              <w:t>Arm and enclosure frozen. Moulds ordered. Five pilot sets assembled. Certification scope agreed with the test laboratory.</w:t>
            </w:r>
          </w:p>
        </w:tc>
      </w:tr>
      <w:tr>
        <w:tc>
          <w:tcPr>
            <w:tcW w:type="dxa" w:w="480"/>
            <w:shd w:val="clear" w:color="auto" w:fill="FFFFFF"/>
          </w:tcPr>
          <w:p>
            <w:r/>
            <w:r>
              <w:rPr>
                <w:sz w:val="19"/>
              </w:rPr>
              <w:t>2</w:t>
            </w:r>
          </w:p>
        </w:tc>
        <w:tc>
          <w:tcPr>
            <w:tcW w:type="dxa" w:w="3000"/>
            <w:shd w:val="clear" w:color="auto" w:fill="FFFFFF"/>
          </w:tcPr>
          <w:p>
            <w:r/>
            <w:r>
              <w:rPr>
                <w:sz w:val="19"/>
              </w:rPr>
              <w:t>Pilot build and lab qualification</w:t>
            </w:r>
          </w:p>
        </w:tc>
        <w:tc>
          <w:tcPr>
            <w:tcW w:type="dxa" w:w="1400"/>
            <w:shd w:val="clear" w:color="auto" w:fill="FFFFFF"/>
          </w:tcPr>
          <w:p>
            <w:r/>
            <w:r>
              <w:rPr>
                <w:sz w:val="19"/>
              </w:rPr>
              <w:t>T0 + 6 months</w:t>
            </w:r>
          </w:p>
        </w:tc>
        <w:tc>
          <w:tcPr>
            <w:tcW w:type="dxa" w:w="4200"/>
            <w:shd w:val="clear" w:color="auto" w:fill="FFFFFF"/>
          </w:tcPr>
          <w:p>
            <w:r/>
            <w:r>
              <w:rPr>
                <w:sz w:val="19"/>
              </w:rPr>
              <w:t>Twenty-five pilot sets built and calibrated against reference instruments. IP68 and EMC pre-compliance passed. Unit cost confirmed at INR 15,600 or below.</w:t>
            </w:r>
          </w:p>
        </w:tc>
      </w:tr>
      <w:tr>
        <w:tc>
          <w:tcPr>
            <w:tcW w:type="dxa" w:w="480"/>
            <w:shd w:val="clear" w:color="auto" w:fill="FFFFFF"/>
          </w:tcPr>
          <w:p>
            <w:r/>
            <w:r>
              <w:rPr>
                <w:sz w:val="19"/>
              </w:rPr>
              <w:t>3</w:t>
            </w:r>
          </w:p>
        </w:tc>
        <w:tc>
          <w:tcPr>
            <w:tcW w:type="dxa" w:w="3000"/>
            <w:shd w:val="clear" w:color="auto" w:fill="FFFFFF"/>
          </w:tcPr>
          <w:p>
            <w:r/>
            <w:r>
              <w:rPr>
                <w:sz w:val="19"/>
              </w:rPr>
              <w:t>Field deployment</w:t>
            </w:r>
          </w:p>
        </w:tc>
        <w:tc>
          <w:tcPr>
            <w:tcW w:type="dxa" w:w="1400"/>
            <w:shd w:val="clear" w:color="auto" w:fill="FFFFFF"/>
          </w:tcPr>
          <w:p>
            <w:r/>
            <w:r>
              <w:rPr>
                <w:sz w:val="19"/>
              </w:rPr>
              <w:t>T0 + 9 months</w:t>
            </w:r>
          </w:p>
        </w:tc>
        <w:tc>
          <w:tcPr>
            <w:tcW w:type="dxa" w:w="4200"/>
            <w:shd w:val="clear" w:color="auto" w:fill="FFFFFF"/>
          </w:tcPr>
          <w:p>
            <w:r/>
            <w:r>
              <w:rPr>
                <w:sz w:val="19"/>
              </w:rPr>
              <w:t>Twelve installations in three cities with sixty days of continuous operation. Installation manual and service workflow complete.</w:t>
            </w:r>
          </w:p>
        </w:tc>
      </w:tr>
      <w:tr>
        <w:tc>
          <w:tcPr>
            <w:tcW w:type="dxa" w:w="480"/>
            <w:shd w:val="clear" w:color="auto" w:fill="FFFFFF"/>
          </w:tcPr>
          <w:p>
            <w:r/>
            <w:r>
              <w:rPr>
                <w:sz w:val="19"/>
              </w:rPr>
              <w:t>4</w:t>
            </w:r>
          </w:p>
        </w:tc>
        <w:tc>
          <w:tcPr>
            <w:tcW w:type="dxa" w:w="3000"/>
            <w:shd w:val="clear" w:color="auto" w:fill="FFFFFF"/>
          </w:tcPr>
          <w:p>
            <w:r/>
            <w:r>
              <w:rPr>
                <w:sz w:val="19"/>
              </w:rPr>
              <w:t>Commercial readiness</w:t>
            </w:r>
          </w:p>
        </w:tc>
        <w:tc>
          <w:tcPr>
            <w:tcW w:type="dxa" w:w="1400"/>
            <w:shd w:val="clear" w:color="auto" w:fill="FFFFFF"/>
          </w:tcPr>
          <w:p>
            <w:r/>
            <w:r>
              <w:rPr>
                <w:sz w:val="19"/>
              </w:rPr>
              <w:t>T0 + 12 months</w:t>
            </w:r>
          </w:p>
        </w:tc>
        <w:tc>
          <w:tcPr>
            <w:tcW w:type="dxa" w:w="4200"/>
            <w:shd w:val="clear" w:color="auto" w:fill="FFFFFF"/>
          </w:tcPr>
          <w:p>
            <w:r/>
            <w:r>
              <w:rPr>
                <w:sz w:val="19"/>
              </w:rPr>
              <w:t>Certification filed, patent filed, three paying pilot customers, channel agreement signed, TRL 8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12,00,000</w:t>
            </w:r>
          </w:p>
        </w:tc>
      </w:tr>
      <w:tr>
        <w:tc>
          <w:tcPr>
            <w:tcW w:type="dxa" w:w="6000"/>
            <w:shd w:val="clear" w:color="auto" w:fill="FFFFFF"/>
          </w:tcPr>
          <w:p>
            <w:r/>
            <w:r>
              <w:rPr>
                <w:sz w:val="19"/>
              </w:rPr>
              <w:t>Equipment (exclusive of GST)</w:t>
            </w:r>
          </w:p>
        </w:tc>
        <w:tc>
          <w:tcPr>
            <w:tcW w:type="dxa" w:w="3080"/>
            <w:shd w:val="clear" w:color="auto" w:fill="FFFFFF"/>
          </w:tcPr>
          <w:p>
            <w:pPr>
              <w:jc w:val="right"/>
            </w:pPr>
            <w:r/>
            <w:r>
              <w:rPr>
                <w:sz w:val="19"/>
              </w:rPr>
              <w:t>8,40,000</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4,40,000</w:t>
            </w:r>
          </w:p>
        </w:tc>
      </w:tr>
      <w:tr>
        <w:tc>
          <w:tcPr>
            <w:tcW w:type="dxa" w:w="6000"/>
            <w:shd w:val="clear" w:color="auto" w:fill="FFFFFF"/>
          </w:tcPr>
          <w:p>
            <w:r/>
            <w:r>
              <w:rPr>
                <w:sz w:val="19"/>
              </w:rPr>
              <w:t>Travel</w:t>
            </w:r>
          </w:p>
        </w:tc>
        <w:tc>
          <w:tcPr>
            <w:tcW w:type="dxa" w:w="3080"/>
            <w:shd w:val="clear" w:color="auto" w:fill="FFFFFF"/>
          </w:tcPr>
          <w:p>
            <w:pPr>
              <w:jc w:val="right"/>
            </w:pPr>
            <w:r/>
            <w:r>
              <w:rPr>
                <w:sz w:val="19"/>
              </w:rPr>
              <w:t>2,00,000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4,40,000</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1,56,000</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32,76,000</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6,55,200</w:t>
            </w:r>
          </w:p>
        </w:tc>
      </w:tr>
      <w:tr>
        <w:tc>
          <w:tcPr>
            <w:tcW w:type="dxa" w:w="6000"/>
            <w:shd w:val="clear" w:color="auto" w:fill="FFFFFF"/>
          </w:tcPr>
          <w:p>
            <w:r/>
            <w:r>
              <w:rPr>
                <w:sz w:val="19"/>
              </w:rPr>
              <w:t>Faculty fee (max 20%)</w:t>
            </w:r>
          </w:p>
        </w:tc>
        <w:tc>
          <w:tcPr>
            <w:tcW w:type="dxa" w:w="3080"/>
            <w:shd w:val="clear" w:color="auto" w:fill="FFFFFF"/>
          </w:tcPr>
          <w:p>
            <w:pPr>
              <w:jc w:val="right"/>
            </w:pPr>
            <w:r/>
            <w:r>
              <w:rPr>
                <w:sz w:val="19"/>
              </w:rPr>
              <w:t>3,00,000</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42,31,200</w:t>
            </w:r>
          </w:p>
        </w:tc>
      </w:tr>
      <w:tr>
        <w:tc>
          <w:tcPr>
            <w:tcW w:type="dxa" w:w="6000"/>
            <w:shd w:val="clear" w:color="auto" w:fill="FFFFFF"/>
          </w:tcPr>
          <w:p>
            <w:r/>
            <w:r>
              <w:rPr>
                <w:sz w:val="19"/>
              </w:rPr>
              <w:t>GST (18%)</w:t>
            </w:r>
          </w:p>
        </w:tc>
        <w:tc>
          <w:tcPr>
            <w:tcW w:type="dxa" w:w="3080"/>
            <w:shd w:val="clear" w:color="auto" w:fill="FFFFFF"/>
          </w:tcPr>
          <w:p>
            <w:pPr>
              <w:jc w:val="right"/>
            </w:pPr>
            <w:r/>
            <w:r>
              <w:rPr>
                <w:sz w:val="19"/>
              </w:rPr>
              <w:t>0</w:t>
            </w:r>
          </w:p>
        </w:tc>
      </w:tr>
      <w:tr>
        <w:tc>
          <w:tcPr>
            <w:tcW w:type="dxa" w:w="6000"/>
            <w:shd w:val="clear" w:color="auto" w:fill="FFFFFF"/>
          </w:tcPr>
          <w:p>
            <w:r/>
            <w:r>
              <w:rPr>
                <w:sz w:val="19"/>
              </w:rPr>
              <w:t>Grand total</w:t>
            </w:r>
          </w:p>
        </w:tc>
        <w:tc>
          <w:tcPr>
            <w:tcW w:type="dxa" w:w="3080"/>
            <w:shd w:val="clear" w:color="auto" w:fill="FFFFFF"/>
          </w:tcPr>
          <w:p>
            <w:pPr>
              <w:jc w:val="right"/>
            </w:pPr>
            <w:r/>
            <w:r>
              <w:rPr>
                <w:sz w:val="19"/>
              </w:rPr>
              <w:t>42,31,200</w:t>
            </w:r>
          </w:p>
        </w:tc>
      </w:tr>
    </w:tbl>
    <w:p/>
    <w:p>
      <w:pPr>
        <w:spacing w:after="120"/>
      </w:pPr>
      <w:r>
        <w:rPr>
          <w:b w:val="0"/>
          <w:sz w:val="20"/>
        </w:rPr>
        <w:t>Manpower covers two full-time engineers for twelve months, one mechanical and one firmware, at INR 50,000 per month each. Equipment covers enclosure tooling (INR 4.0 lakh), a tank test rig (INR 2.0 lakh) and reference instruments for the R&amp;D bench (INR 2.4 lakh). Consumables cover twenty-five pilot sets at INR 15,600 each, plus PCB fabrication and spares.</w:t>
      </w:r>
    </w:p>
    <w:p>
      <w:pPr>
        <w:spacing w:after="120"/>
      </w:pPr>
      <w:r>
        <w:rPr>
          <w:b w:val="0"/>
          <w:sz w:val="20"/>
        </w:rPr>
        <w:t>Miscellaneous covers certification (INR 2.0 lakh), patent drafting and filing (INR 1.4 lakh), and market work with channel partners (INR 1.0 lakh). Contingency is capped at 5 percent of direct cost and overhead at 20 percent of the sub total. The faculty fee is set at INR 3.0 lakh, below the 20 percent cap, and the difference is carried in equipment and consumables for R&amp;D.</w:t>
      </w:r>
    </w:p>
    <w:p>
      <w:pPr>
        <w:spacing w:after="120"/>
      </w:pPr>
      <w:r>
        <w:rPr>
          <w:b w:val="0"/>
          <w:sz w:val="20"/>
        </w:rPr>
        <w:t>Prototype parts to date total INR 23,587 and have already been invested by the team. They are not part of this request. The request funds the product, not the prototype.</w:t>
      </w:r>
    </w:p>
    <w:p>
      <w:pPr>
        <w:keepNext/>
        <w:pageBreakBefore/>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200"/>
            <w:shd w:val="clear" w:color="auto" w:fill="1F4E79"/>
          </w:tcPr>
          <w:p>
            <w:r/>
            <w:r>
              <w:rPr>
                <w:b/>
                <w:color w:val="FFFFFF"/>
                <w:sz w:val="19"/>
              </w:rPr>
              <w:t>Timeline</w:t>
            </w:r>
          </w:p>
        </w:tc>
        <w:tc>
          <w:tcPr>
            <w:tcW w:type="dxa" w:w="1800"/>
            <w:shd w:val="clear" w:color="auto" w:fill="1F4E79"/>
          </w:tcPr>
          <w:p>
            <w:r/>
            <w:r>
              <w:rPr>
                <w:b/>
                <w:color w:val="FFFFFF"/>
                <w:sz w:val="19"/>
              </w:rPr>
              <w:t>Amount (INR)</w:t>
            </w:r>
          </w:p>
        </w:tc>
        <w:tc>
          <w:tcPr>
            <w:tcW w:type="dxa" w:w="5080"/>
            <w:shd w:val="clear" w:color="auto" w:fill="1F4E79"/>
          </w:tcPr>
          <w:p>
            <w:r/>
            <w:r>
              <w:rPr>
                <w:b/>
                <w:color w:val="FFFFFF"/>
                <w:sz w:val="19"/>
              </w:rPr>
              <w:t>Milestone covered</w:t>
            </w:r>
          </w:p>
        </w:tc>
      </w:tr>
      <w:tr>
        <w:tc>
          <w:tcPr>
            <w:tcW w:type="dxa" w:w="2200"/>
            <w:shd w:val="clear" w:color="auto" w:fill="FFFFFF"/>
          </w:tcPr>
          <w:p>
            <w:r/>
            <w:r>
              <w:rPr>
                <w:sz w:val="19"/>
              </w:rPr>
              <w:t>Project start (T0)</w:t>
            </w:r>
          </w:p>
        </w:tc>
        <w:tc>
          <w:tcPr>
            <w:tcW w:type="dxa" w:w="1800"/>
            <w:shd w:val="clear" w:color="auto" w:fill="FFFFFF"/>
          </w:tcPr>
          <w:p>
            <w:pPr>
              <w:jc w:val="right"/>
            </w:pPr>
            <w:r/>
            <w:r>
              <w:rPr>
                <w:sz w:val="19"/>
              </w:rPr>
              <w:t>15,69,160</w:t>
            </w:r>
          </w:p>
        </w:tc>
        <w:tc>
          <w:tcPr>
            <w:tcW w:type="dxa" w:w="5080"/>
            <w:shd w:val="clear" w:color="auto" w:fill="FFFFFF"/>
          </w:tcPr>
          <w:p>
            <w:r/>
            <w:r>
              <w:rPr>
                <w:sz w:val="19"/>
              </w:rPr>
              <w:t>Design freeze, tooling and the first pilot sets</w:t>
            </w:r>
          </w:p>
        </w:tc>
      </w:tr>
      <w:tr>
        <w:tc>
          <w:tcPr>
            <w:tcW w:type="dxa" w:w="2200"/>
            <w:shd w:val="clear" w:color="auto" w:fill="FFFFFF"/>
          </w:tcPr>
          <w:p>
            <w:r/>
            <w:r>
              <w:rPr>
                <w:sz w:val="19"/>
              </w:rPr>
              <w:t>T0 + 6 months</w:t>
            </w:r>
          </w:p>
        </w:tc>
        <w:tc>
          <w:tcPr>
            <w:tcW w:type="dxa" w:w="1800"/>
            <w:shd w:val="clear" w:color="auto" w:fill="FFFFFF"/>
          </w:tcPr>
          <w:p>
            <w:pPr>
              <w:jc w:val="right"/>
            </w:pPr>
            <w:r/>
            <w:r>
              <w:rPr>
                <w:sz w:val="19"/>
              </w:rPr>
              <w:t>16,39,560</w:t>
            </w:r>
          </w:p>
        </w:tc>
        <w:tc>
          <w:tcPr>
            <w:tcW w:type="dxa" w:w="5080"/>
            <w:shd w:val="clear" w:color="auto" w:fill="FFFFFF"/>
          </w:tcPr>
          <w:p>
            <w:r/>
            <w:r>
              <w:rPr>
                <w:sz w:val="19"/>
              </w:rPr>
              <w:t>Pilot build, certification testing and field deployment</w:t>
            </w:r>
          </w:p>
        </w:tc>
      </w:tr>
      <w:tr>
        <w:tc>
          <w:tcPr>
            <w:tcW w:type="dxa" w:w="2200"/>
            <w:shd w:val="clear" w:color="auto" w:fill="FFFFFF"/>
          </w:tcPr>
          <w:p>
            <w:r/>
            <w:r>
              <w:rPr>
                <w:sz w:val="19"/>
              </w:rPr>
              <w:t>T0 + 12 months</w:t>
            </w:r>
          </w:p>
        </w:tc>
        <w:tc>
          <w:tcPr>
            <w:tcW w:type="dxa" w:w="1800"/>
            <w:shd w:val="clear" w:color="auto" w:fill="FFFFFF"/>
          </w:tcPr>
          <w:p>
            <w:pPr>
              <w:jc w:val="right"/>
            </w:pPr>
            <w:r/>
            <w:r>
              <w:rPr>
                <w:sz w:val="19"/>
              </w:rPr>
              <w:t>10,22,480</w:t>
            </w:r>
          </w:p>
        </w:tc>
        <w:tc>
          <w:tcPr>
            <w:tcW w:type="dxa" w:w="5080"/>
            <w:shd w:val="clear" w:color="auto" w:fill="FFFFFF"/>
          </w:tcPr>
          <w:p>
            <w:r/>
            <w:r>
              <w:rPr>
                <w:sz w:val="19"/>
              </w:rPr>
              <w:t>Validation close-out, IP filing and commercial launch</w:t>
            </w:r>
          </w:p>
        </w:tc>
      </w:tr>
      <w:tr>
        <w:tc>
          <w:tcPr>
            <w:tcW w:type="dxa" w:w="2200"/>
            <w:shd w:val="clear" w:color="auto" w:fill="FFFFFF"/>
          </w:tcPr>
          <w:p>
            <w:r/>
            <w:r>
              <w:rPr>
                <w:sz w:val="19"/>
              </w:rPr>
              <w:t>Total</w:t>
            </w:r>
          </w:p>
        </w:tc>
        <w:tc>
          <w:tcPr>
            <w:tcW w:type="dxa" w:w="1800"/>
            <w:shd w:val="clear" w:color="auto" w:fill="FFFFFF"/>
          </w:tcPr>
          <w:p>
            <w:pPr>
              <w:jc w:val="right"/>
            </w:pPr>
            <w:r/>
            <w:r>
              <w:rPr>
                <w:sz w:val="19"/>
              </w:rPr>
              <w:t>42,31,200</w:t>
            </w:r>
          </w:p>
        </w:tc>
        <w:tc>
          <w:tcPr>
            <w:tcW w:type="dxa" w:w="50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2"/>
        <w:keepNext/>
        <w:numPr>
          <w:ilvl w:val="0"/>
          <w:numId w:val="0"/>
        </w:numPr>
        <w:spacing w:before="200" w:after="120"/>
      </w:pPr>
      <w:r>
        <w:rPr>
          <w:b/>
          <w:color w:val="2E74B5"/>
          <w:sz w:val="25"/>
        </w:rPr>
        <w:t>3.8  Commercialisation plan</w:t>
      </w:r>
    </w:p>
    <w:p>
      <w:pPr>
        <w:spacing w:after="120"/>
      </w:pPr>
      <w:r>
        <w:rPr>
          <w:b w:val="0"/>
          <w:sz w:val="22"/>
        </w:rPr>
        <w:t>The buyer is the contractor or facility manager who already pays for cleaning. A household buys a clean, not a device, so the arm is sold to the contractor who visits the tank, and the monitor is sold to the institution that wants a reading between cleans.</w:t>
      </w:r>
    </w:p>
    <w:p>
      <w:pPr>
        <w:spacing w:after="120"/>
      </w:pPr>
      <w:r>
        <w:rPr>
          <w:b w:val="0"/>
          <w:sz w:val="22"/>
        </w:rPr>
        <w:t>Price targets: INR 39,999 for the complete system (M1, H1 and C1) against INR 15,600 of parts, a gross margin near 61 percent. The monitor and home unit alone sell at INR 16,999 for sites that do not need the arm.</w:t>
      </w:r>
    </w:p>
    <w:p>
      <w:pPr>
        <w:spacing w:after="120"/>
      </w:pPr>
      <w:r>
        <w:rPr>
          <w:b w:val="0"/>
          <w:sz w:val="22"/>
        </w:rPr>
        <w:t>Market base: 79 million urban households in the 2011 Census, of which about 60 percent are assumed to store water in a tank (47 million), plus 1.5 million schools and 70,000 hospitals. A tank clean sells for INR 1,500 to 4,000 in urban India, once or twice a year.</w:t>
      </w:r>
    </w:p>
    <w:p>
      <w:pPr>
        <w:spacing w:after="120"/>
      </w:pPr>
      <w:r>
        <w:rPr>
          <w:b w:val="0"/>
          <w:sz w:val="22"/>
        </w:rPr>
        <w:t>Route to revenue: three paying pilot sites in the grant year, converted to reference accounts; two channel partners in the following year, one in cleaning services and one in plumbing distribution; a target of 250 units in the first full year of sale.</w:t>
      </w:r>
    </w:p>
    <w:p>
      <w:pPr>
        <w:spacing w:after="120"/>
      </w:pPr>
      <w:r>
        <w:rPr>
          <w:b w:val="0"/>
          <w:sz w:val="22"/>
        </w:rPr>
        <w:t>The grant pays for the tooling, certification and pilot units that a first customer will not fund. Nuke Labs carries the channel, the service network and the field access.</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and H1) and ESP32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Patentability disclosure and the minimum bill of materials.</w:t>
      </w:r>
    </w:p>
    <w:p>
      <w:pPr>
        <w:spacing w:after="80"/>
        <w:ind w:left="280"/>
      </w:pPr>
      <w:r>
        <w:rPr>
          <w:b w:val="0"/>
          <w:sz w:val="22"/>
        </w:rPr>
        <w:t>Prototype spend to date: INR 23,587 in parts, with the monitor running at TRL 6.</w:t>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