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7vbu7kd76nh" w:id="0"/>
      <w:bookmarkEnd w:id="0"/>
      <w:r w:rsidDel="00000000" w:rsidR="00000000" w:rsidRPr="00000000">
        <w:rPr>
          <w:rtl w:val="0"/>
        </w:rPr>
        <w:t xml:space="preserve">Section 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3xw7vrpsp7j" w:id="1"/>
      <w:bookmarkEnd w:id="1"/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 D F A B J L M N K P Q E G C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3md8ei7ke7g" w:id="2"/>
      <w:bookmarkEnd w:id="2"/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6.5"/>
        <w:gridCol w:w="2636.5"/>
        <w:gridCol w:w="2636.5"/>
        <w:gridCol w:w="2636.5"/>
        <w:tblGridChange w:id="0">
          <w:tblGrid>
            <w:gridCol w:w="2636.5"/>
            <w:gridCol w:w="2636.5"/>
            <w:gridCol w:w="2636.5"/>
            <w:gridCol w:w="263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u0yixxqxtq7z" w:id="3"/>
      <w:bookmarkEnd w:id="3"/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axioms: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Holds (Colour(x, y), Result(Paint(x, y))) &lt;- Holds(Dry(x), 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680.3149606299213" w:left="680.3149606299213" w:right="680.314960629921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