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4FC4" w:rsidRDefault="00125061" w14:paraId="00000001" w14:textId="77777777">
      <w:pPr>
        <w:numPr>
          <w:ilvl w:val="0"/>
          <w:numId w:val="4"/>
        </w:numPr>
      </w:pPr>
      <w:r>
        <w:t xml:space="preserve"> </w:t>
      </w:r>
    </w:p>
    <w:p w:rsidR="00524FC4" w:rsidRDefault="00125061" w14:paraId="00000002" w14:textId="77777777">
      <w:pPr>
        <w:numPr>
          <w:ilvl w:val="1"/>
          <w:numId w:val="4"/>
        </w:numPr>
      </w:pPr>
      <w:r>
        <w:t xml:space="preserve"> </w:t>
      </w:r>
    </w:p>
    <w:p w:rsidR="00524FC4" w:rsidRDefault="00125061" w14:paraId="00000003" w14:textId="77777777">
      <w:pPr>
        <w:numPr>
          <w:ilvl w:val="2"/>
          <w:numId w:val="4"/>
        </w:numPr>
      </w:pPr>
      <w:r>
        <w:t>Lambda Terms defined by Definition 1.1 in notes. Beta Reduction defined by inference rules in section 1.2 of notes (Part of definition 1.4).</w:t>
      </w:r>
    </w:p>
    <w:p w:rsidR="00524FC4" w:rsidRDefault="00125061" w14:paraId="00000004" w14:textId="77777777">
      <w:pPr>
        <w:numPr>
          <w:ilvl w:val="2"/>
          <w:numId w:val="4"/>
        </w:numPr>
      </w:pPr>
      <w:r>
        <w:t>Curry Types are defined by Definition 2.1 i) in notes.</w:t>
      </w:r>
    </w:p>
    <w:p w:rsidR="00524FC4" w:rsidRDefault="00125061" w14:paraId="00000005" w14:textId="77777777">
      <w:pPr>
        <w:numPr>
          <w:ilvl w:val="2"/>
          <w:numId w:val="4"/>
        </w:numPr>
      </w:pPr>
      <w:r>
        <w:t>Curry Type Assignment is defined by the derivation rules in definition 2.2 i) in notes.</w:t>
      </w:r>
    </w:p>
    <w:p w:rsidR="00524FC4" w:rsidRDefault="00524FC4" w14:paraId="00000006" w14:textId="77777777">
      <w:pPr>
        <w:numPr>
          <w:ilvl w:val="1"/>
          <w:numId w:val="4"/>
        </w:numPr>
      </w:pPr>
    </w:p>
    <w:tbl>
      <w:tblPr>
        <w:tblW w:w="8400" w:type="dxa"/>
        <w:tblInd w:w="154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55"/>
        <w:gridCol w:w="2985"/>
        <w:gridCol w:w="3660"/>
      </w:tblGrid>
      <w:tr w:rsidR="00524FC4" w14:paraId="01B0AA3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07" w14:textId="77777777">
            <w:pPr>
              <w:widowControl w:val="0"/>
              <w:spacing w:line="240" w:lineRule="auto"/>
            </w:pPr>
            <w:r>
              <w:t>ppc x = (x:</w:t>
            </w:r>
            <w:r>
              <w:rPr>
                <w:color w:val="222222"/>
                <w:highlight w:val="white"/>
              </w:rPr>
              <w:t>φ</w:t>
            </w:r>
            <w:r>
              <w:t xml:space="preserve">, </w:t>
            </w:r>
            <w:r>
              <w:rPr>
                <w:color w:val="222222"/>
                <w:highlight w:val="white"/>
              </w:rPr>
              <w:t>φ</w:t>
            </w:r>
            <w:r>
              <w:t>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08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09" w14:textId="77777777">
            <w:pPr>
              <w:widowControl w:val="0"/>
              <w:spacing w:line="240" w:lineRule="auto"/>
            </w:pPr>
          </w:p>
        </w:tc>
      </w:tr>
      <w:tr w:rsidR="00524FC4" w14:paraId="728A018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0A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0B" w14:textId="77777777">
            <w:pPr>
              <w:widowControl w:val="0"/>
              <w:spacing w:line="240" w:lineRule="auto"/>
            </w:pPr>
            <w:r>
              <w:t xml:space="preserve">Where </w:t>
            </w:r>
            <w:r>
              <w:rPr>
                <w:color w:val="222222"/>
                <w:highlight w:val="white"/>
              </w:rPr>
              <w:t>φ</w:t>
            </w:r>
            <w:r>
              <w:t xml:space="preserve"> = newPhi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0C" w14:textId="77777777">
            <w:pPr>
              <w:widowControl w:val="0"/>
              <w:spacing w:line="240" w:lineRule="auto"/>
            </w:pPr>
          </w:p>
        </w:tc>
      </w:tr>
      <w:tr w:rsidR="00524FC4" w14:paraId="4D34D91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0D" w14:textId="77777777">
            <w:pPr>
              <w:widowControl w:val="0"/>
              <w:spacing w:line="240" w:lineRule="auto"/>
            </w:pPr>
            <w:r>
              <w:t xml:space="preserve">ppc </w:t>
            </w:r>
            <w:r>
              <w:rPr>
                <w:color w:val="222222"/>
                <w:highlight w:val="white"/>
              </w:rPr>
              <w:t>λx.M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0E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0F" w14:textId="77777777">
            <w:pPr>
              <w:widowControl w:val="0"/>
              <w:spacing w:line="240" w:lineRule="auto"/>
            </w:pPr>
          </w:p>
        </w:tc>
      </w:tr>
      <w:tr w:rsidR="00524FC4" w14:paraId="5115901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0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11" w14:textId="77777777">
            <w:pPr>
              <w:widowControl w:val="0"/>
              <w:spacing w:line="240" w:lineRule="auto"/>
            </w:pPr>
            <w:r>
              <w:t>|</w:t>
            </w: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π == π’,x:A = (π’, A→P)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2" w14:textId="77777777">
            <w:pPr>
              <w:widowControl w:val="0"/>
              <w:spacing w:line="240" w:lineRule="auto"/>
            </w:pPr>
          </w:p>
        </w:tc>
      </w:tr>
      <w:tr w:rsidR="00524FC4" w14:paraId="2284691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3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14" w14:textId="77777777">
            <w:pPr>
              <w:widowControl w:val="0"/>
              <w:spacing w:line="240" w:lineRule="auto"/>
            </w:pPr>
            <w:r>
              <w:t>|otherwise = (</w:t>
            </w: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π, φ→P)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5" w14:textId="77777777">
            <w:pPr>
              <w:widowControl w:val="0"/>
              <w:spacing w:line="240" w:lineRule="auto"/>
            </w:pPr>
          </w:p>
        </w:tc>
      </w:tr>
      <w:tr w:rsidR="00524FC4" w14:paraId="0190B0A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6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7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18" w14:textId="77777777">
            <w:pPr>
              <w:widowControl w:val="0"/>
              <w:spacing w:line="240" w:lineRule="auto"/>
            </w:pPr>
            <w:r>
              <w:t>Where (</w:t>
            </w:r>
            <w:r>
              <w:rPr>
                <w:color w:val="222222"/>
                <w:highlight w:val="white"/>
              </w:rPr>
              <w:t>π, P) = ppc M</w:t>
            </w:r>
          </w:p>
        </w:tc>
      </w:tr>
      <w:tr w:rsidR="00524FC4" w14:paraId="72AD2AE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9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A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1B" w14:textId="77777777">
            <w:pPr>
              <w:widowControl w:val="0"/>
              <w:spacing w:line="240" w:lineRule="auto"/>
            </w:pPr>
            <w:r>
              <w:t xml:space="preserve">            </w:t>
            </w:r>
            <w:r>
              <w:rPr>
                <w:color w:val="222222"/>
                <w:highlight w:val="white"/>
              </w:rPr>
              <w:t>φ</w:t>
            </w:r>
            <w:r>
              <w:t xml:space="preserve"> = newPhi</w:t>
            </w:r>
          </w:p>
        </w:tc>
      </w:tr>
      <w:tr w:rsidR="00524FC4" w14:paraId="2109CE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1C" w14:textId="77777777">
            <w:pPr>
              <w:widowControl w:val="0"/>
              <w:spacing w:line="240" w:lineRule="auto"/>
            </w:pPr>
            <w:r>
              <w:t>Ppc MN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1D" w14:textId="77777777">
            <w:pPr>
              <w:widowControl w:val="0"/>
              <w:spacing w:line="240" w:lineRule="auto"/>
            </w:pPr>
            <w:r>
              <w:t>applySub S</w:t>
            </w:r>
            <w:r>
              <w:rPr>
                <w:vertAlign w:val="subscript"/>
              </w:rPr>
              <w:t>2</w:t>
            </w:r>
            <w:r>
              <w:t xml:space="preserve"> (applySub S</w:t>
            </w:r>
            <w:r>
              <w:rPr>
                <w:vertAlign w:val="subscript"/>
              </w:rPr>
              <w:t xml:space="preserve">1 </w:t>
            </w:r>
            <w:r>
              <w:t xml:space="preserve">(contextUnion </w:t>
            </w:r>
            <w:r>
              <w:rPr>
                <w:color w:val="222222"/>
                <w:highlight w:val="white"/>
              </w:rPr>
              <w:t>π</w:t>
            </w:r>
            <w:r>
              <w:rPr>
                <w:color w:val="222222"/>
                <w:highlight w:val="white"/>
                <w:vertAlign w:val="subscript"/>
              </w:rPr>
              <w:t xml:space="preserve">1 </w:t>
            </w:r>
            <w:r>
              <w:rPr>
                <w:color w:val="222222"/>
                <w:highlight w:val="white"/>
              </w:rPr>
              <w:t>π</w:t>
            </w:r>
            <w:r>
              <w:rPr>
                <w:color w:val="222222"/>
                <w:highlight w:val="white"/>
                <w:vertAlign w:val="subscript"/>
              </w:rPr>
              <w:t>2</w:t>
            </w:r>
            <w:r>
              <w:rPr>
                <w:color w:val="222222"/>
                <w:highlight w:val="white"/>
              </w:rPr>
              <w:t>, φ</w:t>
            </w:r>
            <w:r>
              <w:t>))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E" w14:textId="77777777">
            <w:pPr>
              <w:widowControl w:val="0"/>
              <w:spacing w:line="240" w:lineRule="auto"/>
            </w:pPr>
          </w:p>
        </w:tc>
      </w:tr>
      <w:tr w:rsidR="00524FC4" w14:paraId="0352DB6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1F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0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21" w14:textId="77777777">
            <w:pPr>
              <w:widowControl w:val="0"/>
              <w:spacing w:line="240" w:lineRule="auto"/>
            </w:pPr>
            <w:r>
              <w:t>Where (</w:t>
            </w:r>
            <w:r>
              <w:rPr>
                <w:color w:val="222222"/>
                <w:highlight w:val="white"/>
              </w:rPr>
              <w:t>π</w:t>
            </w:r>
            <w:r>
              <w:rPr>
                <w:color w:val="222222"/>
                <w:highlight w:val="white"/>
                <w:vertAlign w:val="subscript"/>
              </w:rPr>
              <w:t>1</w:t>
            </w:r>
            <w:r>
              <w:rPr>
                <w:color w:val="222222"/>
                <w:highlight w:val="white"/>
              </w:rPr>
              <w:t>, P</w:t>
            </w:r>
            <w:r>
              <w:rPr>
                <w:color w:val="222222"/>
                <w:highlight w:val="white"/>
                <w:vertAlign w:val="subscript"/>
              </w:rPr>
              <w:t>1</w:t>
            </w:r>
            <w:r>
              <w:rPr>
                <w:color w:val="222222"/>
                <w:highlight w:val="white"/>
              </w:rPr>
              <w:t>) = ppc M</w:t>
            </w:r>
          </w:p>
        </w:tc>
      </w:tr>
      <w:tr w:rsidR="00524FC4" w14:paraId="745D21E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2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3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24" w14:textId="77777777">
            <w:pPr>
              <w:widowControl w:val="0"/>
              <w:spacing w:line="240" w:lineRule="auto"/>
            </w:pPr>
            <w:r>
              <w:t xml:space="preserve">            (</w:t>
            </w:r>
            <w:r>
              <w:rPr>
                <w:color w:val="222222"/>
                <w:highlight w:val="white"/>
              </w:rPr>
              <w:t>π</w:t>
            </w:r>
            <w:r>
              <w:rPr>
                <w:color w:val="222222"/>
                <w:highlight w:val="white"/>
                <w:vertAlign w:val="subscript"/>
              </w:rPr>
              <w:t>2</w:t>
            </w:r>
            <w:r>
              <w:rPr>
                <w:color w:val="222222"/>
                <w:highlight w:val="white"/>
              </w:rPr>
              <w:t>, P</w:t>
            </w:r>
            <w:r>
              <w:rPr>
                <w:color w:val="222222"/>
                <w:highlight w:val="white"/>
                <w:vertAlign w:val="subscript"/>
              </w:rPr>
              <w:t>2</w:t>
            </w:r>
            <w:r>
              <w:rPr>
                <w:color w:val="222222"/>
                <w:highlight w:val="white"/>
              </w:rPr>
              <w:t>) = ppc N</w:t>
            </w:r>
          </w:p>
        </w:tc>
      </w:tr>
      <w:tr w:rsidR="00524FC4" w14:paraId="26524E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5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6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27" w14:textId="77777777">
            <w:pPr>
              <w:widowControl w:val="0"/>
              <w:spacing w:line="240" w:lineRule="auto"/>
            </w:pPr>
            <w:r>
              <w:t xml:space="preserve">            S</w:t>
            </w:r>
            <w:r>
              <w:rPr>
                <w:vertAlign w:val="subscript"/>
              </w:rPr>
              <w:t>1</w:t>
            </w:r>
            <w:r>
              <w:t xml:space="preserve"> = unify P</w:t>
            </w:r>
            <w:r>
              <w:rPr>
                <w:vertAlign w:val="subscript"/>
              </w:rPr>
              <w:t>1</w:t>
            </w:r>
            <w:r>
              <w:t xml:space="preserve"> P</w:t>
            </w:r>
            <w:r>
              <w:rPr>
                <w:vertAlign w:val="subscript"/>
              </w:rPr>
              <w:t>2</w:t>
            </w: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→φ</w:t>
            </w:r>
          </w:p>
        </w:tc>
      </w:tr>
      <w:tr w:rsidR="00524FC4" w14:paraId="6AE7021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8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9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2A" w14:textId="77777777">
            <w:pPr>
              <w:widowControl w:val="0"/>
              <w:spacing w:line="240" w:lineRule="auto"/>
            </w:pPr>
            <w:r>
              <w:t xml:space="preserve">            S</w:t>
            </w:r>
            <w:r>
              <w:rPr>
                <w:vertAlign w:val="subscript"/>
              </w:rPr>
              <w:t>2</w:t>
            </w:r>
            <w:r>
              <w:t xml:space="preserve"> = unifyContexts (applySub S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color w:val="222222"/>
                <w:highlight w:val="white"/>
              </w:rPr>
              <w:t>π</w:t>
            </w:r>
            <w:r>
              <w:rPr>
                <w:color w:val="222222"/>
                <w:highlight w:val="white"/>
                <w:vertAlign w:val="subscript"/>
              </w:rPr>
              <w:t>1</w:t>
            </w:r>
            <w:r>
              <w:t>) (applySub S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color w:val="222222"/>
                <w:highlight w:val="white"/>
              </w:rPr>
              <w:t>π</w:t>
            </w:r>
            <w:r>
              <w:rPr>
                <w:color w:val="222222"/>
                <w:highlight w:val="white"/>
                <w:vertAlign w:val="subscript"/>
              </w:rPr>
              <w:t>2</w:t>
            </w:r>
            <w:r>
              <w:t>)</w:t>
            </w:r>
          </w:p>
        </w:tc>
      </w:tr>
      <w:tr w:rsidR="00524FC4" w14:paraId="4579389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B" w14:textId="77777777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2C" w14:textId="77777777">
            <w:pPr>
              <w:widowControl w:val="0"/>
              <w:spacing w:line="240" w:lineRule="auto"/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2D" w14:textId="77777777">
            <w:pPr>
              <w:widowControl w:val="0"/>
              <w:spacing w:line="240" w:lineRule="auto"/>
            </w:pPr>
            <w:r>
              <w:t xml:space="preserve">            </w:t>
            </w:r>
            <w:r>
              <w:rPr>
                <w:color w:val="222222"/>
                <w:highlight w:val="white"/>
              </w:rPr>
              <w:t>φ</w:t>
            </w:r>
            <w:r>
              <w:t xml:space="preserve"> = newPhi</w:t>
            </w:r>
          </w:p>
        </w:tc>
      </w:tr>
    </w:tbl>
    <w:p w:rsidR="00524FC4" w:rsidRDefault="00125061" w14:paraId="0000002E" w14:textId="77777777">
      <w:pPr>
        <w:numPr>
          <w:ilvl w:val="1"/>
          <w:numId w:val="4"/>
        </w:numPr>
      </w:pPr>
      <w:r>
        <w:t xml:space="preserve"> </w:t>
      </w:r>
    </w:p>
    <w:p w:rsidR="00524FC4" w:rsidRDefault="00125061" w14:paraId="0000002F" w14:textId="77777777">
      <w:pPr>
        <w:numPr>
          <w:ilvl w:val="2"/>
          <w:numId w:val="4"/>
        </w:numPr>
      </w:pPr>
      <w:r>
        <w:t xml:space="preserve"> </w:t>
      </w:r>
    </w:p>
    <w:p w:rsidR="00524FC4" w:rsidRDefault="00125061" w14:paraId="00000030" w14:textId="77777777">
      <w:pPr>
        <w:numPr>
          <w:ilvl w:val="3"/>
          <w:numId w:val="4"/>
        </w:numPr>
      </w:pPr>
      <w:r>
        <w:t>(1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→2→3) → (1 →2) →1 →3</w:t>
      </w:r>
    </w:p>
    <w:p w:rsidR="00524FC4" w:rsidRDefault="00125061" w14:paraId="00000031" w14:textId="77777777">
      <w:pPr>
        <w:numPr>
          <w:ilvl w:val="3"/>
          <w:numId w:val="4"/>
        </w:num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1→2→1</w:t>
      </w:r>
    </w:p>
    <w:p w:rsidR="00524FC4" w:rsidRDefault="00125061" w14:paraId="00000032" w14:textId="77777777">
      <w:pPr>
        <w:numPr>
          <w:ilvl w:val="3"/>
          <w:numId w:val="4"/>
        </w:numPr>
        <w:rPr>
          <w:color w:val="222222"/>
          <w:highlight w:val="white"/>
        </w:rPr>
      </w:pPr>
      <w:r>
        <w:rPr>
          <w:color w:val="222222"/>
          <w:highlight w:val="white"/>
        </w:rPr>
        <w:t>(1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→2)→1→2</w:t>
      </w:r>
    </w:p>
    <w:p w:rsidR="00524FC4" w:rsidRDefault="00125061" w14:paraId="00000033" w14:textId="77777777">
      <w:pPr>
        <w:numPr>
          <w:ilvl w:val="3"/>
          <w:numId w:val="4"/>
        </w:num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1→1</w:t>
      </w:r>
    </w:p>
    <w:p w:rsidR="00524FC4" w:rsidRDefault="00125061" w14:paraId="00000034" w14:textId="77777777">
      <w:pPr>
        <w:numPr>
          <w:ilvl w:val="2"/>
          <w:numId w:val="4"/>
        </w:numPr>
        <w:rPr>
          <w:color w:val="222222"/>
          <w:highlight w:val="white"/>
        </w:rPr>
      </w:pPr>
      <w:r>
        <w:rPr>
          <w:color w:val="222222"/>
          <w:highlight w:val="white"/>
        </w:rPr>
        <w:t>For (λxyz.xz(yz))(λxy.x)(λx.x):</w:t>
      </w:r>
    </w:p>
    <w:p w:rsidR="00524FC4" w:rsidRDefault="00524FC4" w14:paraId="00000035" w14:textId="77777777">
      <w:pPr>
        <w:ind w:left="2160"/>
        <w:rPr>
          <w:color w:val="222222"/>
          <w:highlight w:val="white"/>
        </w:rPr>
      </w:pPr>
    </w:p>
    <w:tbl>
      <w:tblPr>
        <w:tblW w:w="7200" w:type="dxa"/>
        <w:tblInd w:w="2260" w:type="dxa"/>
        <w:tblBorders>
          <w:top w:val="single" w:color="EFEFEF" w:sz="8" w:space="0"/>
          <w:left w:val="single" w:color="EFEFEF" w:sz="8" w:space="0"/>
          <w:bottom w:val="single" w:color="EFEFEF" w:sz="8" w:space="0"/>
          <w:right w:val="single" w:color="EFEFEF" w:sz="8" w:space="0"/>
          <w:insideH w:val="single" w:color="EFEFEF" w:sz="8" w:space="0"/>
          <w:insideV w:val="single" w:color="EFEFE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00"/>
        <w:gridCol w:w="3000"/>
        <w:gridCol w:w="1800"/>
      </w:tblGrid>
      <w:tr w:rsidR="00524FC4" w:rsidTr="63679285" w14:paraId="54341CE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commentRangeStart w:id="0"/>
            <w:commentRangeStart w:id="1"/>
            <w:commentRangeStart w:id="2"/>
            <w:r w:rsidRPr="63679285">
              <w:rPr>
                <w:color w:val="222222"/>
                <w:highlight w:val="white"/>
              </w:rPr>
              <w:t>Unify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  <w:r w:rsidRPr="63679285"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 xml:space="preserve"> 1→2→3  1</w:t>
            </w:r>
            <w:commentRangeStart w:id="3"/>
            <w:commentRangeStart w:id="4"/>
            <w:commentRangeStart w:id="5"/>
            <w:r w:rsidRPr="63679285"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→2→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  <w:r w:rsidRPr="63679285">
              <w:rPr>
                <w:color w:val="222222"/>
                <w:highlight w:val="white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= S</w:t>
            </w:r>
            <w:r>
              <w:rPr>
                <w:color w:val="222222"/>
                <w:highlight w:val="white"/>
                <w:vertAlign w:val="subscript"/>
              </w:rPr>
              <w:t>2</w:t>
            </w:r>
            <w:r>
              <w:rPr>
                <w:rFonts w:ascii="Arial Unicode MS" w:hAnsi="Arial Unicode MS" w:eastAsia="Arial Unicode MS" w:cs="Arial Unicode MS"/>
                <w:color w:val="222222"/>
                <w:sz w:val="24"/>
                <w:szCs w:val="24"/>
                <w:highlight w:val="white"/>
              </w:rPr>
              <w:t>∘S</w:t>
            </w:r>
            <w:r>
              <w:rPr>
                <w:color w:val="222222"/>
                <w:sz w:val="24"/>
                <w:szCs w:val="24"/>
                <w:highlight w:val="white"/>
                <w:vertAlign w:val="subscript"/>
              </w:rPr>
              <w:t>1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524FC4" w:rsidTr="63679285" w14:paraId="5A0EEF2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 xml:space="preserve">1 </w:t>
            </w:r>
            <w:r>
              <w:rPr>
                <w:color w:val="222222"/>
                <w:highlight w:val="white"/>
              </w:rPr>
              <w:t>=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Unify 2→3 2→1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  <w:vertAlign w:val="subscript"/>
              </w:rPr>
            </w:pPr>
            <w:r>
              <w:rPr>
                <w:color w:val="222222"/>
                <w:highlight w:val="white"/>
              </w:rPr>
              <w:t>= S</w:t>
            </w:r>
            <w:r>
              <w:rPr>
                <w:color w:val="222222"/>
                <w:highlight w:val="white"/>
                <w:vertAlign w:val="subscript"/>
              </w:rPr>
              <w:t>4</w:t>
            </w:r>
            <w:r>
              <w:rPr>
                <w:rFonts w:ascii="Arial Unicode MS" w:hAnsi="Arial Unicode MS" w:eastAsia="Arial Unicode MS" w:cs="Arial Unicode MS"/>
                <w:color w:val="222222"/>
                <w:sz w:val="24"/>
                <w:szCs w:val="24"/>
                <w:highlight w:val="white"/>
              </w:rPr>
              <w:t>∘S</w:t>
            </w:r>
            <w:r>
              <w:rPr>
                <w:color w:val="222222"/>
                <w:highlight w:val="white"/>
                <w:vertAlign w:val="subscript"/>
              </w:rPr>
              <w:t>3</w:t>
            </w:r>
          </w:p>
        </w:tc>
      </w:tr>
      <w:tr w:rsidR="00524FC4" w:rsidTr="63679285" w14:paraId="5843E25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>3</w:t>
            </w:r>
            <w:r>
              <w:rPr>
                <w:color w:val="222222"/>
                <w:highlight w:val="white"/>
              </w:rPr>
              <w:t xml:space="preserve"> =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Unify 3 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= 3 </w:t>
            </w: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↦</w:t>
            </w:r>
            <w:r>
              <w:rPr>
                <w:color w:val="222222"/>
                <w:highlight w:val="white"/>
              </w:rPr>
              <w:t xml:space="preserve"> 1</w:t>
            </w:r>
          </w:p>
        </w:tc>
      </w:tr>
      <w:tr w:rsidR="00524FC4" w:rsidTr="63679285" w14:paraId="0E49FF79" w14:textId="77777777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>4</w:t>
            </w:r>
            <w:r>
              <w:rPr>
                <w:color w:val="222222"/>
                <w:highlight w:val="white"/>
              </w:rPr>
              <w:t xml:space="preserve"> =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Unify S</w:t>
            </w:r>
            <w:r>
              <w:rPr>
                <w:color w:val="222222"/>
                <w:highlight w:val="white"/>
                <w:vertAlign w:val="subscript"/>
              </w:rPr>
              <w:t>3</w:t>
            </w:r>
            <w:r>
              <w:rPr>
                <w:color w:val="222222"/>
                <w:highlight w:val="white"/>
              </w:rPr>
              <w:t>2 S</w:t>
            </w:r>
            <w:r>
              <w:rPr>
                <w:color w:val="222222"/>
                <w:highlight w:val="white"/>
                <w:vertAlign w:val="subscript"/>
              </w:rPr>
              <w:t>3</w:t>
            </w:r>
            <w:r>
              <w:rPr>
                <w:color w:val="222222"/>
                <w:highlight w:val="white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highlight w:val="white"/>
              </w:rPr>
              <w:t xml:space="preserve">= 2 </w:t>
            </w:r>
            <w:r>
              <w:rPr>
                <w:rFonts w:ascii="Arial Unicode MS" w:hAnsi="Arial Unicode MS" w:eastAsia="Arial Unicode MS" w:cs="Arial Unicode MS"/>
              </w:rPr>
              <w:t>↦5</w:t>
            </w:r>
          </w:p>
        </w:tc>
      </w:tr>
      <w:tr w:rsidR="00524FC4" w:rsidTr="63679285" w14:paraId="7B16CB1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>2</w:t>
            </w:r>
            <w:r>
              <w:rPr>
                <w:color w:val="222222"/>
                <w:highlight w:val="white"/>
              </w:rPr>
              <w:t xml:space="preserve"> =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Unify S</w:t>
            </w:r>
            <w:r>
              <w:rPr>
                <w:color w:val="222222"/>
                <w:highlight w:val="white"/>
                <w:vertAlign w:val="subscript"/>
              </w:rPr>
              <w:t>1</w:t>
            </w:r>
            <w:r>
              <w:rPr>
                <w:color w:val="222222"/>
                <w:highlight w:val="white"/>
              </w:rPr>
              <w:t>1 S</w:t>
            </w:r>
            <w:r>
              <w:rPr>
                <w:color w:val="222222"/>
                <w:highlight w:val="white"/>
                <w:vertAlign w:val="subscript"/>
              </w:rPr>
              <w:t>1</w:t>
            </w:r>
            <w:r>
              <w:rPr>
                <w:color w:val="222222"/>
                <w:highlight w:val="white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= 1↦4</w:t>
            </w:r>
          </w:p>
        </w:tc>
      </w:tr>
      <w:tr w:rsidR="00524FC4" w:rsidTr="63679285" w14:paraId="5744FFA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Unify 1→2 6→6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  <w:vertAlign w:val="subscript"/>
              </w:rPr>
            </w:pPr>
            <w:r>
              <w:rPr>
                <w:color w:val="222222"/>
                <w:highlight w:val="white"/>
              </w:rPr>
              <w:t>= S</w:t>
            </w:r>
            <w:r>
              <w:rPr>
                <w:color w:val="222222"/>
                <w:highlight w:val="white"/>
                <w:vertAlign w:val="subscript"/>
              </w:rPr>
              <w:t>6</w:t>
            </w:r>
            <w:r>
              <w:rPr>
                <w:rFonts w:ascii="Arial Unicode MS" w:hAnsi="Arial Unicode MS" w:eastAsia="Arial Unicode MS" w:cs="Arial Unicode MS"/>
                <w:color w:val="222222"/>
                <w:sz w:val="24"/>
                <w:szCs w:val="24"/>
                <w:highlight w:val="white"/>
              </w:rPr>
              <w:t>∘</w:t>
            </w: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>5</w:t>
            </w:r>
          </w:p>
        </w:tc>
      </w:tr>
      <w:tr w:rsidR="00524FC4" w:rsidTr="63679285" w14:paraId="608C4F2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>5</w:t>
            </w:r>
            <w:r>
              <w:rPr>
                <w:color w:val="222222"/>
                <w:highlight w:val="white"/>
              </w:rPr>
              <w:t xml:space="preserve"> =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Unify 2 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highlight w:val="white"/>
              </w:rPr>
              <w:t>= 2</w:t>
            </w:r>
            <w:r>
              <w:rPr>
                <w:rFonts w:ascii="Arial Unicode MS" w:hAnsi="Arial Unicode MS" w:eastAsia="Arial Unicode MS" w:cs="Arial Unicode MS"/>
              </w:rPr>
              <w:t>↦</w:t>
            </w:r>
            <w:r>
              <w:rPr>
                <w:color w:val="222222"/>
                <w:highlight w:val="white"/>
              </w:rPr>
              <w:t xml:space="preserve"> 6</w:t>
            </w:r>
          </w:p>
        </w:tc>
      </w:tr>
      <w:tr w:rsidR="00524FC4" w:rsidTr="63679285" w14:paraId="1016ED3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 xml:space="preserve">6 </w:t>
            </w:r>
            <w:r>
              <w:rPr>
                <w:color w:val="222222"/>
                <w:highlight w:val="white"/>
              </w:rPr>
              <w:t>=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Unify S</w:t>
            </w:r>
            <w:r>
              <w:rPr>
                <w:color w:val="222222"/>
                <w:highlight w:val="white"/>
                <w:vertAlign w:val="subscript"/>
              </w:rPr>
              <w:t>5</w:t>
            </w:r>
            <w:r>
              <w:rPr>
                <w:color w:val="222222"/>
                <w:highlight w:val="white"/>
              </w:rPr>
              <w:t>1 S</w:t>
            </w:r>
            <w:r>
              <w:rPr>
                <w:color w:val="222222"/>
                <w:highlight w:val="white"/>
                <w:vertAlign w:val="subscript"/>
              </w:rPr>
              <w:t>5</w:t>
            </w:r>
            <w:r>
              <w:rPr>
                <w:color w:val="222222"/>
                <w:highlight w:val="white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highlight w:val="white"/>
              </w:rPr>
              <w:t>= 1</w:t>
            </w:r>
            <w:r>
              <w:rPr>
                <w:rFonts w:ascii="Arial Unicode MS" w:hAnsi="Arial Unicode MS" w:eastAsia="Arial Unicode MS" w:cs="Arial Unicode MS"/>
              </w:rPr>
              <w:t>↦</w:t>
            </w:r>
            <w:r>
              <w:rPr>
                <w:color w:val="222222"/>
                <w:highlight w:val="white"/>
              </w:rPr>
              <w:t>6</w:t>
            </w:r>
          </w:p>
        </w:tc>
      </w:tr>
    </w:tbl>
    <w:p w:rsidR="00524FC4" w:rsidRDefault="00524FC4" w14:paraId="0000004E" w14:textId="77777777">
      <w:pPr>
        <w:ind w:left="2160"/>
        <w:rPr>
          <w:color w:val="222222"/>
          <w:highlight w:val="white"/>
        </w:rPr>
      </w:pPr>
    </w:p>
    <w:p w:rsidR="00524FC4" w:rsidRDefault="00125061" w14:paraId="0000004F" w14:textId="77777777">
      <w:pPr>
        <w:ind w:left="2160"/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And therefore (λxyz.xz(yz))(λxy.x)(λx.x): 1→1</w:t>
      </w:r>
    </w:p>
    <w:p w:rsidR="00524FC4" w:rsidRDefault="00524FC4" w14:paraId="00000050" w14:textId="77777777">
      <w:pPr>
        <w:ind w:left="2160"/>
        <w:rPr>
          <w:color w:val="222222"/>
          <w:highlight w:val="white"/>
        </w:rPr>
      </w:pPr>
    </w:p>
    <w:p w:rsidR="00524FC4" w:rsidRDefault="00125061" w14:paraId="00000051" w14:textId="77777777">
      <w:pPr>
        <w:ind w:left="2160"/>
        <w:rPr>
          <w:color w:val="222222"/>
          <w:highlight w:val="white"/>
        </w:rPr>
      </w:pPr>
      <w:r>
        <w:rPr>
          <w:color w:val="222222"/>
          <w:highlight w:val="white"/>
        </w:rPr>
        <w:t>For (λxy.xy)(λx.x):</w:t>
      </w:r>
    </w:p>
    <w:p w:rsidR="00524FC4" w:rsidRDefault="00524FC4" w14:paraId="00000052" w14:textId="77777777">
      <w:pPr>
        <w:ind w:left="2160"/>
        <w:rPr>
          <w:color w:val="222222"/>
          <w:highlight w:val="white"/>
        </w:rPr>
      </w:pPr>
    </w:p>
    <w:p w:rsidR="00524FC4" w:rsidRDefault="00524FC4" w14:paraId="00000053" w14:textId="77777777">
      <w:pPr>
        <w:ind w:left="2160"/>
        <w:rPr>
          <w:color w:val="222222"/>
          <w:highlight w:val="white"/>
        </w:rPr>
      </w:pPr>
    </w:p>
    <w:tbl>
      <w:tblPr>
        <w:tblW w:w="7200" w:type="dxa"/>
        <w:tblInd w:w="2260" w:type="dxa"/>
        <w:tblBorders>
          <w:top w:val="single" w:color="EFEFEF" w:sz="8" w:space="0"/>
          <w:left w:val="single" w:color="EFEFEF" w:sz="8" w:space="0"/>
          <w:bottom w:val="single" w:color="EFEFEF" w:sz="8" w:space="0"/>
          <w:right w:val="single" w:color="EFEFEF" w:sz="8" w:space="0"/>
          <w:insideH w:val="single" w:color="EFEFEF" w:sz="8" w:space="0"/>
          <w:insideV w:val="single" w:color="EFEFE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00"/>
        <w:gridCol w:w="2400"/>
        <w:gridCol w:w="2400"/>
      </w:tblGrid>
      <w:tr w:rsidR="00524FC4" w14:paraId="20EB62C6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524FC4" w14:paraId="000000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Unify 1→2 1→1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= S</w:t>
            </w:r>
            <w:r>
              <w:rPr>
                <w:color w:val="222222"/>
                <w:highlight w:val="white"/>
                <w:vertAlign w:val="subscript"/>
              </w:rPr>
              <w:t>8</w:t>
            </w:r>
            <w:r>
              <w:rPr>
                <w:rFonts w:ascii="Arial Unicode MS" w:hAnsi="Arial Unicode MS" w:eastAsia="Arial Unicode MS" w:cs="Arial Unicode MS"/>
                <w:color w:val="222222"/>
                <w:sz w:val="24"/>
                <w:szCs w:val="24"/>
                <w:highlight w:val="white"/>
              </w:rPr>
              <w:t>∘</w:t>
            </w: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>7</w:t>
            </w:r>
          </w:p>
        </w:tc>
      </w:tr>
      <w:tr w:rsidR="00524FC4" w14:paraId="799BE50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 xml:space="preserve">7 </w:t>
            </w:r>
            <w:r>
              <w:rPr>
                <w:color w:val="222222"/>
                <w:highlight w:val="white"/>
              </w:rPr>
              <w:t xml:space="preserve">=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Unify 2 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= 2↦1</w:t>
            </w:r>
          </w:p>
        </w:tc>
      </w:tr>
      <w:tr w:rsidR="00524FC4" w14:paraId="5D86F9F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  <w:r>
              <w:rPr>
                <w:color w:val="222222"/>
                <w:highlight w:val="white"/>
                <w:vertAlign w:val="subscript"/>
              </w:rPr>
              <w:t>8</w:t>
            </w:r>
            <w:r>
              <w:rPr>
                <w:color w:val="222222"/>
                <w:highlight w:val="white"/>
              </w:rPr>
              <w:t xml:space="preserve"> =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Unify S</w:t>
            </w:r>
            <w:r>
              <w:rPr>
                <w:color w:val="222222"/>
                <w:highlight w:val="white"/>
                <w:vertAlign w:val="subscript"/>
              </w:rPr>
              <w:t>7</w:t>
            </w:r>
            <w:r>
              <w:rPr>
                <w:color w:val="222222"/>
                <w:highlight w:val="white"/>
              </w:rPr>
              <w:t>1 S</w:t>
            </w:r>
            <w:r>
              <w:rPr>
                <w:color w:val="222222"/>
                <w:highlight w:val="white"/>
                <w:vertAlign w:val="subscript"/>
              </w:rPr>
              <w:t>7</w:t>
            </w:r>
            <w:r>
              <w:rPr>
                <w:color w:val="222222"/>
                <w:highlight w:val="white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FC4" w:rsidRDefault="00125061" w14:paraId="000000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  <w:r>
              <w:rPr>
                <w:rFonts w:ascii="Arial Unicode MS" w:hAnsi="Arial Unicode MS" w:eastAsia="Arial Unicode MS" w:cs="Arial Unicode MS"/>
                <w:color w:val="222222"/>
                <w:highlight w:val="white"/>
              </w:rPr>
              <w:t>= 1↦1</w:t>
            </w:r>
          </w:p>
        </w:tc>
      </w:tr>
    </w:tbl>
    <w:p w:rsidR="00524FC4" w:rsidRDefault="00524FC4" w14:paraId="0000005D" w14:textId="77777777">
      <w:pPr>
        <w:ind w:left="2160"/>
        <w:rPr>
          <w:color w:val="222222"/>
          <w:highlight w:val="white"/>
        </w:rPr>
      </w:pPr>
    </w:p>
    <w:p w:rsidR="00524FC4" w:rsidRDefault="00125061" w14:paraId="0000005E" w14:textId="77777777">
      <w:pPr>
        <w:rPr>
          <w:color w:val="222222"/>
          <w:highlight w:val="white"/>
        </w:rPr>
      </w:pPr>
      <w:r>
        <w:tab/>
      </w:r>
      <w:r>
        <w:tab/>
      </w:r>
      <w:r>
        <w:tab/>
      </w:r>
      <w:r>
        <w:t xml:space="preserve">And therefore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(λxy.xy)(λx.x): 1→1</w:t>
      </w:r>
    </w:p>
    <w:p w:rsidR="00524FC4" w:rsidRDefault="00125061" w14:paraId="0000005F" w14:textId="77777777">
      <w:pPr>
        <w:ind w:left="1440"/>
        <w:rPr>
          <w:b/>
          <w:color w:val="222222"/>
          <w:highlight w:val="white"/>
        </w:rPr>
      </w:pPr>
      <w:r>
        <w:rPr>
          <w:color w:val="222222"/>
          <w:highlight w:val="white"/>
        </w:rPr>
        <w:t xml:space="preserve">iii) </w:t>
      </w:r>
    </w:p>
    <w:p w:rsidR="00524FC4" w:rsidRDefault="00125061" w14:paraId="00000060" w14:textId="77777777">
      <w:pPr>
        <w:numPr>
          <w:ilvl w:val="2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We can conclude that the set of types assignable to both terms are equal and equal to the set of types assignable to the identity.</w:t>
      </w:r>
    </w:p>
    <w:p w:rsidR="00524FC4" w:rsidRDefault="00125061" w14:paraId="00000061" w14:textId="77777777">
      <w:pPr>
        <w:ind w:left="1440"/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d) </w:t>
      </w:r>
      <w:commentRangeStart w:id="6"/>
      <w:commentRangeStart w:id="7"/>
      <w:commentRangeStart w:id="8"/>
      <w:commentRangeStart w:id="9"/>
      <w:r>
        <w:rPr>
          <w:rFonts w:ascii="Arial Unicode MS" w:hAnsi="Arial Unicode MS" w:eastAsia="Arial Unicode MS" w:cs="Arial Unicode MS"/>
          <w:color w:val="222222"/>
          <w:highlight w:val="white"/>
        </w:rPr>
        <w:t>Take  (λpqr.pq(qr)): (1→2→3)→(1→2)→1→3, (λxyz.xz(yz)): (4→5→6)→(4→5)→4→6, (λcd.cd): (7→8) → 7 → 8, (λe.e): 9→9. An attempt to type this will eventually result in an attempt to unify (4→5) to (4→5→6), which is not possible in Curry’s system. Therefore this term is not typable.</w:t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</w:p>
    <w:p w:rsidR="00524FC4" w:rsidRDefault="00125061" w14:paraId="00000062" w14:textId="77777777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</w:t>
      </w:r>
    </w:p>
    <w:p w:rsidR="00524FC4" w:rsidRDefault="00125061" w14:paraId="00000063" w14:textId="77777777">
      <w:pPr>
        <w:numPr>
          <w:ilvl w:val="1"/>
          <w:numId w:val="3"/>
        </w:numPr>
        <w:rPr>
          <w:color w:val="222222"/>
          <w:highlight w:val="white"/>
        </w:rPr>
      </w:pPr>
      <w:r>
        <w:t>Definition 6.1 i) and iii) in notes.</w:t>
      </w:r>
    </w:p>
    <w:p w:rsidR="00524FC4" w:rsidRDefault="00125061" w14:paraId="00000064" w14:textId="77777777">
      <w:pPr>
        <w:numPr>
          <w:ilvl w:val="1"/>
          <w:numId w:val="3"/>
        </w:numPr>
      </w:pPr>
      <w:r>
        <w:t xml:space="preserve">Definition 6.2 i) in notes, Definition 6.4 in notes. </w:t>
      </w:r>
    </w:p>
    <w:p w:rsidR="00524FC4" w:rsidRDefault="00125061" w14:paraId="00000065" w14:textId="77777777">
      <w:pPr>
        <w:numPr>
          <w:ilvl w:val="1"/>
          <w:numId w:val="3"/>
        </w:numPr>
      </w:pPr>
      <w:commentRangeStart w:id="10"/>
      <w:r>
        <w:t xml:space="preserve">If fix were a term rather than syntax, then for this rule to work it would have to be the case that fix’s type is ((A -&gt; A) -&gt; A), where g and E provide the first two As. this then means that fix, as a term, would fit into the F =w N[F/x] requirement of fixed point operators described on page 33. </w:t>
      </w:r>
      <w:commentRangeEnd w:id="10"/>
      <w:r>
        <w:commentReference w:id="10"/>
      </w:r>
    </w:p>
    <w:p w:rsidR="00524FC4" w:rsidRDefault="00125061" w14:paraId="00000066" w14:textId="77777777">
      <w:pPr>
        <w:numPr>
          <w:ilvl w:val="1"/>
          <w:numId w:val="3"/>
        </w:numPr>
      </w:pPr>
      <w:r>
        <w:t xml:space="preserve">`Mycroft’s system allows for recursive types to be used in the fix rule (i.e. g and E can have the same recursive type.) </w:t>
      </w:r>
      <w:commentRangeStart w:id="11"/>
      <w:r>
        <w:t>“Thus, the only difference lies in the fact that, in this system, the derivation rule (fix) allow for type-schemes instead of types, so the various occurrences of the recursive variable can be typed with different Curry-types.”</w:t>
      </w:r>
      <w:commentRangeEnd w:id="11"/>
      <w:r>
        <w:commentReference w:id="11"/>
      </w:r>
      <w:r>
        <w:t xml:space="preserve"> (Also Mycroft’s type assignment is undecidable).</w:t>
      </w:r>
    </w:p>
    <w:p w:rsidR="00524FC4" w:rsidRDefault="00125061" w14:paraId="00000067" w14:textId="77777777">
      <w:pPr>
        <w:numPr>
          <w:ilvl w:val="1"/>
          <w:numId w:val="3"/>
        </w:numPr>
      </w:pPr>
      <w:commentRangeStart w:id="12"/>
      <w:commentRangeStart w:id="13"/>
      <w:commentRangeStart w:id="14"/>
      <w:r>
        <w:t xml:space="preserve"> Fix s. </w:t>
      </w:r>
      <w:r>
        <w:rPr>
          <w:color w:val="222222"/>
          <w:highlight w:val="white"/>
        </w:rPr>
        <w:t>λt. If =[]t then 0 else + 1 (+ (s left t) (s right t))</w:t>
      </w:r>
      <w:commentRangeEnd w:id="12"/>
      <w:r>
        <w:commentReference w:id="12"/>
      </w:r>
      <w:commentRangeEnd w:id="13"/>
      <w:r>
        <w:commentReference w:id="13"/>
      </w:r>
      <w:commentRangeEnd w:id="14"/>
      <w:r>
        <w:commentReference w:id="14"/>
      </w:r>
    </w:p>
    <w:p w:rsidR="00524FC4" w:rsidRDefault="00524FC4" w14:paraId="00000068" w14:textId="77777777">
      <w:pPr>
        <w:rPr>
          <w:color w:val="222222"/>
          <w:highlight w:val="white"/>
        </w:rPr>
      </w:pPr>
    </w:p>
    <w:p w:rsidR="00524FC4" w:rsidRDefault="00125061" w14:paraId="00000069" w14:textId="77777777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719CFB29" wp14:editId="07777777">
            <wp:extent cx="6629400" cy="423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3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FC4" w:rsidRDefault="00524FC4" w14:paraId="0000006A" w14:textId="77777777">
      <w:pPr>
        <w:rPr>
          <w:color w:val="222222"/>
          <w:highlight w:val="white"/>
        </w:rPr>
      </w:pPr>
    </w:p>
    <w:p w:rsidR="00524FC4" w:rsidRDefault="00125061" w14:paraId="0000006B" w14:textId="77777777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:rsidR="00524FC4" w:rsidRDefault="00125061" w14:paraId="0000006C" w14:textId="77777777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:rsidR="00524FC4" w:rsidRDefault="00125061" w14:paraId="0000006D" w14:textId="77777777">
      <w:pPr>
        <w:numPr>
          <w:ilvl w:val="2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Definition 9.1 i) in notes.</w:t>
      </w:r>
    </w:p>
    <w:p w:rsidR="00524FC4" w:rsidRDefault="00125061" w14:paraId="0000006E" w14:textId="77777777">
      <w:pPr>
        <w:numPr>
          <w:ilvl w:val="2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Definition 9.3 in notes. </w:t>
      </w:r>
    </w:p>
    <w:p w:rsidR="00524FC4" w:rsidRDefault="00125061" w14:paraId="0000006F" w14:textId="77777777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:rsidR="00524FC4" w:rsidRDefault="00125061" w14:paraId="00000070" w14:textId="77777777">
      <w:pPr>
        <w:numPr>
          <w:ilvl w:val="2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Exercise 9.12 i) answered as exercise 9.33 i) in model answers for notes.</w:t>
      </w:r>
    </w:p>
    <w:p w:rsidR="00524FC4" w:rsidRDefault="00125061" w14:paraId="00000071" w14:textId="77777777">
      <w:pPr>
        <w:numPr>
          <w:ilvl w:val="2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Exercise 9.12 ii) answered as exercise 9.33 ii) in model answers for notes.</w:t>
      </w:r>
    </w:p>
    <w:p w:rsidR="00524FC4" w:rsidRDefault="3AE9DB56" w14:paraId="00000072" w14:textId="763756CA">
      <w:pPr>
        <w:numPr>
          <w:ilvl w:val="2"/>
          <w:numId w:val="3"/>
        </w:numPr>
        <w:rPr>
          <w:color w:val="222222"/>
          <w:highlight w:val="white"/>
        </w:rPr>
      </w:pPr>
      <w:r>
        <w:rPr>
          <w:noProof/>
        </w:rPr>
        <w:drawing>
          <wp:inline distT="0" distB="0" distL="0" distR="0" wp14:anchorId="50CAC6F8" wp14:editId="1929C931">
            <wp:extent cx="4572000" cy="2105025"/>
            <wp:effectExtent l="0" t="0" r="0" b="0"/>
            <wp:docPr id="279942234" name="Picture 27994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8E702" w:rsidP="1EADFB99" w:rsidRDefault="1268E702" w14:paraId="461B54C0" w14:textId="78B37059">
      <w:pPr>
        <w:numPr>
          <w:ilvl w:val="2"/>
          <w:numId w:val="3"/>
        </w:numPr>
        <w:rPr>
          <w:color w:val="222222"/>
        </w:rPr>
      </w:pPr>
      <w:r>
        <w:rPr>
          <w:noProof/>
        </w:rPr>
        <w:drawing>
          <wp:inline distT="0" distB="0" distL="0" distR="0" wp14:anchorId="64733AAE" wp14:editId="530C3009">
            <wp:extent cx="4572000" cy="2000250"/>
            <wp:effectExtent l="0" t="0" r="0" b="0"/>
            <wp:docPr id="1290488897" name="Picture 129048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C4" w:rsidRDefault="00125061" w14:paraId="00000074" w14:textId="77777777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Exercise 9.13 in the notes, answered as Exercise 9.34 in model answers for notes.</w:t>
      </w:r>
    </w:p>
    <w:p w:rsidR="00524FC4" w:rsidRDefault="00125061" w14:paraId="00000075" w14:textId="77777777">
      <w:pPr>
        <w:numPr>
          <w:ilvl w:val="1"/>
          <w:numId w:val="3"/>
        </w:numPr>
        <w:rPr>
          <w:i/>
          <w:color w:val="222222"/>
          <w:highlight w:val="white"/>
        </w:rPr>
      </w:pPr>
      <w:commentRangeStart w:id="15"/>
      <w:r>
        <w:rPr>
          <w:i/>
          <w:color w:val="222222"/>
          <w:highlight w:val="white"/>
        </w:rPr>
        <w:t>(Worth noting here that the 2018-2019 question on intersection types seems at the very least more involved than this if not marginally more difficult)</w:t>
      </w:r>
      <w:commentRangeEnd w:id="15"/>
      <w:r>
        <w:commentReference w:id="15"/>
      </w:r>
    </w:p>
    <w:p w:rsidR="00524FC4" w:rsidRDefault="00125061" w14:paraId="00000076" w14:textId="77777777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:rsidR="00524FC4" w:rsidRDefault="1EADFB99" w14:paraId="00000077" w14:textId="77777777">
      <w:pPr>
        <w:numPr>
          <w:ilvl w:val="1"/>
          <w:numId w:val="3"/>
        </w:numPr>
        <w:rPr>
          <w:color w:val="222222"/>
          <w:highlight w:val="white"/>
        </w:rPr>
      </w:pPr>
      <w:commentRangeStart w:id="16"/>
      <w:commentRangeStart w:id="17"/>
      <w:r w:rsidRPr="239AA754">
        <w:rPr>
          <w:color w:val="222222"/>
          <w:highlight w:val="white"/>
        </w:rPr>
        <w:t>Definitions 8.1, 8.2 and 8.3  in notes.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</w:p>
    <w:p w:rsidR="00524FC4" w:rsidRDefault="00125061" w14:paraId="00000078" w14:textId="77777777">
      <w:pPr>
        <w:numPr>
          <w:ilvl w:val="1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Definition 8.4 in notes. Equi-recursive type assignment rule: Definition 8.5 in notes. Iso-recursive type assignment rules: contained within Definition 8.8 in notes. Iso-recursion uses syntactic markers to show explicitly where the =</w:t>
      </w:r>
      <w:r>
        <w:rPr>
          <w:color w:val="222222"/>
          <w:highlight w:val="white"/>
          <w:vertAlign w:val="subscript"/>
        </w:rPr>
        <w:t>mu</w:t>
      </w:r>
      <w:r>
        <w:rPr>
          <w:color w:val="222222"/>
          <w:highlight w:val="white"/>
        </w:rPr>
        <w:t xml:space="preserve"> steps are, and equi-recursion does not. </w:t>
      </w:r>
    </w:p>
    <w:p w:rsidR="00524FC4" w:rsidP="1929C931" w:rsidRDefault="4B529D50" w14:paraId="00000079" w14:textId="7E15B8B2">
      <w:pPr>
        <w:numPr>
          <w:ilvl w:val="2"/>
          <w:numId w:val="3"/>
        </w:numPr>
        <w:rPr>
          <w:color w:val="222222"/>
          <w:highlight w:val="white"/>
        </w:rPr>
      </w:pPr>
      <w:r w:rsidRPr="45D159BB">
        <w:rPr>
          <w:color w:val="222222"/>
          <w:highlight w:val="white"/>
        </w:rPr>
        <w:t>Exercise 8.19 in notes, answered as Exercise 8.19 in model answers for notes.</w:t>
      </w:r>
      <w:r w:rsidR="0399B779">
        <w:rPr>
          <w:noProof/>
        </w:rPr>
        <w:drawing>
          <wp:inline distT="0" distB="0" distL="0" distR="0" wp14:anchorId="7C3FF2F3" wp14:editId="45D159BB">
            <wp:extent cx="4572000" cy="3448050"/>
            <wp:effectExtent l="0" t="0" r="0" b="0"/>
            <wp:docPr id="1942991923" name="Picture 194299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991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F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Joe Rackham" w:date="2019-12-09T01:13:00Z" w:id="0">
    <w:p w:rsidR="00524FC4" w:rsidRDefault="00125061" w14:paraId="0000008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 this the call to actual call to unify? Doesn't the pp algorithm unify P1 with P2 -&gt; (fresh tv)</w:t>
      </w:r>
    </w:p>
  </w:comment>
  <w:comment w:initials="" w:author="Jack Morrison" w:date="2019-12-10T05:13:00Z" w:id="1">
    <w:p w:rsidR="00524FC4" w:rsidRDefault="00125061" w14:paraId="0000008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  <w:comment w:initials="" w:author="Jack Morrison" w:date="2019-12-10T05:16:00Z" w:id="2">
    <w:p w:rsidR="00524FC4" w:rsidRDefault="00125061" w14:paraId="0000008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He says only the main calls to unify, which according to an answer for the notes (ex 2.23) he means the non-recursive calls, so in this case would be unify (1-&gt;2-&gt;3)-&gt;(1-&gt;2)-&gt;1-&gt;3 (4-&gt;5-&gt;4)-&gt;6, and then unify (1-&gt;2)-&gt;1-&gt;1 (3-&gt;3)-&gt;4 </w:t>
      </w:r>
      <w:r>
        <w:rPr>
          <w:rStyle w:val="CommentReference"/>
        </w:rPr>
        <w:annotationRef/>
      </w:r>
    </w:p>
    <w:p w:rsidR="00524FC4" w:rsidRDefault="00524FC4" w14:paraId="000000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524FC4" w:rsidRDefault="00125061" w14:paraId="0000008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He usually starts the first argument from 1, and then does a substitution for the second argement, which as you said is P2-&gt;(fresh TV)</w:t>
      </w:r>
    </w:p>
    <w:p w:rsidR="00524FC4" w:rsidRDefault="00524FC4" w14:paraId="0000008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524FC4" w:rsidRDefault="00125061" w14:paraId="0000008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TLDR you only need 2 unify calls for the first one (and 1 for the second)</w:t>
      </w:r>
    </w:p>
  </w:comment>
  <w:comment w:initials="" w:author="Kelvin Zhang" w:date="2019-12-06T04:27:00Z" w:id="3">
    <w:p w:rsidR="00524FC4" w:rsidRDefault="00125061" w14:paraId="0000007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this be 4-&gt;5-&gt;4 because we take fresh instances under principal pair algorithm?</w:t>
      </w:r>
    </w:p>
  </w:comment>
  <w:comment w:initials="" w:author="Harry Black" w:date="2019-12-06T04:38:00Z" w:id="4">
    <w:p w:rsidR="00524FC4" w:rsidRDefault="00125061" w14:paraId="0000008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Probably actually yes</w:t>
      </w:r>
    </w:p>
  </w:comment>
  <w:comment w:initials="" w:author="Harry Black" w:date="2019-12-06T04:41:00Z" w:id="5">
    <w:p w:rsidR="00524FC4" w:rsidRDefault="00125061" w14:paraId="0000008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When doing it that way must remember to have your substitutions all end up a useful way around</w:t>
      </w:r>
    </w:p>
  </w:comment>
  <w:comment w:initials="" w:author="Harry Black" w:date="2019-12-06T04:53:00Z" w:id="6">
    <w:p w:rsidR="00524FC4" w:rsidRDefault="00125061" w14:paraId="000000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Other way to  do this is potentially to point out that λpqr.pq(qr) is λxyz.xz(yz) and therefore this term involves self application?</w:t>
      </w:r>
    </w:p>
  </w:comment>
  <w:comment w:initials="" w:author="L.H. Lee" w:date="2019-12-06T08:29:00Z" w:id="7">
    <w:p w:rsidR="00524FC4" w:rsidRDefault="00125061" w14:paraId="0000007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λpqr.pq(qr) is λxyz.xz(*zy*)</w:t>
      </w:r>
    </w:p>
  </w:comment>
  <w:comment w:initials="" w:author="L.H. Lee" w:date="2019-12-06T08:31:00Z" w:id="8">
    <w:p w:rsidR="00524FC4" w:rsidRDefault="00125061" w14:paraId="0000007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would just go ahead and beta-reduce the term and show that is is \z.zz which is untypeable?</w:t>
      </w:r>
    </w:p>
  </w:comment>
  <w:comment w:initials="" w:author="Jack Morrison" w:date="2019-12-10T05:35:00Z" w:id="9">
    <w:p w:rsidR="00524FC4" w:rsidRDefault="00125061" w14:paraId="0000007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  <w:comment w:initials="" w:author="Harry Black" w:date="2019-12-06T01:07:00Z" w:id="10">
    <w:p w:rsidR="00524FC4" w:rsidRDefault="00125061" w14:paraId="0000008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was the only previous answer left in this document before I started adding answers. I'm not 100% sure what the question means, I think in an exam I'd probably argue based on the similarity between fix and the λ-calculus abstraction: it is just a special case of abstraction after all</w:t>
      </w:r>
    </w:p>
  </w:comment>
  <w:comment w:initials="" w:author="Harry Black" w:date="2019-12-06T01:11:00Z" w:id="11">
    <w:p w:rsidR="00524FC4" w:rsidRDefault="00125061" w14:paraId="0000008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the answer directly in the notes</w:t>
      </w:r>
    </w:p>
  </w:comment>
  <w:comment w:initials="" w:author="Harry Black" w:date="2019-12-07T02:08:00Z" w:id="12">
    <w:p w:rsidR="00524FC4" w:rsidRDefault="00125061" w14:paraId="000000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have decided that in the Q and A I'm going to ask him to show this derivation, up to the If =[]t then 0 else + 1 (+ (s left t) (s right t)) as I can't seem to construct a proof that I'm 100% happy with</w:t>
      </w:r>
    </w:p>
  </w:comment>
  <w:comment w:initials="" w:author="Jack Morrison" w:date="2019-12-10T06:20:00Z" w:id="13">
    <w:p w:rsidR="00524FC4" w:rsidRDefault="00125061" w14:paraId="0000008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I'm not sure if this was your issue, but the (left t) and (right t) should have brackets around them (since together they are the argument to s)</w:t>
      </w:r>
    </w:p>
  </w:comment>
  <w:comment w:initials="" w:author="Jack Morrison" w:date="2019-12-10T06:38:00Z" w:id="14">
    <w:p w:rsidR="00524FC4" w:rsidRDefault="00125061" w14:paraId="0000008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Yeah I managed to get a derivation - will tidy it up and post it</w:t>
      </w:r>
    </w:p>
  </w:comment>
  <w:comment w:initials="" w:author="Jack Morrison" w:date="2019-12-10T07:00:00Z" w:id="15">
    <w:p w:rsidR="00524FC4" w:rsidRDefault="00125061" w14:paraId="0000007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He's added new content to intersection types this year, such as approximants, which could potentially come up however</w:t>
      </w:r>
    </w:p>
  </w:comment>
  <w:comment w:initials="DN" w:author="D'Cotta, Nicolas" w:date="2020-12-15T04:47:00Z" w:id="16">
    <w:p w:rsidR="1EADFB99" w:rsidRDefault="1EADFB99" w14:paraId="2373BD2C" w14:textId="61FAD88C">
      <w:r>
        <w:t>what is projection, in 20-21 content? do we still have it?</w:t>
      </w:r>
      <w:r>
        <w:annotationRef/>
      </w:r>
      <w:r>
        <w:annotationRef/>
      </w:r>
    </w:p>
  </w:comment>
  <w:comment w:initials="RE" w:author="Range, Ethan" w:date="2022-12-14T01:01:00Z" w:id="17">
    <w:p w:rsidR="239AA754" w:rsidRDefault="239AA754" w14:paraId="2C3AB373" w14:textId="7BB09547">
      <w:pPr>
        <w:pStyle w:val="CommentText"/>
      </w:pPr>
      <w:r>
        <w:t>(22-23) For anyone confused, projection is just projecting the type out of a product with left / right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87" w15:done="0"/>
  <w15:commentEx w15:paraId="00000088" w15:done="0"/>
  <w15:commentEx w15:paraId="0000008D" w15:done="0"/>
  <w15:commentEx w15:paraId="0000007F" w15:done="0"/>
  <w15:commentEx w15:paraId="00000080" w15:done="0"/>
  <w15:commentEx w15:paraId="00000081" w15:done="0"/>
  <w15:commentEx w15:paraId="0000007A" w15:done="0"/>
  <w15:commentEx w15:paraId="0000007B" w15:done="0"/>
  <w15:commentEx w15:paraId="0000007C" w15:done="0"/>
  <w15:commentEx w15:paraId="0000007D" w15:done="0"/>
  <w15:commentEx w15:paraId="00000082" w15:done="0"/>
  <w15:commentEx w15:paraId="00000086" w15:done="0"/>
  <w15:commentEx w15:paraId="00000083" w15:done="0"/>
  <w15:commentEx w15:paraId="00000084" w15:done="0"/>
  <w15:commentEx w15:paraId="00000085" w15:done="0"/>
  <w15:commentEx w15:paraId="0000007E" w15:done="0"/>
  <w15:commentEx w15:paraId="2373BD2C" w15:done="0"/>
  <w15:commentEx w15:paraId="2C3AB373" w15:paraIdParent="2373BD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D98B5E0" w16cex:dateUtc="2019-12-09T09:13:00Z"/>
  <w16cex:commentExtensible w16cex:durableId="05CF5C86" w16cex:dateUtc="2019-12-10T13:13:00Z"/>
  <w16cex:commentExtensible w16cex:durableId="2DD66D6A" w16cex:dateUtc="2019-12-10T13:16:00Z"/>
  <w16cex:commentExtensible w16cex:durableId="5EA1C006" w16cex:dateUtc="2019-12-06T12:27:00Z"/>
  <w16cex:commentExtensible w16cex:durableId="3285BBEA" w16cex:dateUtc="2019-12-06T12:38:00Z"/>
  <w16cex:commentExtensible w16cex:durableId="44E2CFD1" w16cex:dateUtc="2019-12-06T12:41:00Z"/>
  <w16cex:commentExtensible w16cex:durableId="719CFB29" w16cex:dateUtc="2019-12-06T12:53:00Z"/>
  <w16cex:commentExtensible w16cex:durableId="3D4F1760" w16cex:dateUtc="2019-12-06T16:29:00Z"/>
  <w16cex:commentExtensible w16cex:durableId="7B252F77" w16cex:dateUtc="2019-12-06T16:31:00Z"/>
  <w16cex:commentExtensible w16cex:durableId="571F1A46" w16cex:dateUtc="2019-12-10T13:35:00Z"/>
  <w16cex:commentExtensible w16cex:durableId="4C215BFC" w16cex:dateUtc="2019-12-06T09:07:00Z"/>
  <w16cex:commentExtensible w16cex:durableId="32B726FE" w16cex:dateUtc="2019-12-06T09:11:00Z"/>
  <w16cex:commentExtensible w16cex:durableId="311D2947" w16cex:dateUtc="2019-12-07T10:08:00Z"/>
  <w16cex:commentExtensible w16cex:durableId="0518EA25" w16cex:dateUtc="2019-12-10T14:20:00Z"/>
  <w16cex:commentExtensible w16cex:durableId="370C864D" w16cex:dateUtc="2019-12-10T14:38:00Z"/>
  <w16cex:commentExtensible w16cex:durableId="59A54BCC" w16cex:dateUtc="2019-12-10T15:00:00Z"/>
  <w16cex:commentExtensible w16cex:durableId="04BC1FBF" w16cex:dateUtc="2020-12-15T12:47:00Z"/>
  <w16cex:commentExtensible w16cex:durableId="210804B4" w16cex:dateUtc="2022-12-14T0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87" w16cid:durableId="7D98B5E0"/>
  <w16cid:commentId w16cid:paraId="00000088" w16cid:durableId="05CF5C86"/>
  <w16cid:commentId w16cid:paraId="0000008D" w16cid:durableId="2DD66D6A"/>
  <w16cid:commentId w16cid:paraId="0000007F" w16cid:durableId="5EA1C006"/>
  <w16cid:commentId w16cid:paraId="00000080" w16cid:durableId="3285BBEA"/>
  <w16cid:commentId w16cid:paraId="00000081" w16cid:durableId="44E2CFD1"/>
  <w16cid:commentId w16cid:paraId="0000007A" w16cid:durableId="719CFB29"/>
  <w16cid:commentId w16cid:paraId="0000007B" w16cid:durableId="3D4F1760"/>
  <w16cid:commentId w16cid:paraId="0000007C" w16cid:durableId="7B252F77"/>
  <w16cid:commentId w16cid:paraId="0000007D" w16cid:durableId="571F1A46"/>
  <w16cid:commentId w16cid:paraId="00000082" w16cid:durableId="4C215BFC"/>
  <w16cid:commentId w16cid:paraId="00000086" w16cid:durableId="32B726FE"/>
  <w16cid:commentId w16cid:paraId="00000083" w16cid:durableId="311D2947"/>
  <w16cid:commentId w16cid:paraId="00000084" w16cid:durableId="0518EA25"/>
  <w16cid:commentId w16cid:paraId="00000085" w16cid:durableId="370C864D"/>
  <w16cid:commentId w16cid:paraId="0000007E" w16cid:durableId="59A54BCC"/>
  <w16cid:commentId w16cid:paraId="2373BD2C" w16cid:durableId="04BC1FBF"/>
  <w16cid:commentId w16cid:paraId="2C3AB373" w16cid:durableId="210804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D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E03C9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AA12EF"/>
    <w:multiLevelType w:val="multilevel"/>
    <w:tmpl w:val="0204A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882D94"/>
    <w:multiLevelType w:val="multilevel"/>
    <w:tmpl w:val="6C50A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2128835">
    <w:abstractNumId w:val="3"/>
  </w:num>
  <w:num w:numId="2" w16cid:durableId="204684592">
    <w:abstractNumId w:val="2"/>
  </w:num>
  <w:num w:numId="3" w16cid:durableId="469594874">
    <w:abstractNumId w:val="1"/>
  </w:num>
  <w:num w:numId="4" w16cid:durableId="10449124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'Cotta, Nicolas">
    <w15:presenceInfo w15:providerId="AD" w15:userId="S::nd3018@ic.ac.uk::14bdf988-46cc-4b4f-b21b-005c633eb277"/>
  </w15:person>
  <w15:person w15:author="Range, Ethan">
    <w15:presenceInfo w15:providerId="AD" w15:userId="S::esr20@ic.ac.uk::7dea73d7-cecb-4ded-9c12-caa8e3e8545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7cwMzE0MjAwMjZW0lEKTi0uzszPAykwrAUAgqsXriwAAAA="/>
  </w:docVars>
  <w:rsids>
    <w:rsidRoot w:val="00E97AB1"/>
    <w:rsid w:val="00125061"/>
    <w:rsid w:val="0031624C"/>
    <w:rsid w:val="00524FC4"/>
    <w:rsid w:val="005C4C9C"/>
    <w:rsid w:val="00AD588B"/>
    <w:rsid w:val="00E12EEA"/>
    <w:rsid w:val="00E562BF"/>
    <w:rsid w:val="00E97AB1"/>
    <w:rsid w:val="0399B779"/>
    <w:rsid w:val="1268E702"/>
    <w:rsid w:val="159577E2"/>
    <w:rsid w:val="1929C931"/>
    <w:rsid w:val="1A5FDE0F"/>
    <w:rsid w:val="1EADFB99"/>
    <w:rsid w:val="21AFCA20"/>
    <w:rsid w:val="220BD827"/>
    <w:rsid w:val="2393DB55"/>
    <w:rsid w:val="239AA754"/>
    <w:rsid w:val="27FE1C14"/>
    <w:rsid w:val="3AE9DB56"/>
    <w:rsid w:val="3AFA94FD"/>
    <w:rsid w:val="3CE8FE99"/>
    <w:rsid w:val="452EFC89"/>
    <w:rsid w:val="45D159BB"/>
    <w:rsid w:val="4676B882"/>
    <w:rsid w:val="4B529D50"/>
    <w:rsid w:val="4EE719A6"/>
    <w:rsid w:val="5C8EFC6D"/>
    <w:rsid w:val="63679285"/>
    <w:rsid w:val="697EBA4C"/>
    <w:rsid w:val="6C07408E"/>
    <w:rsid w:val="71BBBBD5"/>
    <w:rsid w:val="72C8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1E27"/>
  <w15:docId w15:val="{A0548986-3671-48AD-B8EE-6C063E545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2808</Characters>
  <Application>Microsoft Office Word</Application>
  <DocSecurity>4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Bricchi, Ignacio</dc:creator>
  <cp:keywords/>
  <cp:lastModifiedBy>Range, Ethan</cp:lastModifiedBy>
  <cp:revision>6</cp:revision>
  <dcterms:created xsi:type="dcterms:W3CDTF">2021-12-13T20:17:00Z</dcterms:created>
  <dcterms:modified xsi:type="dcterms:W3CDTF">2022-12-14T01:01:00Z</dcterms:modified>
</cp:coreProperties>
</file>