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2E75B6"/>
          <w:sz w:val="52"/>
          <w:szCs w:val="52"/>
        </w:rPr>
        <w:t xml:space="preserve">EXPERIMENT 01</w:t>
      </w:r>
    </w:p>
    <w:p>
      <w:pPr>
        <w:spacing w:after="120" w:before="0"/>
        <w:jc w:val="center"/>
      </w:pPr>
      <w:r>
        <w:rPr>
          <w:rFonts w:ascii="Arial" w:cs="Arial" w:eastAsia="Arial" w:hAnsi="Arial"/>
          <w:color w:val="444444"/>
          <w:sz w:val="32"/>
          <w:szCs w:val="32"/>
        </w:rPr>
        <w:t xml:space="preserve">GPT Language Model Training Report</w:t>
      </w:r>
    </w:p>
    <w:p>
      <w:pPr>
        <w:spacing w:after="320" w:before="0"/>
        <w:jc w:val="center"/>
      </w:pPr>
      <w:r>
        <w:rPr>
          <w:rFonts w:ascii="Arial" w:cs="Arial" w:eastAsia="Arial" w:hAnsi="Arial"/>
          <w:color w:val="666666"/>
          <w:sz w:val="22"/>
          <w:szCs w:val="22"/>
        </w:rPr>
        <w:t xml:space="preserve">WikiText-103 (5,000 rows)  |  ~300K Tokens  |  tiktoken Tokenizer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Dataset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Hardware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Date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Epochs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WikiText-103, ~300K tokens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Google Colab 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2026-05-03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1.  Model Configuration</w:t>
      </w:r>
    </w:p>
    <w:p>
      <w:pPr>
        <w:spacing w:after="160" w:before="80"/>
      </w:pPr>
      <w:r>
        <w:rPr>
          <w:rFonts w:ascii="Arial" w:cs="Arial" w:eastAsia="Arial" w:hAnsi="Arial"/>
          <w:sz w:val="20"/>
          <w:szCs w:val="20"/>
        </w:rPr>
        <w:t xml:space="preserve">The model architecture follows a standard GPT decoder-only transformer. This initial experiment used a compact configuration to establish a baseline. With tied embedding weights, the total parameter count is approximately 16 million.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Dimension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Parameters (approx.)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Token 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50,257 × 256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12.9 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Position 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128 × 256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0.03 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Transformer Layers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d_model = 256, heads =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 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LM Head (tied)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Total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~16 M</w:t>
            </w:r>
          </w:p>
        </w:tc>
      </w:tr>
    </w:tbl>
    <w:p>
      <w:pPr>
        <w:spacing w:after="60" w:before="60"/>
      </w:pPr>
      <w:r>
        <w:t xml:space="preserve"/>
      </w:r>
    </w:p>
    <w:p>
      <w:pPr>
        <w:pStyle w:val="Heading2"/>
        <w:spacing w:after="120" w:before="240"/>
      </w:pPr>
      <w:r>
        <w:rPr>
          <w:rFonts w:ascii="Arial" w:cs="Arial" w:eastAsia="Arial" w:hAnsi="Arial"/>
          <w:b/>
          <w:bCs/>
          <w:color w:val="1F3864"/>
          <w:sz w:val="24"/>
          <w:szCs w:val="24"/>
        </w:rPr>
        <w:t xml:space="preserve">1.1  Hyperparameter Configuration</w:t>
      </w:r>
    </w:p>
    <w:p>
      <w:pPr>
        <w:shd w:fill="EEF2F7" w:val="clear"/>
        <w:spacing w:after="60" w:before="60"/>
        <w:ind w:left="360"/>
      </w:pPr>
      <w:r>
        <w:rPr>
          <w:rFonts w:ascii="Courier New" w:cs="Courier New" w:eastAsia="Courier New" w:hAnsi="Courier New"/>
          <w:color w:val="1F3864"/>
          <w:sz w:val="18"/>
          <w:szCs w:val="18"/>
        </w:rPr>
        <w:t xml:space="preserve">@dataclass</w:t>
      </w:r>
    </w:p>
    <w:p>
      <w:pPr>
        <w:shd w:fill="EEF2F7" w:val="clear"/>
        <w:spacing w:after="60" w:before="60"/>
        <w:ind w:left="360"/>
      </w:pPr>
      <w:r>
        <w:rPr>
          <w:rFonts w:ascii="Courier New" w:cs="Courier New" w:eastAsia="Courier New" w:hAnsi="Courier New"/>
          <w:color w:val="1F3864"/>
          <w:sz w:val="18"/>
          <w:szCs w:val="18"/>
        </w:rPr>
        <w:t xml:space="preserve">class GPTConfig:</w:t>
      </w:r>
    </w:p>
    <w:p>
      <w:pPr>
        <w:shd w:fill="EEF2F7" w:val="clear"/>
        <w:spacing w:after="60" w:before="60"/>
        <w:ind w:left="360"/>
      </w:pPr>
      <w:r>
        <w:rPr>
          <w:rFonts w:ascii="Courier New" w:cs="Courier New" w:eastAsia="Courier New" w:hAnsi="Courier New"/>
          <w:color w:val="1F3864"/>
          <w:sz w:val="18"/>
          <w:szCs w:val="18"/>
        </w:rPr>
        <w:t xml:space="preserve">    vocab_size: int                  = 50257</w:t>
      </w:r>
    </w:p>
    <w:p>
      <w:pPr>
        <w:shd w:fill="EEF2F7" w:val="clear"/>
        <w:spacing w:after="60" w:before="60"/>
        <w:ind w:left="360"/>
      </w:pPr>
      <w:r>
        <w:rPr>
          <w:rFonts w:ascii="Courier New" w:cs="Courier New" w:eastAsia="Courier New" w:hAnsi="Courier New"/>
          <w:color w:val="1F3864"/>
          <w:sz w:val="18"/>
          <w:szCs w:val="18"/>
        </w:rPr>
        <w:t xml:space="preserve">    context_length: int              = 128</w:t>
      </w:r>
    </w:p>
    <w:p>
      <w:pPr>
        <w:shd w:fill="EEF2F7" w:val="clear"/>
        <w:spacing w:after="60" w:before="60"/>
        <w:ind w:left="360"/>
      </w:pPr>
      <w:r>
        <w:rPr>
          <w:rFonts w:ascii="Courier New" w:cs="Courier New" w:eastAsia="Courier New" w:hAnsi="Courier New"/>
          <w:color w:val="1F3864"/>
          <w:sz w:val="18"/>
          <w:szCs w:val="18"/>
        </w:rPr>
        <w:t xml:space="preserve">    d_model: int                     = 256</w:t>
      </w:r>
    </w:p>
    <w:p>
      <w:pPr>
        <w:shd w:fill="EEF2F7" w:val="clear"/>
        <w:spacing w:after="60" w:before="60"/>
        <w:ind w:left="360"/>
      </w:pPr>
      <w:r>
        <w:rPr>
          <w:rFonts w:ascii="Courier New" w:cs="Courier New" w:eastAsia="Courier New" w:hAnsi="Courier New"/>
          <w:color w:val="1F3864"/>
          <w:sz w:val="18"/>
          <w:szCs w:val="18"/>
        </w:rPr>
        <w:t xml:space="preserve">    num_heads: int                   = 4</w:t>
      </w:r>
    </w:p>
    <w:p>
      <w:pPr>
        <w:shd w:fill="EEF2F7" w:val="clear"/>
        <w:spacing w:after="60" w:before="60"/>
        <w:ind w:left="360"/>
      </w:pPr>
      <w:r>
        <w:rPr>
          <w:rFonts w:ascii="Courier New" w:cs="Courier New" w:eastAsia="Courier New" w:hAnsi="Courier New"/>
          <w:color w:val="1F3864"/>
          <w:sz w:val="18"/>
          <w:szCs w:val="18"/>
        </w:rPr>
        <w:t xml:space="preserve">    num_layers: int                  = 4</w:t>
      </w:r>
    </w:p>
    <w:p>
      <w:pPr>
        <w:shd w:fill="EEF2F7" w:val="clear"/>
        <w:spacing w:after="60" w:before="60"/>
        <w:ind w:left="360"/>
      </w:pPr>
      <w:r>
        <w:rPr>
          <w:rFonts w:ascii="Courier New" w:cs="Courier New" w:eastAsia="Courier New" w:hAnsi="Courier New"/>
          <w:color w:val="1F3864"/>
          <w:sz w:val="18"/>
          <w:szCs w:val="18"/>
        </w:rPr>
        <w:t xml:space="preserve">    dropout: float                   = 0.1</w:t>
      </w:r>
    </w:p>
    <w:p>
      <w:pPr>
        <w:shd w:fill="EEF2F7" w:val="clear"/>
        <w:spacing w:after="60" w:before="60"/>
        <w:ind w:left="360"/>
      </w:pPr>
      <w:r>
        <w:rPr>
          <w:rFonts w:ascii="Courier New" w:cs="Courier New" w:eastAsia="Courier New" w:hAnsi="Courier New"/>
          <w:color w:val="1F3864"/>
          <w:sz w:val="18"/>
          <w:szCs w:val="18"/>
        </w:rPr>
        <w:t xml:space="preserve">    qkv_bias: bool                   = False</w:t>
      </w:r>
    </w:p>
    <w:p>
      <w:pPr>
        <w:shd w:fill="EEF2F7" w:val="clear"/>
        <w:spacing w:after="60" w:before="60"/>
        <w:ind w:left="360"/>
      </w:pPr>
      <w:r>
        <w:rPr>
          <w:rFonts w:ascii="Courier New" w:cs="Courier New" w:eastAsia="Courier New" w:hAnsi="Courier New"/>
          <w:color w:val="1F3864"/>
          <w:sz w:val="18"/>
          <w:szCs w:val="18"/>
        </w:rPr>
        <w:t xml:space="preserve">    ffn_hidden_dim: int | None       = None</w:t>
      </w:r>
    </w:p>
    <w:p>
      <w:pPr>
        <w:shd w:fill="EEF2F7" w:val="clear"/>
        <w:spacing w:after="60" w:before="60"/>
        <w:ind w:left="360"/>
      </w:pPr>
      <w:r>
        <w:rPr>
          <w:rFonts w:ascii="Courier New" w:cs="Courier New" w:eastAsia="Courier New" w:hAnsi="Courier New"/>
          <w:color w:val="1F3864"/>
          <w:sz w:val="18"/>
          <w:szCs w:val="18"/>
        </w:rPr>
        <w:t xml:space="preserve">    max_new_tokens: int              = 100</w:t>
      </w:r>
    </w:p>
    <w:p>
      <w:pPr>
        <w:shd w:fill="EEF2F7" w:val="clear"/>
        <w:spacing w:after="60" w:before="60"/>
        <w:ind w:left="360"/>
      </w:pPr>
      <w:r>
        <w:rPr>
          <w:rFonts w:ascii="Courier New" w:cs="Courier New" w:eastAsia="Courier New" w:hAnsi="Courier New"/>
          <w:color w:val="1F3864"/>
          <w:sz w:val="18"/>
          <w:szCs w:val="18"/>
        </w:rPr>
        <w:t xml:space="preserve">    temperature: float               = 0.8</w:t>
      </w:r>
    </w:p>
    <w:p>
      <w:pPr>
        <w:shd w:fill="EEF2F7" w:val="clear"/>
        <w:spacing w:after="60" w:before="60"/>
        <w:ind w:left="360"/>
      </w:pPr>
      <w:r>
        <w:rPr>
          <w:rFonts w:ascii="Courier New" w:cs="Courier New" w:eastAsia="Courier New" w:hAnsi="Courier New"/>
          <w:color w:val="1F3864"/>
          <w:sz w:val="18"/>
          <w:szCs w:val="18"/>
        </w:rPr>
        <w:t xml:space="preserve">    top_k: int | None                = 40</w:t>
      </w:r>
    </w:p>
    <w:p>
      <w:pPr>
        <w:shd w:fill="EEF2F7" w:val="clear"/>
        <w:spacing w:after="60" w:before="60"/>
        <w:ind w:left="360"/>
      </w:pPr>
      <w:r>
        <w:rPr>
          <w:rFonts w:ascii="Courier New" w:cs="Courier New" w:eastAsia="Courier New" w:hAnsi="Courier New"/>
          <w:color w:val="1F3864"/>
          <w:sz w:val="18"/>
          <w:szCs w:val="18"/>
        </w:rPr>
        <w:t xml:space="preserve">    learning_rate: float             = 3e-4</w:t>
      </w:r>
    </w:p>
    <w:p>
      <w:pPr>
        <w:shd w:fill="EEF2F7" w:val="clear"/>
        <w:spacing w:after="60" w:before="60"/>
        <w:ind w:left="360"/>
      </w:pPr>
      <w:r>
        <w:rPr>
          <w:rFonts w:ascii="Courier New" w:cs="Courier New" w:eastAsia="Courier New" w:hAnsi="Courier New"/>
          <w:color w:val="1F3864"/>
          <w:sz w:val="18"/>
          <w:szCs w:val="18"/>
        </w:rPr>
        <w:t xml:space="preserve">    min_learning_rate: float         = 1e-5</w:t>
      </w:r>
    </w:p>
    <w:p>
      <w:pPr>
        <w:shd w:fill="EEF2F7" w:val="clear"/>
        <w:spacing w:after="60" w:before="60"/>
        <w:ind w:left="360"/>
      </w:pPr>
      <w:r>
        <w:rPr>
          <w:rFonts w:ascii="Courier New" w:cs="Courier New" w:eastAsia="Courier New" w:hAnsi="Courier New"/>
          <w:color w:val="1F3864"/>
          <w:sz w:val="18"/>
          <w:szCs w:val="18"/>
        </w:rPr>
        <w:t xml:space="preserve">    grad_clip: float                 = 1.0</w:t>
      </w:r>
    </w:p>
    <w:p>
      <w:pPr>
        <w:shd w:fill="EEF2F7" w:val="clear"/>
        <w:spacing w:after="60" w:before="60"/>
        <w:ind w:left="360"/>
      </w:pPr>
      <w:r>
        <w:rPr>
          <w:rFonts w:ascii="Courier New" w:cs="Courier New" w:eastAsia="Courier New" w:hAnsi="Courier New"/>
          <w:color w:val="1F3864"/>
          <w:sz w:val="18"/>
          <w:szCs w:val="18"/>
        </w:rPr>
        <w:t xml:space="preserve">    use_amp: bool                    = True</w:t>
      </w:r>
    </w:p>
    <w:p>
      <w:pPr>
        <w:shd w:fill="EEF2F7" w:val="clear"/>
        <w:spacing w:after="60" w:before="60"/>
        <w:ind w:left="360"/>
      </w:pPr>
      <w:r>
        <w:rPr>
          <w:rFonts w:ascii="Courier New" w:cs="Courier New" w:eastAsia="Courier New" w:hAnsi="Courier New"/>
          <w:color w:val="1F3864"/>
          <w:sz w:val="18"/>
          <w:szCs w:val="18"/>
        </w:rPr>
        <w:t xml:space="preserve">    gradient_accumulation_steps: int = 4</w:t>
      </w:r>
    </w:p>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2.  Training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Setting</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Optimizer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AdamW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Weight Decay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Flash Attention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AMP (Mixed Precision)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Gradient Accumulation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 steps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Gradient Clipping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LR Schedule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Cosine decay 3e-4 to 1e-5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Sliding Window Overlap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Highly overlapped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Checkpoint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latest.pt only — overwrites each epoch</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3.  Training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160"/>
        <w:gridCol w:w="16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Epoch</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Train Loss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Val Loss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Perplexity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Learning Rate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20"/>
                <w:szCs w:val="20"/>
              </w:rPr>
              <w:t xml:space="preserve">3.4662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8.6967</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20"/>
                <w:szCs w:val="20"/>
              </w:rPr>
              <w:t xml:space="preserve">5,983</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0.000273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0.9319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10.7294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45,681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0.000201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0.4473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11.5839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107,358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0.000111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0.3232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11.8878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145,483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0.000038</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0.2834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11.9652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157,185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0.000010</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4.  Diagnosis</w:t>
      </w:r>
    </w:p>
    <w:p>
      <w:pPr>
        <w:spacing w:after="160" w:before="80"/>
      </w:pPr>
      <w:r>
        <w:rPr>
          <w:rFonts w:ascii="Arial" w:cs="Arial" w:eastAsia="Arial" w:hAnsi="Arial"/>
          <w:sz w:val="20"/>
          <w:szCs w:val="20"/>
        </w:rPr>
        <w:t xml:space="preserve">Train loss fell consistently across all five epochs while validation loss increased every epoch. The model memorised the training corpus rather than learning generalizable language patterns — a clear case of severe overfitting. Validation perplexity grew from 5,983 at epoch 1 to 157,185 at epoch 5, confirming that generalisation degraded with every additional epoch of training.</w:t>
      </w:r>
    </w:p>
    <w:p>
      <w:pPr>
        <w:spacing w:after="160" w:before="80"/>
      </w:pPr>
      <w:r>
        <w:rPr>
          <w:rFonts w:ascii="Arial" w:cs="Arial" w:eastAsia="Arial" w:hAnsi="Arial"/>
          <w:sz w:val="20"/>
          <w:szCs w:val="20"/>
        </w:rPr>
        <w:t xml:space="preserve">The best checkpoint produced by this run was at epoch 1 (val loss 8.6967), which was subsequently overwritten by the latest.pt checkpoint strategy. This represents a critical data loss: the only useful checkpoint from this experiment is irretrievable.</w:t>
      </w:r>
    </w:p>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5.  Root Cause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Factor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Severity</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Dataset volume</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300K tokens is substantially below what ~16M params requires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Insufficient regularisation</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Dropout too low relative to model capacity and data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Highly overlapped sliding window</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Reduced effective data diversity in training batches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Checkpoint strategy</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latest.pt only — best checkpoint at epoch 1 was overwritten and lost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Dropout rate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0.1 is insufficient for the available data scale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Flash Attention not used</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Missed memory efficiency on T4; no impact on generalisation</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6.  Recommendations for Experiment 02</w:t>
      </w:r>
    </w:p>
    <w:p>
      <w:pPr>
        <w:spacing w:after="160" w:before="80"/>
      </w:pPr>
      <w:r>
        <w:rPr>
          <w:rFonts w:ascii="Arial" w:cs="Arial" w:eastAsia="Arial" w:hAnsi="Arial"/>
          <w:sz w:val="20"/>
          <w:szCs w:val="20"/>
        </w:rPr>
        <w:t xml:space="preserve">The table below lists the recommendations arising from this experiment alongside their implementation status in Experiment 02A.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Priority</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Status in Experiment 02A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Increase training data to 5M+ tokens</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 corpus scaled to ~5M tokens (medical 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Scale model capacity to match data</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 70M params (d_model=512, 6 layers, 8 heads)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Fix checkpoint strategy — save best.pt + per-epoch</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 best.pt and epoch_N.pt saved each epoch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Reduce sliding window overlap (stride 32–64)</w:t>
            </w:r>
          </w:p>
        </w:tc>
        <w:tc>
          <w:tcPr>
            <w:tcW w:type="dxa" w:w="18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 stride set to 64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Increase dropout to 0.2</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Partially — dropout remained at 0.1 in 02A; raised to 0.15 in Experiment 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Enable Flash Attention / SDPA</w:t>
            </w:r>
          </w:p>
        </w:tc>
        <w:tc>
          <w:tcPr>
            <w:tcW w:type="dxa" w:w="18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Pending — scheduled for Experiment 03</w:t>
            </w:r>
          </w:p>
        </w:tc>
      </w:tr>
    </w:tbl>
    <w:p>
      <w:pPr>
        <w:spacing w:after="60" w:before="60"/>
      </w:pPr>
      <w:r>
        <w:t xml:space="preserve"/>
      </w:r>
    </w:p>
    <w:p>
      <w:pPr>
        <w:pStyle w:val="Heading2"/>
        <w:spacing w:after="120" w:before="240"/>
      </w:pPr>
      <w:r>
        <w:rPr>
          <w:rFonts w:ascii="Arial" w:cs="Arial" w:eastAsia="Arial" w:hAnsi="Arial"/>
          <w:b/>
          <w:bCs/>
          <w:color w:val="1F3864"/>
          <w:sz w:val="24"/>
          <w:szCs w:val="24"/>
        </w:rPr>
        <w:t xml:space="preserve">6.1  Increase Training Data (Primary Action)</w:t>
      </w:r>
    </w:p>
    <w:p>
      <w:pPr>
        <w:spacing w:after="160" w:before="80"/>
      </w:pPr>
      <w:r>
        <w:rPr>
          <w:rFonts w:ascii="Arial" w:cs="Arial" w:eastAsia="Arial" w:hAnsi="Arial"/>
          <w:sz w:val="20"/>
          <w:szCs w:val="20"/>
        </w:rPr>
        <w:t xml:space="preserve">The dominant failure mode is insufficient data volume. A ~16M parameter model trained on 300K tokens will memorise the corpus almost immediately. The primary corrective action for the next experiment is acquiring substantially more training data — a minimum of 5 million tokens. All other fixes are secondary to data volume.</w:t>
      </w:r>
    </w:p>
    <w:p>
      <w:pPr>
        <w:pStyle w:val="Heading2"/>
        <w:spacing w:after="120" w:before="240"/>
      </w:pPr>
      <w:r>
        <w:rPr>
          <w:rFonts w:ascii="Arial" w:cs="Arial" w:eastAsia="Arial" w:hAnsi="Arial"/>
          <w:b/>
          <w:bCs/>
          <w:color w:val="1F3864"/>
          <w:sz w:val="24"/>
          <w:szCs w:val="24"/>
        </w:rPr>
        <w:t xml:space="preserve">6.2  Scale Model Capacity to Match Data</w:t>
      </w:r>
    </w:p>
    <w:p>
      <w:pPr>
        <w:spacing w:after="160" w:before="80"/>
      </w:pPr>
      <w:r>
        <w:rPr>
          <w:rFonts w:ascii="Arial" w:cs="Arial" w:eastAsia="Arial" w:hAnsi="Arial"/>
          <w:sz w:val="20"/>
          <w:szCs w:val="20"/>
        </w:rPr>
        <w:t xml:space="preserve">Alongside data scaling, model capacity should be increased proportionally. Experiment 02A raised d_model to 512, num_layers to 6, and num_heads to 8, yielding approximately 70M parameters — a better match for a 5M token corpus.</w:t>
      </w:r>
    </w:p>
    <w:p>
      <w:pPr>
        <w:pStyle w:val="Heading2"/>
        <w:spacing w:after="120" w:before="240"/>
      </w:pPr>
      <w:r>
        <w:rPr>
          <w:rFonts w:ascii="Arial" w:cs="Arial" w:eastAsia="Arial" w:hAnsi="Arial"/>
          <w:b/>
          <w:bCs/>
          <w:color w:val="1F3864"/>
          <w:sz w:val="24"/>
          <w:szCs w:val="24"/>
        </w:rPr>
        <w:t xml:space="preserve">6.3  Fix Checkpoint Strategy</w:t>
      </w:r>
    </w:p>
    <w:p>
      <w:pPr>
        <w:spacing w:after="160" w:before="80"/>
      </w:pPr>
      <w:r>
        <w:rPr>
          <w:rFonts w:ascii="Arial" w:cs="Arial" w:eastAsia="Arial" w:hAnsi="Arial"/>
          <w:sz w:val="20"/>
          <w:szCs w:val="20"/>
        </w:rPr>
        <w:t xml:space="preserve">Saving only latest.pt is a critical flaw. The best checkpoint from this run (epoch 1) was permanently lost. Experiment 02A resolved this by saving best.pt after each validation improvement and per-epoch snapshots (epoch_N.pt).</w:t>
      </w:r>
    </w:p>
    <w:p>
      <w:pPr>
        <w:shd w:fill="EEF2F7" w:val="clear"/>
        <w:spacing w:after="60" w:before="60"/>
        <w:ind w:left="360"/>
      </w:pPr>
      <w:r>
        <w:rPr>
          <w:rFonts w:ascii="Courier New" w:cs="Courier New" w:eastAsia="Courier New" w:hAnsi="Courier New"/>
          <w:color w:val="1F3864"/>
          <w:sz w:val="18"/>
          <w:szCs w:val="18"/>
        </w:rPr>
        <w:t xml:space="preserve">if val_loss &lt; best_val_loss:</w:t>
      </w:r>
    </w:p>
    <w:p>
      <w:pPr>
        <w:shd w:fill="EEF2F7" w:val="clear"/>
        <w:spacing w:after="60" w:before="60"/>
        <w:ind w:left="360"/>
      </w:pPr>
      <w:r>
        <w:rPr>
          <w:rFonts w:ascii="Courier New" w:cs="Courier New" w:eastAsia="Courier New" w:hAnsi="Courier New"/>
          <w:color w:val="1F3864"/>
          <w:sz w:val="18"/>
          <w:szCs w:val="18"/>
        </w:rPr>
        <w:t xml:space="preserve">    best_val_loss = val_loss</w:t>
      </w:r>
    </w:p>
    <w:p>
      <w:pPr>
        <w:shd w:fill="EEF2F7" w:val="clear"/>
        <w:spacing w:after="60" w:before="60"/>
        <w:ind w:left="360"/>
      </w:pPr>
      <w:r>
        <w:rPr>
          <w:rFonts w:ascii="Courier New" w:cs="Courier New" w:eastAsia="Courier New" w:hAnsi="Courier New"/>
          <w:color w:val="1F3864"/>
          <w:sz w:val="18"/>
          <w:szCs w:val="18"/>
        </w:rPr>
        <w:t xml:space="preserve">    torch.save(checkpoint, "checkpoints/best.pt")</w:t>
      </w:r>
    </w:p>
    <w:p>
      <w:pPr>
        <w:shd w:fill="EEF2F7" w:val="clear"/>
        <w:spacing w:after="60" w:before="60"/>
        <w:ind w:left="360"/>
      </w:pPr>
      <w:r>
        <w:rPr>
          <w:rFonts w:ascii="Courier New" w:cs="Courier New" w:eastAsia="Courier New" w:hAnsi="Courier New"/>
          <w:color w:val="1F3864"/>
          <w:sz w:val="18"/>
          <w:szCs w:val="18"/>
        </w:rPr>
        <w:t xml:space="preserve"/>
      </w:r>
    </w:p>
    <w:p>
      <w:pPr>
        <w:shd w:fill="EEF2F7" w:val="clear"/>
        <w:spacing w:after="60" w:before="60"/>
        <w:ind w:left="360"/>
      </w:pPr>
      <w:r>
        <w:rPr>
          <w:rFonts w:ascii="Courier New" w:cs="Courier New" w:eastAsia="Courier New" w:hAnsi="Courier New"/>
          <w:color w:val="1F3864"/>
          <w:sz w:val="18"/>
          <w:szCs w:val="18"/>
        </w:rPr>
        <w:t xml:space="preserve">torch.save(checkpoint, f"checkpoints/epoch_{epoch}.pt")</w:t>
      </w:r>
    </w:p>
    <w:p>
      <w:pPr>
        <w:pStyle w:val="Heading2"/>
        <w:spacing w:after="120" w:before="240"/>
      </w:pPr>
      <w:r>
        <w:rPr>
          <w:rFonts w:ascii="Arial" w:cs="Arial" w:eastAsia="Arial" w:hAnsi="Arial"/>
          <w:b/>
          <w:bCs/>
          <w:color w:val="1F3864"/>
          <w:sz w:val="24"/>
          <w:szCs w:val="24"/>
        </w:rPr>
        <w:t xml:space="preserve">6.4  Reduce Sliding Window Overlap</w:t>
      </w:r>
    </w:p>
    <w:p>
      <w:pPr>
        <w:spacing w:after="160" w:before="80"/>
      </w:pPr>
      <w:r>
        <w:rPr>
          <w:rFonts w:ascii="Arial" w:cs="Arial" w:eastAsia="Arial" w:hAnsi="Arial"/>
          <w:sz w:val="20"/>
          <w:szCs w:val="20"/>
        </w:rPr>
        <w:t xml:space="preserve">Using a stride of 64 tokens (as implemented in Experiment 02A) substantially reduces the proportion of duplicate subsequences in training batches, improving effective data diversity without requiring additional source data.</w:t>
      </w:r>
    </w:p>
    <w:p>
      <w:pPr>
        <w:pStyle w:val="Heading2"/>
        <w:spacing w:after="120" w:before="240"/>
      </w:pPr>
      <w:r>
        <w:rPr>
          <w:rFonts w:ascii="Arial" w:cs="Arial" w:eastAsia="Arial" w:hAnsi="Arial"/>
          <w:b/>
          <w:bCs/>
          <w:color w:val="1F3864"/>
          <w:sz w:val="24"/>
          <w:szCs w:val="24"/>
        </w:rPr>
        <w:t xml:space="preserve">6.5  Regularisation (Secondary)</w:t>
      </w:r>
    </w:p>
    <w:p>
      <w:pPr>
        <w:spacing w:after="160" w:before="80"/>
      </w:pPr>
      <w:r>
        <w:rPr>
          <w:rFonts w:ascii="Arial" w:cs="Arial" w:eastAsia="Arial" w:hAnsi="Arial"/>
          <w:sz w:val="20"/>
          <w:szCs w:val="20"/>
        </w:rPr>
        <w:t xml:space="preserve">Dropout should be increased in subsequent experiments. In Experiment 02A dropout remained at 0.1 due to the larger data volume; it has been raised to 0.15 for Experiment 03. Enabling Flash Attention / PyTorch SDPA is also deferred to Experiment 03.</w:t>
      </w:r>
    </w:p>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7.  Proposed Configuration for Experiment 02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Exp 01 Value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Proposed for Exp 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vocab_size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50257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50257 (unchanged)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context_length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256 (doubled)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512 (doubled)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num_heads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 (doubled)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num_layers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 (increased)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0.1 (re-evaluate after data scaling)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gradient_accumulation_steps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 (doubled)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Highly overlapped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64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Checkpoint 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latest.pt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best.pt + epoch_N.pt + latest.pt</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8.  Experiment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Experiment 01</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Experiment 02A</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3864"/>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~300K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~5M tokens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Model Parameters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~70M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 Validation Loss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11.97 (epoch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4.02 (epoch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 Perplexity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157,185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55.7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~2,820×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Validation Loss 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Increasing (overfitting)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Decreasing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Generalisation achieved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Best Checkpoint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Lost (overwritten)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Preserved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Issue resolved</w:t>
            </w:r>
          </w:p>
        </w:tc>
      </w:tr>
    </w:tbl>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9.  Summary</w:t>
      </w:r>
    </w:p>
    <w:p>
      <w:pPr>
        <w:spacing w:after="160" w:before="80"/>
      </w:pPr>
      <w:r>
        <w:rPr>
          <w:rFonts w:ascii="Arial" w:cs="Arial" w:eastAsia="Arial" w:hAnsi="Arial"/>
          <w:sz w:val="20"/>
          <w:szCs w:val="20"/>
        </w:rPr>
        <w:t xml:space="preserve">This run confirmed that a ~16M parameter model fails to generalise on 300K tokens despite weight decay. Insufficient dropout, highly overlapped training windows, and a dataset substantially below the token scale required for this parameter count collectively prevented the model from learning generalizable representations. The best checkpoint was produced at epoch 1 and has since been lost due to the single-checkpoint save strategy.</w:t>
      </w:r>
    </w:p>
    <w:p>
      <w:pPr>
        <w:spacing w:after="160" w:before="80"/>
      </w:pPr>
      <w:r>
        <w:rPr>
          <w:rFonts w:ascii="Arial" w:cs="Arial" w:eastAsia="Arial" w:hAnsi="Arial"/>
          <w:sz w:val="20"/>
          <w:szCs w:val="20"/>
        </w:rPr>
        <w:t xml:space="preserve">The primary corrective action for Experiment 02 is acquiring more training data. Experiment 02A addressed all high-severity issues identified here: data volume was raised to 5M tokens, model capacity was scaled to ~70M parameters, the checkpoint strategy was fixed, and the sliding window stride was reduced to 64 tokens. The result was the first successful generalisation run in this series, with validation loss decreasing from 4.66 at epoch 1 to 4.02 at epoch 5 and a final perplexity of 55.7.</w:t>
      </w:r>
    </w:p>
    <w:p>
      <w:pPr>
        <w:spacing w:after="60" w:before="60"/>
      </w:pPr>
      <w:r>
        <w:t xml:space="preserve"/>
      </w:r>
    </w:p>
    <w:p>
      <w:pPr>
        <w:pStyle w:val="Heading1"/>
        <w:pBdr>
          <w:bottom w:val="single" w:color="2E75B6" w:sz="6" w:space="1"/>
        </w:pBdr>
        <w:spacing w:after="160" w:before="320"/>
      </w:pPr>
      <w:r>
        <w:rPr>
          <w:rFonts w:ascii="Arial" w:cs="Arial" w:eastAsia="Arial" w:hAnsi="Arial"/>
          <w:b/>
          <w:bCs/>
          <w:color w:val="2E75B6"/>
          <w:sz w:val="28"/>
          <w:szCs w:val="28"/>
        </w:rPr>
        <w:t xml:space="preserve">10.  Future Work</w:t>
      </w:r>
    </w:p>
    <w:p>
      <w:pPr>
        <w:spacing w:after="160" w:before="80"/>
      </w:pPr>
      <w:r>
        <w:rPr>
          <w:rFonts w:ascii="Arial" w:cs="Arial" w:eastAsia="Arial" w:hAnsi="Arial"/>
          <w:sz w:val="20"/>
          <w:szCs w:val="20"/>
        </w:rPr>
        <w:t xml:space="preserve">The following items were identified as future work at the close of Experiment 01. Their status is updated here in light of Experiment 02A.</w:t>
      </w:r>
    </w:p>
    <w:p>
      <w:pPr>
        <w:pStyle w:val="Heading2"/>
        <w:spacing w:after="120" w:before="240"/>
      </w:pPr>
      <w:r>
        <w:rPr>
          <w:rFonts w:ascii="Arial" w:cs="Arial" w:eastAsia="Arial" w:hAnsi="Arial"/>
          <w:b/>
          <w:bCs/>
          <w:color w:val="1F3864"/>
          <w:sz w:val="24"/>
          <w:szCs w:val="24"/>
        </w:rPr>
        <w:t xml:space="preserve">10.1  Tokenizer Benchmarking — Custom BPE vs. tiktoken</w:t>
      </w:r>
    </w:p>
    <w:p>
      <w:pPr>
        <w:spacing w:after="160" w:before="80"/>
      </w:pPr>
      <w:r>
        <w:rPr>
          <w:rFonts w:ascii="Arial" w:cs="Arial" w:eastAsia="Arial" w:hAnsi="Arial"/>
          <w:sz w:val="20"/>
          <w:szCs w:val="20"/>
        </w:rPr>
        <w:t xml:space="preserve">Both Experiments 01 and 02A used tiktoken (cl100k_base). A dedicated tokenizer benchmarking experiment remains planned before the large-scale 1B token training run. The evaluation criterion will be compression efficiency on a held-out medical validation set: average tokens per character and subword fragmentation rate on high-frequency medical terminology. The tokenizer that produces more compact and semantically coherent encodings of medical text will be used for the 124M parameter run.</w:t>
      </w:r>
    </w:p>
    <w:p>
      <w:pPr>
        <w:pStyle w:val="Heading2"/>
        <w:spacing w:after="120" w:before="240"/>
      </w:pPr>
      <w:r>
        <w:rPr>
          <w:rFonts w:ascii="Arial" w:cs="Arial" w:eastAsia="Arial" w:hAnsi="Arial"/>
          <w:b/>
          <w:bCs/>
          <w:color w:val="1F3864"/>
          <w:sz w:val="24"/>
          <w:szCs w:val="24"/>
        </w:rPr>
        <w:t xml:space="preserve">10.2  Flash Attention and PyTorch SDPA</w:t>
      </w:r>
    </w:p>
    <w:p>
      <w:pPr>
        <w:spacing w:after="160" w:before="80"/>
      </w:pPr>
      <w:r>
        <w:rPr>
          <w:rFonts w:ascii="Arial" w:cs="Arial" w:eastAsia="Arial" w:hAnsi="Arial"/>
          <w:sz w:val="20"/>
          <w:szCs w:val="20"/>
        </w:rPr>
        <w:t xml:space="preserve">Flash Attention was not enabled in either Experiment 01 or Experiment 02A. The T4 supports PyTorch Scaled Dot-Product Attention (SDPA), which reduces memory pressure and allows larger effective batch sizes or longer context windows. Implementation is scheduled for Experiment 03.</w:t>
      </w:r>
    </w:p>
    <w:p>
      <w:pPr>
        <w:shd w:fill="EEF2F7" w:val="clear"/>
        <w:spacing w:after="60" w:before="60"/>
        <w:ind w:left="360"/>
      </w:pPr>
      <w:r>
        <w:rPr>
          <w:rFonts w:ascii="Courier New" w:cs="Courier New" w:eastAsia="Courier New" w:hAnsi="Courier New"/>
          <w:color w:val="1F3864"/>
          <w:sz w:val="18"/>
          <w:szCs w:val="18"/>
        </w:rPr>
        <w:t xml:space="preserve">with torch.backends.cuda.sdp_kernel(enable_flash=True):</w:t>
      </w:r>
    </w:p>
    <w:p>
      <w:pPr>
        <w:shd w:fill="EEF2F7" w:val="clear"/>
        <w:spacing w:after="60" w:before="60"/>
        <w:ind w:left="360"/>
      </w:pPr>
      <w:r>
        <w:rPr>
          <w:rFonts w:ascii="Courier New" w:cs="Courier New" w:eastAsia="Courier New" w:hAnsi="Courier New"/>
          <w:color w:val="1F3864"/>
          <w:sz w:val="18"/>
          <w:szCs w:val="18"/>
        </w:rPr>
        <w:t xml:space="preserve">    attn_output = F.scaled_dot_product_attention(</w:t>
      </w:r>
    </w:p>
    <w:p>
      <w:pPr>
        <w:shd w:fill="EEF2F7" w:val="clear"/>
        <w:spacing w:after="60" w:before="60"/>
        <w:ind w:left="360"/>
      </w:pPr>
      <w:r>
        <w:rPr>
          <w:rFonts w:ascii="Courier New" w:cs="Courier New" w:eastAsia="Courier New" w:hAnsi="Courier New"/>
          <w:color w:val="1F3864"/>
          <w:sz w:val="18"/>
          <w:szCs w:val="18"/>
        </w:rPr>
        <w:t xml:space="preserve">        q, k, v, dropout_p=self.dropout</w:t>
      </w:r>
    </w:p>
    <w:p>
      <w:pPr>
        <w:shd w:fill="EEF2F7" w:val="clear"/>
        <w:spacing w:after="60" w:before="60"/>
        <w:ind w:left="360"/>
      </w:pPr>
      <w:r>
        <w:rPr>
          <w:rFonts w:ascii="Courier New" w:cs="Courier New" w:eastAsia="Courier New" w:hAnsi="Courier New"/>
          <w:color w:val="1F3864"/>
          <w:sz w:val="18"/>
          <w:szCs w:val="18"/>
        </w:rPr>
        <w:t xml:space="preserve">    )</w:t>
      </w:r>
    </w:p>
    <w:p>
      <w:pPr>
        <w:pStyle w:val="Heading2"/>
        <w:spacing w:after="120" w:before="240"/>
      </w:pPr>
      <w:r>
        <w:rPr>
          <w:rFonts w:ascii="Arial" w:cs="Arial" w:eastAsia="Arial" w:hAnsi="Arial"/>
          <w:b/>
          <w:bCs/>
          <w:color w:val="1F3864"/>
          <w:sz w:val="24"/>
          <w:szCs w:val="24"/>
        </w:rPr>
        <w:t xml:space="preserve">10.3  KV-Cache for Inference</w:t>
      </w:r>
    </w:p>
    <w:p>
      <w:pPr>
        <w:spacing w:after="160" w:before="80"/>
      </w:pPr>
      <w:r>
        <w:rPr>
          <w:rFonts w:ascii="Arial" w:cs="Arial" w:eastAsia="Arial" w:hAnsi="Arial"/>
          <w:sz w:val="20"/>
          <w:szCs w:val="20"/>
        </w:rPr>
        <w:t xml:space="preserve">Adding a KV-cache to the inference pipeline will reduce redundant computation during autoregressive generation. Generation latency benchmarking at different sequence lengths is deferred until after Experiment 03.</w:t>
      </w:r>
    </w:p>
    <w:p>
      <w:pPr>
        <w:pStyle w:val="Heading2"/>
        <w:spacing w:after="120" w:before="240"/>
      </w:pPr>
      <w:r>
        <w:rPr>
          <w:rFonts w:ascii="Arial" w:cs="Arial" w:eastAsia="Arial" w:hAnsi="Arial"/>
          <w:b/>
          <w:bCs/>
          <w:color w:val="1F3864"/>
          <w:sz w:val="24"/>
          <w:szCs w:val="24"/>
        </w:rPr>
        <w:t xml:space="preserve">10.4  Large-Scale Medical Training Run — 124M Parameters, 1B Tokens</w:t>
      </w:r>
    </w:p>
    <w:p>
      <w:pPr>
        <w:spacing w:after="160" w:before="80"/>
      </w:pPr>
      <w:r>
        <w:rPr>
          <w:rFonts w:ascii="Arial" w:cs="Arial" w:eastAsia="Arial" w:hAnsi="Arial"/>
          <w:sz w:val="20"/>
          <w:szCs w:val="20"/>
        </w:rPr>
        <w:t xml:space="preserve">The principal objective for Experiment 03 and beyond is a full-scale training run on approximately 1 billion medical tokens using a 124 million parameter model. This configuration mirrors the GPT-2 small architecture and provides a well-understood baseline for comparison against published results. The Chinchilla heuristic (approximately 20 tokens per parameter) implies roughly 2.5 billion tokens at this scale; 1 billion represents a practical intermediate target.</w:t>
      </w:r>
    </w:p>
    <w:p>
      <w:pPr>
        <w:pStyle w:val="Heading2"/>
        <w:spacing w:after="120" w:before="240"/>
      </w:pPr>
      <w:r>
        <w:rPr>
          <w:rFonts w:ascii="Arial" w:cs="Arial" w:eastAsia="Arial" w:hAnsi="Arial"/>
          <w:b/>
          <w:bCs/>
          <w:color w:val="1F3864"/>
          <w:sz w:val="24"/>
          <w:szCs w:val="24"/>
        </w:rPr>
        <w:t xml:space="preserve">10.5  Empirical Scaling Law Experiments</w:t>
      </w:r>
    </w:p>
    <w:p>
      <w:pPr>
        <w:spacing w:after="160" w:before="80"/>
      </w:pPr>
      <w:r>
        <w:rPr>
          <w:rFonts w:ascii="Arial" w:cs="Arial" w:eastAsia="Arial" w:hAnsi="Arial"/>
          <w:sz w:val="20"/>
          <w:szCs w:val="20"/>
        </w:rPr>
        <w:t xml:space="preserve">A grid of model sizes should be trained against increasing token budgets to characterise the optimal compute frontier for this corpus. This work will inform hardware and data acquisition decisions for runs beyond Experiment 03.</w:t>
      </w:r>
    </w:p>
    <w:p>
      <w:pPr>
        <w:pStyle w:val="Heading2"/>
        <w:spacing w:after="120" w:before="240"/>
      </w:pPr>
      <w:r>
        <w:rPr>
          <w:rFonts w:ascii="Arial" w:cs="Arial" w:eastAsia="Arial" w:hAnsi="Arial"/>
          <w:b/>
          <w:bCs/>
          <w:color w:val="1F3864"/>
          <w:sz w:val="24"/>
          <w:szCs w:val="24"/>
        </w:rPr>
        <w:t xml:space="preserve">10.6  Evaluation on Domain-Specific Benchmarks</w:t>
      </w:r>
    </w:p>
    <w:p>
      <w:pPr>
        <w:spacing w:after="160" w:before="80"/>
      </w:pPr>
      <w:r>
        <w:rPr>
          <w:rFonts w:ascii="Arial" w:cs="Arial" w:eastAsia="Arial" w:hAnsi="Arial"/>
          <w:sz w:val="20"/>
          <w:szCs w:val="20"/>
        </w:rPr>
        <w:t xml:space="preserve">Once model quality reaches a sufficient threshold, generated text should be evaluated on domain-specific benchmarks using automated metrics including BLEU, ROUGE, and perplexity on a separate medical held-out set. Factual reliability against verified medical references should be assessed once generation quality is adequate — this is not expected at the parameter counts and data scales explored in Experiments 01 and 02A.</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spacing w:before="120"/>
    </w:pPr>
    <w:r>
      <w:rPr>
        <w:rFonts w:ascii="Arial" w:cs="Arial" w:eastAsia="Arial" w:hAnsi="Arial"/>
        <w:color w:val="888888"/>
        <w:sz w:val="16"/>
        <w:szCs w:val="16"/>
      </w:rPr>
      <w:t xml:space="preserve">Confidential — Internal Research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Experiment 01  —  GPT Training Report</w:t>
    </w:r>
    <w:r>
      <w:rPr>
        <w:sz w:val="18"/>
        <w:szCs w:val="18"/>
      </w:rPr>
      <w:t xml:space="preserve">	</w:t>
    </w:r>
    <w:r>
      <w:rPr>
        <w:rFonts w:ascii="Arial" w:cs="Arial" w:eastAsia="Arial" w:hAnsi="Arial"/>
        <w:color w:val="888888"/>
        <w:sz w:val="18"/>
        <w:szCs w:val="18"/>
      </w:rPr>
      <w:t xml:space="preserve">2026-05-03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2026-05-03T19:09:17.090Z</dcterms:created>
  <dcterms:modified xsi:type="dcterms:W3CDTF">2026-05-03T19:09:17.091Z</dcterms:modified>
</cp:coreProperties>
</file>

<file path=docProps/custom.xml><?xml version="1.0" encoding="utf-8"?>
<Properties xmlns="http://schemas.openxmlformats.org/officeDocument/2006/custom-properties" xmlns:vt="http://schemas.openxmlformats.org/officeDocument/2006/docPropsVTypes"/>
</file>