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Environmental, Social &amp; Governance (ESG) Report 2025</w:t>
      </w:r>
    </w:p>
    <w:p>
      <w:r>
        <w:rPr>
          <w:b/>
        </w:rPr>
        <w:t xml:space="preserve">Company: </w:t>
      </w:r>
      <w:r>
        <w:t>GreenCore Industrial Solutions Pvt. Ltd.</w:t>
        <w:br/>
      </w:r>
      <w:r>
        <w:t>Reporting Period: FY2025</w:t>
        <w:br/>
      </w:r>
    </w:p>
    <w:p>
      <w:pPr>
        <w:pStyle w:val="Heading2"/>
      </w:pPr>
      <w:r>
        <w:t>Executive Summary</w:t>
      </w:r>
    </w:p>
    <w:p>
      <w:r>
        <w:t>GreenCore Industrial Solutions continued to improve its ESG performance during FY2025 by investing in energy efficiency, employee wellbeing, governance transparency, and responsible supply chain practices. The company reduced operational energy intensity, increased workforce training hours, and expanded supplier compliance monitoring.</w:t>
      </w:r>
    </w:p>
    <w:p>
      <w:pPr>
        <w:pStyle w:val="Heading2"/>
      </w:pPr>
      <w:r>
        <w:t>Environmental Performance</w:t>
      </w:r>
    </w:p>
    <w:p>
      <w:r>
        <w:t>Key Highlights:</w:t>
      </w:r>
    </w:p>
    <w:p>
      <w:r>
        <w:t>• Reduced electricity consumption by 9% through equipment modernization.</w:t>
      </w:r>
    </w:p>
    <w:p>
      <w:r>
        <w:t>• Installed rooftop solar systems generating 18% of facility electricity.</w:t>
      </w:r>
    </w:p>
    <w:p>
      <w:r>
        <w:t>• Reduced Scope 2 emissions by 12%.</w:t>
      </w:r>
    </w:p>
    <w:p>
      <w:r>
        <w:t>• Recycled 74% of manufacturing scrap.</w:t>
      </w:r>
    </w:p>
    <w:p>
      <w:r>
        <w:t>• Reduced freshwater consumption by 15%.</w:t>
      </w:r>
    </w:p>
    <w:p>
      <w:pPr>
        <w:pStyle w:val="Heading2"/>
      </w:pPr>
      <w:r>
        <w:t>Social Responsibility</w:t>
      </w:r>
    </w:p>
    <w:p>
      <w:r>
        <w:t>Highlights:</w:t>
      </w:r>
    </w:p>
    <w:p>
      <w:r>
        <w:t>• Workforce: 1,240 employees</w:t>
      </w:r>
    </w:p>
    <w:p>
      <w:r>
        <w:t>• Women in workforce: 31%</w:t>
      </w:r>
    </w:p>
    <w:p>
      <w:r>
        <w:t>• Employee retention: 92%</w:t>
      </w:r>
    </w:p>
    <w:p>
      <w:r>
        <w:t>• Average training: 28 hours per employee</w:t>
      </w:r>
    </w:p>
    <w:p>
      <w:r>
        <w:t>• Lost Time Injury Frequency Rate reduced by 21%.</w:t>
      </w:r>
    </w:p>
    <w:p>
      <w:r>
        <w:t>Community investments included STEM education, technical scholarships, and local healthcare initiatives.</w:t>
      </w:r>
    </w:p>
    <w:p>
      <w:pPr>
        <w:pStyle w:val="Heading2"/>
      </w:pPr>
      <w:r>
        <w:t>Governance</w:t>
      </w:r>
    </w:p>
    <w:p>
      <w:r>
        <w:t>Board independence reached 60%. Annual ethics training achieved 100% completion. No confirmed corruption incidents were reported. Cybersecurity audits were conducted twice during the year. Supplier ESG assessments covered 85% of procurement spend.</w:t>
      </w:r>
    </w:p>
    <w:p>
      <w:pPr>
        <w:pStyle w:val="Heading2"/>
      </w:pPr>
      <w:r>
        <w:t>ESG Metrics</w:t>
      </w:r>
    </w:p>
    <w:p>
      <w:r>
        <w:t>Energy intensity: -9%</w:t>
      </w:r>
    </w:p>
    <w:p>
      <w:r>
        <w:t>Scope 2 emissions: -12%</w:t>
      </w:r>
    </w:p>
    <w:p>
      <w:r>
        <w:t>Renewable energy share: 18%</w:t>
      </w:r>
    </w:p>
    <w:p>
      <w:r>
        <w:t>Water consumption: -15%</w:t>
      </w:r>
    </w:p>
    <w:p>
      <w:r>
        <w:t>Waste recycled: 74%</w:t>
      </w:r>
    </w:p>
    <w:p>
      <w:r>
        <w:t>Employee retention: 92%</w:t>
      </w:r>
    </w:p>
    <w:p>
      <w:r>
        <w:t>Training hours/employee: 28</w:t>
      </w:r>
    </w:p>
    <w:p>
      <w:r>
        <w:t>Independent directors: 60%</w:t>
      </w:r>
    </w:p>
    <w:p>
      <w:pPr>
        <w:pStyle w:val="Heading2"/>
      </w:pPr>
      <w:r>
        <w:t>Risks and Opportunities</w:t>
      </w:r>
    </w:p>
    <w:p>
      <w:r>
        <w:t>Climate-related supply disruptions, increasing ESG regulations, and cybersecurity remain key risks. Opportunities include green manufacturing, AI-driven energy optimization, sustainable product design, and circular economy initiatives.</w:t>
      </w:r>
    </w:p>
    <w:p>
      <w:pPr>
        <w:pStyle w:val="Heading2"/>
      </w:pPr>
      <w:r>
        <w:t>Future Commitments</w:t>
      </w:r>
    </w:p>
    <w:p>
      <w:r>
        <w:t>Increase renewable energy usage to 35% by FY2028, achieve 90% waste recycling, reduce carbon emissions by 30%, and publish externally assured ESG disclosures annually.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