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left"/>
        <w:pBdr>
          <w:top w:val="nil"/>
          <w:left w:val="nil"/>
          <w:bottom w:val="nil"/>
          <w:right w:val="nil"/>
          <w:between w:val="nil"/>
          <w:bar w:val="nil"/>
        </w:pBdr>
      </w:pPr>
      <w:r>
        <w:rPr>
          <w:rFonts w:ascii="Arial" w:hAnsi="Arial"/>
          <w:b/>
          <w:color w:val="000000"/>
          <w:sz w:val="52"/>
        </w:rPr>
        <w:t>CYPHER Final Report Technical Clarifications</w:t>
      </w:r>
    </w:p>
    <w:p>
      <w:pPr>
        <w:spacing w:after="240" w:before="0" w:line="269" w:lineRule="auto"/>
        <w:pBdr>
          <w:top w:val="nil"/>
          <w:left w:val="nil"/>
          <w:bottom w:val="nil"/>
          <w:right w:val="nil"/>
          <w:between w:val="nil"/>
          <w:bar w:val="nil"/>
        </w:pBdr>
      </w:pPr>
      <w:r>
        <w:rPr>
          <w:rFonts w:ascii="Arial" w:hAnsi="Arial"/>
          <w:b w:val="0"/>
          <w:color w:val="0C7C86"/>
          <w:sz w:val="25"/>
        </w:rPr>
        <w:t>Verified database, deployment, access-control, API and model evidence</w:t>
      </w:r>
    </w:p>
    <w:tbl>
      <w:tblPr>
        <w:tblW w:type="auto" w:w="0"/>
        <w:jc w:val="left"/>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4819"/>
        <w:gridCol w:w="4819"/>
      </w:tblGrid>
      <w:tr>
        <w:trPr>
          <w:tblHeader w:val="true"/>
        </w:trPr>
        <w:tc>
          <w:tcPr>
            <w:tcW w:type="dxa" w:w="1928"/>
            <w:shd w:fill="17324D"/>
            <w:tcMar>
              <w:top w:w="100" w:type="dxa"/>
              <w:start w:w="120" w:type="dxa"/>
              <w:bottom w:w="100" w:type="dxa"/>
              <w:end w:w="120" w:type="dxa"/>
            </w:tcMar>
          </w:tcPr>
          <w:p>
            <w:pPr>
              <w:spacing w:after="0"/>
            </w:pPr>
            <w:r>
              <w:rPr>
                <w:rFonts w:ascii="Arial" w:hAnsi="Arial"/>
                <w:b/>
                <w:color w:val="FFFFFF"/>
                <w:sz w:val="18"/>
              </w:rPr>
              <w:t>Field</w:t>
            </w:r>
          </w:p>
        </w:tc>
        <w:tc>
          <w:tcPr>
            <w:tcW w:type="dxa" w:w="6803"/>
            <w:shd w:fill="17324D"/>
            <w:tcMar>
              <w:top w:w="100" w:type="dxa"/>
              <w:start w:w="120" w:type="dxa"/>
              <w:bottom w:w="100" w:type="dxa"/>
              <w:end w:w="120" w:type="dxa"/>
            </w:tcMar>
          </w:tcPr>
          <w:p>
            <w:pPr>
              <w:spacing w:after="0"/>
            </w:pPr>
            <w:r>
              <w:rPr>
                <w:rFonts w:ascii="Arial" w:hAnsi="Arial"/>
                <w:b/>
                <w:color w:val="FFFFFF"/>
                <w:sz w:val="18"/>
              </w:rPr>
              <w:t>Value</w:t>
            </w:r>
          </w:p>
        </w:tc>
      </w:tr>
      <w:tr>
        <w:tc>
          <w:tcPr>
            <w:tcW w:type="dxa" w:w="1928"/>
            <w:shd w:fill="EAF3F7"/>
            <w:tcMar>
              <w:top w:w="100" w:type="dxa"/>
              <w:start w:w="120" w:type="dxa"/>
              <w:bottom w:w="100" w:type="dxa"/>
              <w:end w:w="120" w:type="dxa"/>
            </w:tcMar>
          </w:tcPr>
          <w:p>
            <w:pPr>
              <w:spacing w:after="0"/>
            </w:pPr>
            <w:r>
              <w:rPr>
                <w:rFonts w:ascii="Arial" w:hAnsi="Arial"/>
                <w:b/>
                <w:color w:val="202A33"/>
                <w:sz w:val="18"/>
              </w:rPr>
              <w:t>Prepared for</w:t>
            </w:r>
          </w:p>
        </w:tc>
        <w:tc>
          <w:tcPr>
            <w:tcW w:type="dxa" w:w="6803"/>
            <w:shd w:fill="FFFFFF"/>
            <w:tcMar>
              <w:top w:w="100" w:type="dxa"/>
              <w:start w:w="120" w:type="dxa"/>
              <w:bottom w:w="100" w:type="dxa"/>
              <w:end w:w="120" w:type="dxa"/>
            </w:tcMar>
          </w:tcPr>
          <w:p>
            <w:pPr>
              <w:spacing w:after="0"/>
            </w:pPr>
            <w:r>
              <w:rPr>
                <w:rFonts w:ascii="Arial" w:hAnsi="Arial"/>
                <w:b w:val="0"/>
                <w:color w:val="202A33"/>
                <w:sz w:val="18"/>
              </w:rPr>
              <w:t>Final project report and technical review</w:t>
            </w:r>
          </w:p>
        </w:tc>
      </w:tr>
      <w:tr>
        <w:tc>
          <w:tcPr>
            <w:tcW w:type="dxa" w:w="1928"/>
            <w:shd w:fill="EAF3F7"/>
            <w:tcMar>
              <w:top w:w="100" w:type="dxa"/>
              <w:start w:w="120" w:type="dxa"/>
              <w:bottom w:w="100" w:type="dxa"/>
              <w:end w:w="120" w:type="dxa"/>
            </w:tcMar>
          </w:tcPr>
          <w:p>
            <w:pPr>
              <w:spacing w:after="0"/>
            </w:pPr>
            <w:r>
              <w:rPr>
                <w:rFonts w:ascii="Arial" w:hAnsi="Arial"/>
                <w:b/>
                <w:color w:val="202A33"/>
                <w:sz w:val="18"/>
              </w:rPr>
              <w:t>Prepared by</w:t>
            </w:r>
          </w:p>
        </w:tc>
        <w:tc>
          <w:tcPr>
            <w:tcW w:type="dxa" w:w="6803"/>
            <w:shd w:fill="FFFFFF"/>
            <w:tcMar>
              <w:top w:w="100" w:type="dxa"/>
              <w:start w:w="120" w:type="dxa"/>
              <w:bottom w:w="100" w:type="dxa"/>
              <w:end w:w="120" w:type="dxa"/>
            </w:tcMar>
          </w:tcPr>
          <w:p>
            <w:pPr>
              <w:spacing w:after="0"/>
            </w:pPr>
            <w:r>
              <w:rPr>
                <w:rFonts w:ascii="Arial" w:hAnsi="Arial"/>
                <w:b w:val="0"/>
                <w:color w:val="202A33"/>
                <w:sz w:val="18"/>
              </w:rPr>
              <w:t>CYPHER Project Team</w:t>
            </w:r>
          </w:p>
        </w:tc>
      </w:tr>
      <w:tr>
        <w:tc>
          <w:tcPr>
            <w:tcW w:type="dxa" w:w="1928"/>
            <w:shd w:fill="EAF3F7"/>
            <w:tcMar>
              <w:top w:w="100" w:type="dxa"/>
              <w:start w:w="120" w:type="dxa"/>
              <w:bottom w:w="100" w:type="dxa"/>
              <w:end w:w="120" w:type="dxa"/>
            </w:tcMar>
          </w:tcPr>
          <w:p>
            <w:pPr>
              <w:spacing w:after="0"/>
            </w:pPr>
            <w:r>
              <w:rPr>
                <w:rFonts w:ascii="Arial" w:hAnsi="Arial"/>
                <w:b/>
                <w:color w:val="202A33"/>
                <w:sz w:val="18"/>
              </w:rPr>
              <w:t>Date</w:t>
            </w:r>
          </w:p>
        </w:tc>
        <w:tc>
          <w:tcPr>
            <w:tcW w:type="dxa" w:w="6803"/>
            <w:shd w:fill="FFFFFF"/>
            <w:tcMar>
              <w:top w:w="100" w:type="dxa"/>
              <w:start w:w="120" w:type="dxa"/>
              <w:bottom w:w="100" w:type="dxa"/>
              <w:end w:w="120" w:type="dxa"/>
            </w:tcMar>
          </w:tcPr>
          <w:p>
            <w:pPr>
              <w:spacing w:after="0"/>
            </w:pPr>
            <w:r>
              <w:rPr>
                <w:rFonts w:ascii="Arial" w:hAnsi="Arial"/>
                <w:b w:val="0"/>
                <w:color w:val="202A33"/>
                <w:sz w:val="18"/>
              </w:rPr>
              <w:t>28 October 2026</w:t>
            </w:r>
          </w:p>
        </w:tc>
      </w:tr>
      <w:tr>
        <w:tc>
          <w:tcPr>
            <w:tcW w:type="dxa" w:w="1928"/>
            <w:shd w:fill="EAF3F7"/>
            <w:tcMar>
              <w:top w:w="100" w:type="dxa"/>
              <w:start w:w="120" w:type="dxa"/>
              <w:bottom w:w="100" w:type="dxa"/>
              <w:end w:w="120" w:type="dxa"/>
            </w:tcMar>
          </w:tcPr>
          <w:p>
            <w:pPr>
              <w:spacing w:after="0"/>
            </w:pPr>
            <w:r>
              <w:rPr>
                <w:rFonts w:ascii="Arial" w:hAnsi="Arial"/>
                <w:b/>
                <w:color w:val="202A33"/>
                <w:sz w:val="18"/>
              </w:rPr>
              <w:t>Scope</w:t>
            </w:r>
          </w:p>
        </w:tc>
        <w:tc>
          <w:tcPr>
            <w:tcW w:type="dxa" w:w="6803"/>
            <w:shd w:fill="FFFFFF"/>
            <w:tcMar>
              <w:top w:w="100" w:type="dxa"/>
              <w:start w:w="120" w:type="dxa"/>
              <w:bottom w:w="100" w:type="dxa"/>
              <w:end w:w="120" w:type="dxa"/>
            </w:tcMar>
          </w:tcPr>
          <w:p>
            <w:pPr>
              <w:spacing w:after="0"/>
            </w:pPr>
            <w:r>
              <w:rPr>
                <w:rFonts w:ascii="Arial" w:hAnsi="Arial"/>
                <w:b w:val="0"/>
                <w:color w:val="202A33"/>
                <w:sz w:val="18"/>
              </w:rPr>
              <w:t>Review 1 factual corrections and evidence references</w:t>
            </w:r>
          </w:p>
        </w:tc>
      </w:tr>
    </w:tbl>
    <w:p>
      <w:pPr>
        <w:spacing w:after="80"/>
      </w:pPr>
    </w:p>
    <w:p>
      <w:pPr>
        <w:spacing w:after="120" w:before="0" w:line="269" w:lineRule="auto"/>
      </w:pPr>
      <w:r>
        <w:rPr>
          <w:rFonts w:ascii="Arial" w:hAnsi="Arial"/>
          <w:b w:val="0"/>
          <w:color w:val="202A33"/>
          <w:sz w:val="21"/>
        </w:rPr>
        <w:t>This document resolves the discrepancies between Review 1 and the current CYPHER implementation. It separates implemented features from planned ones, states the effective API contract, identifies the database used in each environment, and includes the model evaluation figures referenced in the report.</w:t>
      </w:r>
    </w:p>
    <w:p>
      <w:pPr>
        <w:spacing w:after="120" w:before="0" w:line="269" w:lineRule="auto"/>
      </w:pPr>
      <w:r>
        <w:rPr>
          <w:rFonts w:ascii="Arial" w:hAnsi="Arial"/>
          <w:b w:val="0"/>
          <w:color w:val="202A33"/>
          <w:sz w:val="21"/>
        </w:rPr>
        <w:t>The recommended position is to claim only what is evidenced. CYPHER has a working application, a real six-class detector, a tested incident pipeline and an AWS deployment with a MySQL RDS database. It does not currently have Jenkins, GitHub Actions, Prometheus or Grafana integration.</w:t>
      </w:r>
    </w:p>
    <w:p>
      <w:pPr>
        <w:pStyle w:val="Heading1"/>
        <w:keepNext/>
        <w:spacing w:before="280" w:after="120"/>
      </w:pPr>
      <w:r>
        <w:rPr>
          <w:rFonts w:ascii="Arial" w:hAnsi="Arial"/>
          <w:b/>
          <w:color w:val="000000"/>
          <w:sz w:val="30"/>
        </w:rPr>
        <w:t>Seven direct answers</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3213"/>
        <w:gridCol w:w="3213"/>
        <w:gridCol w:w="3213"/>
      </w:tblGrid>
      <w:tr>
        <w:trPr>
          <w:tblHeader w:val="true"/>
        </w:trPr>
        <w:tc>
          <w:tcPr>
            <w:tcW w:type="dxa" w:w="567"/>
            <w:shd w:fill="17324D"/>
            <w:tcMar>
              <w:top w:w="38" w:type="dxa"/>
              <w:start w:w="120" w:type="dxa"/>
              <w:bottom w:w="38" w:type="dxa"/>
              <w:end w:w="120" w:type="dxa"/>
            </w:tcMar>
            <w:vAlign w:val="center"/>
          </w:tcPr>
          <w:p>
            <w:pPr>
              <w:spacing w:after="0"/>
              <w:jc w:val="left"/>
            </w:pPr>
            <w:r>
              <w:rPr>
                <w:rFonts w:ascii="Arial" w:hAnsi="Arial"/>
                <w:b/>
                <w:color w:val="FFFFFF"/>
                <w:sz w:val="19"/>
              </w:rPr>
              <w:t>No.</w:t>
            </w:r>
          </w:p>
        </w:tc>
        <w:tc>
          <w:tcPr>
            <w:tcW w:type="dxa" w:w="2268"/>
            <w:shd w:fill="17324D"/>
            <w:tcMar>
              <w:top w:w="38" w:type="dxa"/>
              <w:start w:w="120" w:type="dxa"/>
              <w:bottom w:w="38" w:type="dxa"/>
              <w:end w:w="120" w:type="dxa"/>
            </w:tcMar>
            <w:vAlign w:val="center"/>
          </w:tcPr>
          <w:p>
            <w:pPr>
              <w:spacing w:after="0"/>
              <w:jc w:val="left"/>
            </w:pPr>
            <w:r>
              <w:rPr>
                <w:rFonts w:ascii="Arial" w:hAnsi="Arial"/>
                <w:b/>
                <w:color w:val="FFFFFF"/>
                <w:sz w:val="19"/>
              </w:rPr>
              <w:t>Question</w:t>
            </w:r>
          </w:p>
        </w:tc>
        <w:tc>
          <w:tcPr>
            <w:tcW w:type="dxa" w:w="6350"/>
            <w:shd w:fill="17324D"/>
            <w:tcMar>
              <w:top w:w="38" w:type="dxa"/>
              <w:start w:w="120" w:type="dxa"/>
              <w:bottom w:w="38" w:type="dxa"/>
              <w:end w:w="120" w:type="dxa"/>
            </w:tcMar>
            <w:vAlign w:val="center"/>
          </w:tcPr>
          <w:p>
            <w:pPr>
              <w:spacing w:after="0"/>
              <w:jc w:val="left"/>
            </w:pPr>
            <w:r>
              <w:rPr>
                <w:rFonts w:ascii="Arial" w:hAnsi="Arial"/>
                <w:b/>
                <w:color w:val="FFFFFF"/>
                <w:sz w:val="19"/>
              </w:rPr>
              <w:t>Verified answer</w:t>
            </w:r>
          </w:p>
        </w:tc>
      </w:tr>
      <w:tr>
        <w:trPr>
          <w:cantSplit/>
        </w:trPr>
        <w:tc>
          <w:tcPr>
            <w:tcW w:type="dxa" w:w="567"/>
            <w:shd w:fill="FFFFFF"/>
            <w:tcMar>
              <w:top w:w="48" w:type="dxa"/>
              <w:start w:w="120" w:type="dxa"/>
              <w:bottom w:w="48" w:type="dxa"/>
              <w:end w:w="120" w:type="dxa"/>
            </w:tcMar>
            <w:vAlign w:val="center"/>
          </w:tcPr>
          <w:p>
            <w:pPr>
              <w:spacing w:after="0" w:line="252" w:lineRule="auto"/>
            </w:pPr>
            <w:r>
              <w:rPr>
                <w:rFonts w:ascii="Arial" w:hAnsi="Arial"/>
                <w:b w:val="0"/>
                <w:color w:val="202A33"/>
                <w:sz w:val="16"/>
              </w:rPr>
              <w:t>1</w:t>
            </w:r>
          </w:p>
        </w:tc>
        <w:tc>
          <w:tcPr>
            <w:tcW w:type="dxa" w:w="2268"/>
            <w:shd w:fill="FFFFFF"/>
            <w:tcMar>
              <w:top w:w="48" w:type="dxa"/>
              <w:start w:w="120" w:type="dxa"/>
              <w:bottom w:w="48" w:type="dxa"/>
              <w:end w:w="120" w:type="dxa"/>
            </w:tcMar>
            <w:vAlign w:val="center"/>
          </w:tcPr>
          <w:p>
            <w:pPr>
              <w:spacing w:after="0" w:line="252" w:lineRule="auto"/>
            </w:pPr>
            <w:r>
              <w:rPr>
                <w:rFonts w:ascii="Arial" w:hAnsi="Arial"/>
                <w:b w:val="0"/>
                <w:color w:val="202A33"/>
                <w:sz w:val="16"/>
              </w:rPr>
              <w:t>PostgreSQL version</w:t>
            </w:r>
          </w:p>
        </w:tc>
        <w:tc>
          <w:tcPr>
            <w:tcW w:type="dxa" w:w="6350"/>
            <w:shd w:fill="FFFFFF"/>
            <w:tcMar>
              <w:top w:w="48" w:type="dxa"/>
              <w:start w:w="120" w:type="dxa"/>
              <w:bottom w:w="48" w:type="dxa"/>
              <w:end w:w="120" w:type="dxa"/>
            </w:tcMar>
            <w:vAlign w:val="center"/>
          </w:tcPr>
          <w:p>
            <w:pPr>
              <w:spacing w:after="0" w:line="252" w:lineRule="auto"/>
            </w:pPr>
            <w:r>
              <w:rPr>
                <w:rFonts w:ascii="Arial" w:hAnsi="Arial"/>
                <w:b w:val="0"/>
                <w:color w:val="202A33"/>
                <w:sz w:val="16"/>
              </w:rPr>
              <w:t>Mac runtime: PostgreSQL 16.15. Docker Compose: PostgreSQL 17. AWS DA2: MySQL 8.4.9 on RDS.</w:t>
            </w:r>
          </w:p>
        </w:tc>
      </w:tr>
      <w:tr>
        <w:trPr>
          <w:cantSplit/>
        </w:trPr>
        <w:tc>
          <w:tcPr>
            <w:tcW w:type="dxa" w:w="567"/>
            <w:shd w:fill="F4F8FA"/>
            <w:tcMar>
              <w:top w:w="48" w:type="dxa"/>
              <w:start w:w="120" w:type="dxa"/>
              <w:bottom w:w="48" w:type="dxa"/>
              <w:end w:w="120" w:type="dxa"/>
            </w:tcMar>
            <w:vAlign w:val="center"/>
          </w:tcPr>
          <w:p>
            <w:pPr>
              <w:spacing w:after="0" w:line="252" w:lineRule="auto"/>
            </w:pPr>
            <w:r>
              <w:rPr>
                <w:rFonts w:ascii="Arial" w:hAnsi="Arial"/>
                <w:b w:val="0"/>
                <w:color w:val="202A33"/>
                <w:sz w:val="16"/>
              </w:rPr>
              <w:t>2</w:t>
            </w:r>
          </w:p>
        </w:tc>
        <w:tc>
          <w:tcPr>
            <w:tcW w:type="dxa" w:w="2268"/>
            <w:shd w:fill="F4F8FA"/>
            <w:tcMar>
              <w:top w:w="48" w:type="dxa"/>
              <w:start w:w="120" w:type="dxa"/>
              <w:bottom w:w="48" w:type="dxa"/>
              <w:end w:w="120" w:type="dxa"/>
            </w:tcMar>
            <w:vAlign w:val="center"/>
          </w:tcPr>
          <w:p>
            <w:pPr>
              <w:spacing w:after="0" w:line="252" w:lineRule="auto"/>
            </w:pPr>
            <w:r>
              <w:rPr>
                <w:rFonts w:ascii="Arial" w:hAnsi="Arial"/>
                <w:b w:val="0"/>
                <w:color w:val="202A33"/>
                <w:sz w:val="16"/>
              </w:rPr>
              <w:t>DevOps and monitoring</w:t>
            </w:r>
          </w:p>
        </w:tc>
        <w:tc>
          <w:tcPr>
            <w:tcW w:type="dxa" w:w="6350"/>
            <w:shd w:fill="F4F8FA"/>
            <w:tcMar>
              <w:top w:w="48" w:type="dxa"/>
              <w:start w:w="120" w:type="dxa"/>
              <w:bottom w:w="48" w:type="dxa"/>
              <w:end w:w="120" w:type="dxa"/>
            </w:tcMar>
            <w:vAlign w:val="center"/>
          </w:tcPr>
          <w:p>
            <w:pPr>
              <w:spacing w:after="0" w:line="252" w:lineRule="auto"/>
            </w:pPr>
            <w:r>
              <w:rPr>
                <w:rFonts w:ascii="Arial" w:hAnsi="Arial"/>
                <w:b w:val="0"/>
                <w:color w:val="202A33"/>
                <w:sz w:val="16"/>
              </w:rPr>
              <w:t>Jenkins, GitHub Actions, Prometheus and Grafana are not built. S3 is used only for DA2 database backups.</w:t>
            </w:r>
          </w:p>
        </w:tc>
      </w:tr>
      <w:tr>
        <w:trPr>
          <w:cantSplit/>
        </w:trPr>
        <w:tc>
          <w:tcPr>
            <w:tcW w:type="dxa" w:w="567"/>
            <w:shd w:fill="FFFFFF"/>
            <w:tcMar>
              <w:top w:w="48" w:type="dxa"/>
              <w:start w:w="120" w:type="dxa"/>
              <w:bottom w:w="48" w:type="dxa"/>
              <w:end w:w="120" w:type="dxa"/>
            </w:tcMar>
            <w:vAlign w:val="center"/>
          </w:tcPr>
          <w:p>
            <w:pPr>
              <w:spacing w:after="0" w:line="252" w:lineRule="auto"/>
            </w:pPr>
            <w:r>
              <w:rPr>
                <w:rFonts w:ascii="Arial" w:hAnsi="Arial"/>
                <w:b w:val="0"/>
                <w:color w:val="202A33"/>
                <w:sz w:val="16"/>
              </w:rPr>
              <w:t>3</w:t>
            </w:r>
          </w:p>
        </w:tc>
        <w:tc>
          <w:tcPr>
            <w:tcW w:type="dxa" w:w="2268"/>
            <w:shd w:fill="FFFFFF"/>
            <w:tcMar>
              <w:top w:w="48" w:type="dxa"/>
              <w:start w:w="120" w:type="dxa"/>
              <w:bottom w:w="48" w:type="dxa"/>
              <w:end w:w="120" w:type="dxa"/>
            </w:tcMar>
            <w:vAlign w:val="center"/>
          </w:tcPr>
          <w:p>
            <w:pPr>
              <w:spacing w:after="0" w:line="252" w:lineRule="auto"/>
            </w:pPr>
            <w:r>
              <w:rPr>
                <w:rFonts w:ascii="Arial" w:hAnsi="Arial"/>
                <w:b w:val="0"/>
                <w:color w:val="202A33"/>
                <w:sz w:val="16"/>
              </w:rPr>
              <w:t>Local database</w:t>
            </w:r>
          </w:p>
        </w:tc>
        <w:tc>
          <w:tcPr>
            <w:tcW w:type="dxa" w:w="6350"/>
            <w:shd w:fill="FFFFFF"/>
            <w:tcMar>
              <w:top w:w="48" w:type="dxa"/>
              <w:start w:w="120" w:type="dxa"/>
              <w:bottom w:w="48" w:type="dxa"/>
              <w:end w:w="120" w:type="dxa"/>
            </w:tcMar>
            <w:vAlign w:val="center"/>
          </w:tcPr>
          <w:p>
            <w:pPr>
              <w:spacing w:after="0" w:line="252" w:lineRule="auto"/>
            </w:pPr>
            <w:r>
              <w:rPr>
                <w:rFonts w:ascii="Arial" w:hAnsi="Arial"/>
                <w:b w:val="0"/>
                <w:color w:val="202A33"/>
                <w:sz w:val="16"/>
              </w:rPr>
              <w:t>Yes. Local development is PostgreSQL; MySQL is confined to the AWS DA2 RDS deployment.</w:t>
            </w:r>
          </w:p>
        </w:tc>
      </w:tr>
      <w:tr>
        <w:trPr>
          <w:cantSplit/>
        </w:trPr>
        <w:tc>
          <w:tcPr>
            <w:tcW w:type="dxa" w:w="567"/>
            <w:shd w:fill="F4F8FA"/>
            <w:tcMar>
              <w:top w:w="48" w:type="dxa"/>
              <w:start w:w="120" w:type="dxa"/>
              <w:bottom w:w="48" w:type="dxa"/>
              <w:end w:w="120" w:type="dxa"/>
            </w:tcMar>
            <w:vAlign w:val="center"/>
          </w:tcPr>
          <w:p>
            <w:pPr>
              <w:spacing w:after="0" w:line="252" w:lineRule="auto"/>
            </w:pPr>
            <w:r>
              <w:rPr>
                <w:rFonts w:ascii="Arial" w:hAnsi="Arial"/>
                <w:b w:val="0"/>
                <w:color w:val="202A33"/>
                <w:sz w:val="16"/>
              </w:rPr>
              <w:t>4</w:t>
            </w:r>
          </w:p>
        </w:tc>
        <w:tc>
          <w:tcPr>
            <w:tcW w:type="dxa" w:w="2268"/>
            <w:shd w:fill="F4F8FA"/>
            <w:tcMar>
              <w:top w:w="48" w:type="dxa"/>
              <w:start w:w="120" w:type="dxa"/>
              <w:bottom w:w="48" w:type="dxa"/>
              <w:end w:w="120" w:type="dxa"/>
            </w:tcMar>
            <w:vAlign w:val="center"/>
          </w:tcPr>
          <w:p>
            <w:pPr>
              <w:spacing w:after="0" w:line="252" w:lineRule="auto"/>
            </w:pPr>
            <w:r>
              <w:rPr>
                <w:rFonts w:ascii="Arial" w:hAnsi="Arial"/>
                <w:b w:val="0"/>
                <w:color w:val="202A33"/>
                <w:sz w:val="16"/>
              </w:rPr>
              <w:t>Roles</w:t>
            </w:r>
          </w:p>
        </w:tc>
        <w:tc>
          <w:tcPr>
            <w:tcW w:type="dxa" w:w="6350"/>
            <w:shd w:fill="F4F8FA"/>
            <w:tcMar>
              <w:top w:w="48" w:type="dxa"/>
              <w:start w:w="120" w:type="dxa"/>
              <w:bottom w:w="48" w:type="dxa"/>
              <w:end w:w="120" w:type="dxa"/>
            </w:tcMar>
            <w:vAlign w:val="center"/>
          </w:tcPr>
          <w:p>
            <w:pPr>
              <w:spacing w:after="0" w:line="252" w:lineRule="auto"/>
            </w:pPr>
            <w:r>
              <w:rPr>
                <w:rFonts w:ascii="Arial" w:hAnsi="Arial"/>
                <w:b w:val="0"/>
                <w:color w:val="202A33"/>
                <w:sz w:val="16"/>
              </w:rPr>
              <w:t>SUPER_ADMIN and ADMIN can open audit and the user directory. SECURITY_MANAGER has a seeded audit permission but is currently denied by the API.</w:t>
            </w:r>
          </w:p>
        </w:tc>
      </w:tr>
      <w:tr>
        <w:trPr>
          <w:cantSplit/>
        </w:trPr>
        <w:tc>
          <w:tcPr>
            <w:tcW w:type="dxa" w:w="567"/>
            <w:shd w:fill="FFFFFF"/>
            <w:tcMar>
              <w:top w:w="48" w:type="dxa"/>
              <w:start w:w="120" w:type="dxa"/>
              <w:bottom w:w="48" w:type="dxa"/>
              <w:end w:w="120" w:type="dxa"/>
            </w:tcMar>
            <w:vAlign w:val="center"/>
          </w:tcPr>
          <w:p>
            <w:pPr>
              <w:spacing w:after="0" w:line="252" w:lineRule="auto"/>
            </w:pPr>
            <w:r>
              <w:rPr>
                <w:rFonts w:ascii="Arial" w:hAnsi="Arial"/>
                <w:b w:val="0"/>
                <w:color w:val="202A33"/>
                <w:sz w:val="16"/>
              </w:rPr>
              <w:t>5</w:t>
            </w:r>
          </w:p>
        </w:tc>
        <w:tc>
          <w:tcPr>
            <w:tcW w:type="dxa" w:w="2268"/>
            <w:shd w:fill="FFFFFF"/>
            <w:tcMar>
              <w:top w:w="48" w:type="dxa"/>
              <w:start w:w="120" w:type="dxa"/>
              <w:bottom w:w="48" w:type="dxa"/>
              <w:end w:w="120" w:type="dxa"/>
            </w:tcMar>
            <w:vAlign w:val="center"/>
          </w:tcPr>
          <w:p>
            <w:pPr>
              <w:spacing w:after="0" w:line="252" w:lineRule="auto"/>
            </w:pPr>
            <w:r>
              <w:rPr>
                <w:rFonts w:ascii="Arial" w:hAnsi="Arial"/>
                <w:b w:val="0"/>
                <w:color w:val="202A33"/>
                <w:sz w:val="16"/>
              </w:rPr>
              <w:t>API paths</w:t>
            </w:r>
          </w:p>
        </w:tc>
        <w:tc>
          <w:tcPr>
            <w:tcW w:type="dxa" w:w="6350"/>
            <w:shd w:fill="FFFFFF"/>
            <w:tcMar>
              <w:top w:w="48" w:type="dxa"/>
              <w:start w:w="120" w:type="dxa"/>
              <w:bottom w:w="48" w:type="dxa"/>
              <w:end w:w="120" w:type="dxa"/>
            </w:tcMar>
            <w:vAlign w:val="center"/>
          </w:tcPr>
          <w:p>
            <w:pPr>
              <w:spacing w:after="0" w:line="252" w:lineRule="auto"/>
            </w:pPr>
            <w:r>
              <w:rPr>
                <w:rFonts w:ascii="Arial" w:hAnsi="Arial"/>
                <w:b w:val="0"/>
                <w:color w:val="202A33"/>
                <w:sz w:val="16"/>
              </w:rPr>
              <w:t>Use /auth/login and /api/incidents/ingest. Workflow actions use explicit acknowledge, resolve and delete routes.</w:t>
            </w:r>
          </w:p>
        </w:tc>
      </w:tr>
      <w:tr>
        <w:trPr>
          <w:cantSplit/>
        </w:trPr>
        <w:tc>
          <w:tcPr>
            <w:tcW w:type="dxa" w:w="567"/>
            <w:shd w:fill="F4F8FA"/>
            <w:tcMar>
              <w:top w:w="48" w:type="dxa"/>
              <w:start w:w="120" w:type="dxa"/>
              <w:bottom w:w="48" w:type="dxa"/>
              <w:end w:w="120" w:type="dxa"/>
            </w:tcMar>
            <w:vAlign w:val="center"/>
          </w:tcPr>
          <w:p>
            <w:pPr>
              <w:spacing w:after="0" w:line="252" w:lineRule="auto"/>
            </w:pPr>
            <w:r>
              <w:rPr>
                <w:rFonts w:ascii="Arial" w:hAnsi="Arial"/>
                <w:b w:val="0"/>
                <w:color w:val="202A33"/>
                <w:sz w:val="16"/>
              </w:rPr>
              <w:t>6</w:t>
            </w:r>
          </w:p>
        </w:tc>
        <w:tc>
          <w:tcPr>
            <w:tcW w:type="dxa" w:w="2268"/>
            <w:shd w:fill="F4F8FA"/>
            <w:tcMar>
              <w:top w:w="48" w:type="dxa"/>
              <w:start w:w="120" w:type="dxa"/>
              <w:bottom w:w="48" w:type="dxa"/>
              <w:end w:w="120" w:type="dxa"/>
            </w:tcMar>
            <w:vAlign w:val="center"/>
          </w:tcPr>
          <w:p>
            <w:pPr>
              <w:spacing w:after="0" w:line="252" w:lineRule="auto"/>
            </w:pPr>
            <w:r>
              <w:rPr>
                <w:rFonts w:ascii="Arial" w:hAnsi="Arial"/>
                <w:b w:val="0"/>
                <w:color w:val="202A33"/>
                <w:sz w:val="16"/>
              </w:rPr>
              <w:t>Camera source</w:t>
            </w:r>
          </w:p>
        </w:tc>
        <w:tc>
          <w:tcPr>
            <w:tcW w:type="dxa" w:w="6350"/>
            <w:shd w:fill="F4F8FA"/>
            <w:tcMar>
              <w:top w:w="48" w:type="dxa"/>
              <w:start w:w="120" w:type="dxa"/>
              <w:bottom w:w="48" w:type="dxa"/>
              <w:end w:w="120" w:type="dxa"/>
            </w:tcMar>
            <w:vAlign w:val="center"/>
          </w:tcPr>
          <w:p>
            <w:pPr>
              <w:spacing w:after="0" w:line="252" w:lineRule="auto"/>
            </w:pPr>
            <w:r>
              <w:rPr>
                <w:rFonts w:ascii="Arial" w:hAnsi="Arial"/>
                <w:b w:val="0"/>
                <w:color w:val="202A33"/>
                <w:sz w:val="16"/>
              </w:rPr>
              <w:t>The live demo uses the Mac webcam. Uploaded images and video/MJPEG sources are also supported.</w:t>
            </w:r>
          </w:p>
        </w:tc>
      </w:tr>
      <w:tr>
        <w:trPr>
          <w:cantSplit/>
        </w:trPr>
        <w:tc>
          <w:tcPr>
            <w:tcW w:type="dxa" w:w="567"/>
            <w:shd w:fill="FFFFFF"/>
            <w:tcMar>
              <w:top w:w="48" w:type="dxa"/>
              <w:start w:w="120" w:type="dxa"/>
              <w:bottom w:w="48" w:type="dxa"/>
              <w:end w:w="120" w:type="dxa"/>
            </w:tcMar>
            <w:vAlign w:val="center"/>
          </w:tcPr>
          <w:p>
            <w:pPr>
              <w:spacing w:after="0" w:line="252" w:lineRule="auto"/>
            </w:pPr>
            <w:r>
              <w:rPr>
                <w:rFonts w:ascii="Arial" w:hAnsi="Arial"/>
                <w:b w:val="0"/>
                <w:color w:val="202A33"/>
                <w:sz w:val="16"/>
              </w:rPr>
              <w:t>7</w:t>
            </w:r>
          </w:p>
        </w:tc>
        <w:tc>
          <w:tcPr>
            <w:tcW w:type="dxa" w:w="2268"/>
            <w:shd w:fill="FFFFFF"/>
            <w:tcMar>
              <w:top w:w="48" w:type="dxa"/>
              <w:start w:w="120" w:type="dxa"/>
              <w:bottom w:w="48" w:type="dxa"/>
              <w:end w:w="120" w:type="dxa"/>
            </w:tcMar>
            <w:vAlign w:val="center"/>
          </w:tcPr>
          <w:p>
            <w:pPr>
              <w:spacing w:after="0" w:line="252" w:lineRule="auto"/>
            </w:pPr>
            <w:r>
              <w:rPr>
                <w:rFonts w:ascii="Arial" w:hAnsi="Arial"/>
                <w:b w:val="0"/>
                <w:color w:val="202A33"/>
                <w:sz w:val="16"/>
              </w:rPr>
              <w:t>Evaluation figures</w:t>
            </w:r>
          </w:p>
        </w:tc>
        <w:tc>
          <w:tcPr>
            <w:tcW w:type="dxa" w:w="6350"/>
            <w:shd w:fill="FFFFFF"/>
            <w:tcMar>
              <w:top w:w="48" w:type="dxa"/>
              <w:start w:w="120" w:type="dxa"/>
              <w:bottom w:w="48" w:type="dxa"/>
              <w:end w:w="120" w:type="dxa"/>
            </w:tcMar>
            <w:vAlign w:val="center"/>
          </w:tcPr>
          <w:p>
            <w:pPr>
              <w:spacing w:after="0" w:line="252" w:lineRule="auto"/>
            </w:pPr>
            <w:r>
              <w:rPr>
                <w:rFonts w:ascii="Arial" w:hAnsi="Arial"/>
                <w:b w:val="0"/>
                <w:color w:val="202A33"/>
                <w:sz w:val="16"/>
              </w:rPr>
              <w:t>The PR curves and confusion matrices are embedded in Section 6.</w:t>
            </w:r>
          </w:p>
        </w:tc>
      </w:tr>
    </w:tbl>
    <w:p>
      <w:pPr>
        <w:spacing w:after="40"/>
      </w:pPr>
    </w:p>
    <w:p>
      <w:r>
        <w:br w:type="page"/>
      </w:r>
    </w:p>
    <w:p>
      <w:pPr>
        <w:pStyle w:val="Heading1"/>
        <w:keepNext/>
        <w:spacing w:before="280" w:after="120"/>
      </w:pPr>
      <w:r>
        <w:rPr>
          <w:rFonts w:ascii="Arial" w:hAnsi="Arial"/>
          <w:b/>
          <w:color w:val="000000"/>
          <w:sz w:val="30"/>
        </w:rPr>
        <w:t>1. Database and deployment environments</w:t>
      </w:r>
    </w:p>
    <w:p>
      <w:pPr>
        <w:spacing w:after="120" w:before="0" w:line="269" w:lineRule="auto"/>
      </w:pPr>
      <w:r>
        <w:rPr>
          <w:rFonts w:ascii="Arial" w:hAnsi="Arial"/>
          <w:b w:val="0"/>
          <w:color w:val="202A33"/>
          <w:sz w:val="21"/>
        </w:rPr>
        <w:t>The version conflict is caused by measuring different environments. The actively running local database is not the same PostgreSQL version pinned by Docker Compose.</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2409"/>
        <w:gridCol w:w="2409"/>
        <w:gridCol w:w="2409"/>
        <w:gridCol w:w="2409"/>
      </w:tblGrid>
      <w:tr>
        <w:trPr>
          <w:tblHeader w:val="true"/>
        </w:trPr>
        <w:tc>
          <w:tcPr>
            <w:tcW w:type="dxa" w:w="2268"/>
            <w:shd w:fill="17324D"/>
            <w:tcMar>
              <w:top w:w="70" w:type="dxa"/>
              <w:start w:w="120" w:type="dxa"/>
              <w:bottom w:w="70" w:type="dxa"/>
              <w:end w:w="120" w:type="dxa"/>
            </w:tcMar>
            <w:vAlign w:val="center"/>
          </w:tcPr>
          <w:p>
            <w:pPr>
              <w:spacing w:after="0"/>
              <w:jc w:val="left"/>
            </w:pPr>
            <w:r>
              <w:rPr>
                <w:rFonts w:ascii="Arial" w:hAnsi="Arial"/>
                <w:b/>
                <w:color w:val="FFFFFF"/>
                <w:sz w:val="19"/>
              </w:rPr>
              <w:t>Environment</w:t>
            </w:r>
          </w:p>
        </w:tc>
        <w:tc>
          <w:tcPr>
            <w:tcW w:type="dxa" w:w="1701"/>
            <w:shd w:fill="17324D"/>
            <w:tcMar>
              <w:top w:w="70" w:type="dxa"/>
              <w:start w:w="120" w:type="dxa"/>
              <w:bottom w:w="70" w:type="dxa"/>
              <w:end w:w="120" w:type="dxa"/>
            </w:tcMar>
            <w:vAlign w:val="center"/>
          </w:tcPr>
          <w:p>
            <w:pPr>
              <w:spacing w:after="0"/>
              <w:jc w:val="left"/>
            </w:pPr>
            <w:r>
              <w:rPr>
                <w:rFonts w:ascii="Arial" w:hAnsi="Arial"/>
                <w:b/>
                <w:color w:val="FFFFFF"/>
                <w:sz w:val="19"/>
              </w:rPr>
              <w:t>Database</w:t>
            </w:r>
          </w:p>
        </w:tc>
        <w:tc>
          <w:tcPr>
            <w:tcW w:type="dxa" w:w="1871"/>
            <w:shd w:fill="17324D"/>
            <w:tcMar>
              <w:top w:w="70" w:type="dxa"/>
              <w:start w:w="120" w:type="dxa"/>
              <w:bottom w:w="70" w:type="dxa"/>
              <w:end w:w="120" w:type="dxa"/>
            </w:tcMar>
            <w:vAlign w:val="center"/>
          </w:tcPr>
          <w:p>
            <w:pPr>
              <w:spacing w:after="0"/>
              <w:jc w:val="left"/>
            </w:pPr>
            <w:r>
              <w:rPr>
                <w:rFonts w:ascii="Arial" w:hAnsi="Arial"/>
                <w:b/>
                <w:color w:val="FFFFFF"/>
                <w:sz w:val="19"/>
              </w:rPr>
              <w:t>Version</w:t>
            </w:r>
          </w:p>
        </w:tc>
        <w:tc>
          <w:tcPr>
            <w:tcW w:type="dxa" w:w="4592"/>
            <w:shd w:fill="17324D"/>
            <w:tcMar>
              <w:top w:w="70" w:type="dxa"/>
              <w:start w:w="120" w:type="dxa"/>
              <w:bottom w:w="70" w:type="dxa"/>
              <w:end w:w="120" w:type="dxa"/>
            </w:tcMar>
            <w:vAlign w:val="center"/>
          </w:tcPr>
          <w:p>
            <w:pPr>
              <w:spacing w:after="0"/>
              <w:jc w:val="left"/>
            </w:pPr>
            <w:r>
              <w:rPr>
                <w:rFonts w:ascii="Arial" w:hAnsi="Arial"/>
                <w:b/>
                <w:color w:val="FFFFFF"/>
                <w:sz w:val="19"/>
              </w:rPr>
              <w:t>Evidence</w:t>
            </w:r>
          </w:p>
        </w:tc>
      </w:tr>
      <w:tr>
        <w:trPr>
          <w:cantSplit/>
        </w:trPr>
        <w:tc>
          <w:tcPr>
            <w:tcW w:type="dxa" w:w="2268"/>
            <w:shd w:fill="FFFFFF"/>
            <w:tcMar>
              <w:top w:w="80" w:type="dxa"/>
              <w:start w:w="120" w:type="dxa"/>
              <w:bottom w:w="80" w:type="dxa"/>
              <w:end w:w="120" w:type="dxa"/>
            </w:tcMar>
            <w:vAlign w:val="center"/>
          </w:tcPr>
          <w:p>
            <w:pPr>
              <w:spacing w:after="0" w:line="252" w:lineRule="auto"/>
            </w:pPr>
            <w:r>
              <w:rPr>
                <w:rFonts w:ascii="Arial" w:hAnsi="Arial"/>
                <w:b w:val="0"/>
                <w:color w:val="202A33"/>
                <w:sz w:val="18"/>
              </w:rPr>
              <w:t>Local Mac development</w:t>
            </w:r>
          </w:p>
        </w:tc>
        <w:tc>
          <w:tcPr>
            <w:tcW w:type="dxa" w:w="170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PostgreSQL</w:t>
            </w:r>
          </w:p>
        </w:tc>
        <w:tc>
          <w:tcPr>
            <w:tcW w:type="dxa" w:w="1871"/>
            <w:shd w:fill="FFFFFF"/>
            <w:tcMar>
              <w:top w:w="80" w:type="dxa"/>
              <w:start w:w="120" w:type="dxa"/>
              <w:bottom w:w="80" w:type="dxa"/>
              <w:end w:w="120" w:type="dxa"/>
            </w:tcMar>
            <w:vAlign w:val="center"/>
          </w:tcPr>
          <w:p>
            <w:pPr>
              <w:spacing w:after="0" w:line="252" w:lineRule="auto"/>
            </w:pPr>
            <w:r>
              <w:rPr>
                <w:rFonts w:ascii="Arial" w:hAnsi="Arial"/>
                <w:b w:val="0"/>
                <w:color w:val="202A33"/>
                <w:sz w:val="18"/>
              </w:rPr>
              <w:t>16.15 (Homebrew)</w:t>
            </w:r>
          </w:p>
        </w:tc>
        <w:tc>
          <w:tcPr>
            <w:tcW w:type="dxa" w:w="4592"/>
            <w:shd w:fill="FFFFFF"/>
            <w:tcMar>
              <w:top w:w="80" w:type="dxa"/>
              <w:start w:w="120" w:type="dxa"/>
              <w:bottom w:w="80" w:type="dxa"/>
              <w:end w:w="120" w:type="dxa"/>
            </w:tcMar>
            <w:vAlign w:val="center"/>
          </w:tcPr>
          <w:p>
            <w:pPr>
              <w:spacing w:after="0" w:line="252" w:lineRule="auto"/>
            </w:pPr>
            <w:r>
              <w:rPr>
                <w:rFonts w:ascii="Arial" w:hAnsi="Arial"/>
                <w:b w:val="0"/>
                <w:color w:val="202A33"/>
                <w:sz w:val="18"/>
              </w:rPr>
              <w:t>Active gateway connects to 127.0.0.1:5433; verified with SHOW server_version.</w:t>
            </w:r>
          </w:p>
        </w:tc>
      </w:tr>
      <w:tr>
        <w:trPr>
          <w:cantSplit/>
        </w:trPr>
        <w:tc>
          <w:tcPr>
            <w:tcW w:type="dxa" w:w="2268"/>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Docker Compose</w:t>
            </w:r>
          </w:p>
        </w:tc>
        <w:tc>
          <w:tcPr>
            <w:tcW w:type="dxa" w:w="1701"/>
            <w:shd w:fill="F4F8FA"/>
            <w:tcMar>
              <w:top w:w="80" w:type="dxa"/>
              <w:start w:w="120" w:type="dxa"/>
              <w:bottom w:w="80" w:type="dxa"/>
              <w:end w:w="120" w:type="dxa"/>
            </w:tcMar>
            <w:vAlign w:val="center"/>
          </w:tcPr>
          <w:p>
            <w:pPr>
              <w:spacing w:after="0" w:line="252" w:lineRule="auto"/>
            </w:pPr>
            <w:r>
              <w:rPr>
                <w:rFonts w:ascii="Arial" w:hAnsi="Arial"/>
                <w:b w:val="0"/>
                <w:color w:val="202A33"/>
                <w:sz w:val="18"/>
              </w:rPr>
              <w:t>PostgreSQL</w:t>
            </w:r>
          </w:p>
        </w:tc>
        <w:tc>
          <w:tcPr>
            <w:tcW w:type="dxa" w:w="1871"/>
            <w:shd w:fill="F4F8FA"/>
            <w:tcMar>
              <w:top w:w="80" w:type="dxa"/>
              <w:start w:w="120" w:type="dxa"/>
              <w:bottom w:w="80" w:type="dxa"/>
              <w:end w:w="120" w:type="dxa"/>
            </w:tcMar>
            <w:vAlign w:val="center"/>
          </w:tcPr>
          <w:p>
            <w:pPr>
              <w:spacing w:after="0" w:line="252" w:lineRule="auto"/>
            </w:pPr>
            <w:r>
              <w:rPr>
                <w:rFonts w:ascii="Arial" w:hAnsi="Arial"/>
                <w:b w:val="0"/>
                <w:color w:val="202A33"/>
                <w:sz w:val="18"/>
              </w:rPr>
              <w:t>17</w:t>
            </w:r>
          </w:p>
        </w:tc>
        <w:tc>
          <w:tcPr>
            <w:tcW w:type="dxa" w:w="4592"/>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docker-compose.yml pins postgres:17 and publishes container port 5432 as host port 5433.</w:t>
            </w:r>
          </w:p>
        </w:tc>
      </w:tr>
      <w:tr>
        <w:trPr>
          <w:cantSplit/>
        </w:trPr>
        <w:tc>
          <w:tcPr>
            <w:tcW w:type="dxa" w:w="2268"/>
            <w:shd w:fill="FFFFFF"/>
            <w:tcMar>
              <w:top w:w="80" w:type="dxa"/>
              <w:start w:w="120" w:type="dxa"/>
              <w:bottom w:w="80" w:type="dxa"/>
              <w:end w:w="120" w:type="dxa"/>
            </w:tcMar>
            <w:vAlign w:val="center"/>
          </w:tcPr>
          <w:p>
            <w:pPr>
              <w:spacing w:after="0" w:line="252" w:lineRule="auto"/>
            </w:pPr>
            <w:r>
              <w:rPr>
                <w:rFonts w:ascii="Arial" w:hAnsi="Arial"/>
                <w:b w:val="0"/>
                <w:color w:val="202A33"/>
                <w:sz w:val="18"/>
              </w:rPr>
              <w:t>AWS DA2 deployment</w:t>
            </w:r>
          </w:p>
        </w:tc>
        <w:tc>
          <w:tcPr>
            <w:tcW w:type="dxa" w:w="1701"/>
            <w:shd w:fill="FFFFFF"/>
            <w:tcMar>
              <w:top w:w="80" w:type="dxa"/>
              <w:start w:w="120" w:type="dxa"/>
              <w:bottom w:w="80" w:type="dxa"/>
              <w:end w:w="120" w:type="dxa"/>
            </w:tcMar>
            <w:vAlign w:val="center"/>
          </w:tcPr>
          <w:p>
            <w:pPr>
              <w:spacing w:after="0" w:line="252" w:lineRule="auto"/>
            </w:pPr>
            <w:r>
              <w:rPr>
                <w:rFonts w:ascii="Arial" w:hAnsi="Arial"/>
                <w:b w:val="0"/>
                <w:color w:val="202A33"/>
                <w:sz w:val="18"/>
              </w:rPr>
              <w:t>MySQL Community</w:t>
            </w:r>
          </w:p>
        </w:tc>
        <w:tc>
          <w:tcPr>
            <w:tcW w:type="dxa" w:w="1871"/>
            <w:shd w:fill="FFFFFF"/>
            <w:tcMar>
              <w:top w:w="80" w:type="dxa"/>
              <w:start w:w="120" w:type="dxa"/>
              <w:bottom w:w="80" w:type="dxa"/>
              <w:end w:w="120" w:type="dxa"/>
            </w:tcMar>
            <w:vAlign w:val="center"/>
          </w:tcPr>
          <w:p>
            <w:pPr>
              <w:spacing w:after="0" w:line="252" w:lineRule="auto"/>
            </w:pPr>
            <w:r>
              <w:rPr>
                <w:rFonts w:ascii="Arial" w:hAnsi="Arial"/>
                <w:b w:val="0"/>
                <w:color w:val="202A33"/>
                <w:sz w:val="18"/>
              </w:rPr>
              <w:t>8.4.9</w:t>
            </w:r>
          </w:p>
        </w:tc>
        <w:tc>
          <w:tcPr>
            <w:tcW w:type="dxa" w:w="4592"/>
            <w:shd w:fill="FFFFFF"/>
            <w:tcMar>
              <w:top w:w="80" w:type="dxa"/>
              <w:start w:w="120" w:type="dxa"/>
              <w:bottom w:w="80" w:type="dxa"/>
              <w:end w:w="120" w:type="dxa"/>
            </w:tcMar>
            <w:vAlign w:val="center"/>
          </w:tcPr>
          <w:p>
            <w:pPr>
              <w:spacing w:after="0" w:line="252" w:lineRule="auto"/>
            </w:pPr>
            <w:r>
              <w:rPr>
                <w:rFonts w:ascii="Arial" w:hAnsi="Arial"/>
                <w:b w:val="0"/>
                <w:color w:val="202A33"/>
                <w:sz w:val="18"/>
              </w:rPr>
              <w:t>The DA2 deployment uses an RDS MySQL profile and migrated data.</w:t>
            </w:r>
          </w:p>
        </w:tc>
      </w:tr>
    </w:tbl>
    <w:p>
      <w:pPr>
        <w:spacing w:after="40"/>
      </w:pPr>
    </w:p>
    <w:p>
      <w:pPr>
        <w:spacing w:after="120" w:before="0" w:line="269" w:lineRule="auto"/>
      </w:pPr>
      <w:r>
        <w:rPr>
          <w:rFonts w:ascii="Arial" w:hAnsi="Arial"/>
          <w:b w:val="0"/>
          <w:color w:val="202A33"/>
          <w:sz w:val="21"/>
        </w:rPr>
        <w:t>Recommended report wording: “The local application runs on PostgreSQL 16.15; the Docker configuration targets PostgreSQL 17; the AWS DA2 deployment was migrated to Amazon RDS for MySQL 8.4.9.”</w:t>
      </w:r>
    </w:p>
    <w:p>
      <w:pPr>
        <w:spacing w:after="120" w:before="0" w:line="269" w:lineRule="auto"/>
      </w:pPr>
      <w:r>
        <w:rPr>
          <w:rFonts w:ascii="Arial" w:hAnsi="Arial"/>
          <w:b w:val="0"/>
          <w:color w:val="202A33"/>
          <w:sz w:val="21"/>
        </w:rPr>
        <w:t>Do not describe the databases as interchangeable. The repository’s default configuration, Flyway migrations and stored procedures are PostgreSQL-specific. The AWS deployment uses a separately staged MySQL-compatible build. This distinction should be stated wherever the report says the system runs on both.</w:t>
      </w:r>
    </w:p>
    <w:p>
      <w:pPr>
        <w:pStyle w:val="Heading1"/>
        <w:keepNext/>
        <w:spacing w:before="280" w:after="120"/>
      </w:pPr>
      <w:r>
        <w:rPr>
          <w:rFonts w:ascii="Arial" w:hAnsi="Arial"/>
          <w:b/>
          <w:color w:val="000000"/>
          <w:sz w:val="30"/>
        </w:rPr>
        <w:t>2. Infrastructure and service status</w:t>
      </w:r>
    </w:p>
    <w:p>
      <w:pPr>
        <w:spacing w:after="120" w:before="0" w:line="269" w:lineRule="auto"/>
      </w:pPr>
      <w:r>
        <w:rPr>
          <w:rFonts w:ascii="Arial" w:hAnsi="Arial"/>
          <w:b w:val="0"/>
          <w:color w:val="202A33"/>
          <w:sz w:val="21"/>
        </w:rPr>
        <w:t>Review 1 included several tools that are not part of the implemented repository. The table below is the safe final-report position.</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2409"/>
        <w:gridCol w:w="2409"/>
        <w:gridCol w:w="2409"/>
        <w:gridCol w:w="2409"/>
      </w:tblGrid>
      <w:tr>
        <w:trPr>
          <w:tblHeader w:val="true"/>
        </w:trPr>
        <w:tc>
          <w:tcPr>
            <w:tcW w:type="dxa" w:w="1757"/>
            <w:shd w:fill="17324D"/>
            <w:tcMar>
              <w:top w:w="70" w:type="dxa"/>
              <w:start w:w="120" w:type="dxa"/>
              <w:bottom w:w="70" w:type="dxa"/>
              <w:end w:w="120" w:type="dxa"/>
            </w:tcMar>
            <w:vAlign w:val="center"/>
          </w:tcPr>
          <w:p>
            <w:pPr>
              <w:spacing w:after="0"/>
              <w:jc w:val="left"/>
            </w:pPr>
            <w:r>
              <w:rPr>
                <w:rFonts w:ascii="Arial" w:hAnsi="Arial"/>
                <w:b/>
                <w:color w:val="FFFFFF"/>
                <w:sz w:val="19"/>
              </w:rPr>
              <w:t>Service</w:t>
            </w:r>
          </w:p>
        </w:tc>
        <w:tc>
          <w:tcPr>
            <w:tcW w:type="dxa" w:w="2041"/>
            <w:shd w:fill="17324D"/>
            <w:tcMar>
              <w:top w:w="70" w:type="dxa"/>
              <w:start w:w="120" w:type="dxa"/>
              <w:bottom w:w="70" w:type="dxa"/>
              <w:end w:w="120" w:type="dxa"/>
            </w:tcMar>
            <w:vAlign w:val="center"/>
          </w:tcPr>
          <w:p>
            <w:pPr>
              <w:spacing w:after="0"/>
              <w:jc w:val="left"/>
            </w:pPr>
            <w:r>
              <w:rPr>
                <w:rFonts w:ascii="Arial" w:hAnsi="Arial"/>
                <w:b/>
                <w:color w:val="FFFFFF"/>
                <w:sz w:val="19"/>
              </w:rPr>
              <w:t>Current status</w:t>
            </w:r>
          </w:p>
        </w:tc>
        <w:tc>
          <w:tcPr>
            <w:tcW w:type="dxa" w:w="4025"/>
            <w:shd w:fill="17324D"/>
            <w:tcMar>
              <w:top w:w="70" w:type="dxa"/>
              <w:start w:w="120" w:type="dxa"/>
              <w:bottom w:w="70" w:type="dxa"/>
              <w:end w:w="120" w:type="dxa"/>
            </w:tcMar>
            <w:vAlign w:val="center"/>
          </w:tcPr>
          <w:p>
            <w:pPr>
              <w:spacing w:after="0"/>
              <w:jc w:val="left"/>
            </w:pPr>
            <w:r>
              <w:rPr>
                <w:rFonts w:ascii="Arial" w:hAnsi="Arial"/>
                <w:b/>
                <w:color w:val="FFFFFF"/>
                <w:sz w:val="19"/>
              </w:rPr>
              <w:t>What exists</w:t>
            </w:r>
          </w:p>
        </w:tc>
        <w:tc>
          <w:tcPr>
            <w:tcW w:type="dxa" w:w="2948"/>
            <w:shd w:fill="17324D"/>
            <w:tcMar>
              <w:top w:w="70" w:type="dxa"/>
              <w:start w:w="120" w:type="dxa"/>
              <w:bottom w:w="70" w:type="dxa"/>
              <w:end w:w="120" w:type="dxa"/>
            </w:tcMar>
            <w:vAlign w:val="center"/>
          </w:tcPr>
          <w:p>
            <w:pPr>
              <w:spacing w:after="0"/>
              <w:jc w:val="left"/>
            </w:pPr>
            <w:r>
              <w:rPr>
                <w:rFonts w:ascii="Arial" w:hAnsi="Arial"/>
                <w:b/>
                <w:color w:val="FFFFFF"/>
                <w:sz w:val="19"/>
              </w:rPr>
              <w:t>Report guidance</w:t>
            </w:r>
          </w:p>
        </w:tc>
      </w:tr>
      <w:tr>
        <w:trPr>
          <w:cantSplit/>
        </w:trPr>
        <w:tc>
          <w:tcPr>
            <w:tcW w:type="dxa" w:w="1757"/>
            <w:shd w:fill="FFFFFF"/>
            <w:tcMar>
              <w:top w:w="80" w:type="dxa"/>
              <w:start w:w="120" w:type="dxa"/>
              <w:bottom w:w="80" w:type="dxa"/>
              <w:end w:w="120" w:type="dxa"/>
            </w:tcMar>
            <w:vAlign w:val="center"/>
          </w:tcPr>
          <w:p>
            <w:pPr>
              <w:spacing w:after="0" w:line="252" w:lineRule="auto"/>
            </w:pPr>
            <w:r>
              <w:rPr>
                <w:rFonts w:ascii="Arial" w:hAnsi="Arial"/>
                <w:b w:val="0"/>
                <w:color w:val="202A33"/>
                <w:sz w:val="18"/>
              </w:rPr>
              <w:t>Jenkins</w:t>
            </w:r>
          </w:p>
        </w:tc>
        <w:tc>
          <w:tcPr>
            <w:tcW w:type="dxa" w:w="2041"/>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Not built</w:t>
            </w:r>
          </w:p>
        </w:tc>
        <w:tc>
          <w:tcPr>
            <w:tcW w:type="dxa" w:w="4025"/>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 Jenkinsfile, pipeline job or Jenkins configuration exists.</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Do not list as implemented.</w:t>
            </w:r>
          </w:p>
        </w:tc>
      </w:tr>
      <w:tr>
        <w:trPr>
          <w:cantSplit/>
        </w:trPr>
        <w:tc>
          <w:tcPr>
            <w:tcW w:type="dxa" w:w="1757"/>
            <w:shd w:fill="F4F8FA"/>
            <w:tcMar>
              <w:top w:w="80" w:type="dxa"/>
              <w:start w:w="120" w:type="dxa"/>
              <w:bottom w:w="80" w:type="dxa"/>
              <w:end w:w="120" w:type="dxa"/>
            </w:tcMar>
            <w:vAlign w:val="center"/>
          </w:tcPr>
          <w:p>
            <w:pPr>
              <w:spacing w:after="0" w:line="252" w:lineRule="auto"/>
            </w:pPr>
            <w:r>
              <w:rPr>
                <w:rFonts w:ascii="Arial" w:hAnsi="Arial"/>
                <w:b w:val="0"/>
                <w:color w:val="202A33"/>
                <w:sz w:val="18"/>
              </w:rPr>
              <w:t>GitHub Actions</w:t>
            </w:r>
          </w:p>
        </w:tc>
        <w:tc>
          <w:tcPr>
            <w:tcW w:type="dxa" w:w="2041"/>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Not built</w:t>
            </w:r>
          </w:p>
        </w:tc>
        <w:tc>
          <w:tcPr>
            <w:tcW w:type="dxa" w:w="4025"/>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 .github/workflows directory or CI workflow exists.</w:t>
            </w:r>
          </w:p>
        </w:tc>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 not claim automated testing/deployment.</w:t>
            </w:r>
          </w:p>
        </w:tc>
      </w:tr>
      <w:tr>
        <w:trPr>
          <w:cantSplit/>
        </w:trPr>
        <w:tc>
          <w:tcPr>
            <w:tcW w:type="dxa" w:w="1757"/>
            <w:shd w:fill="FFFFFF"/>
            <w:tcMar>
              <w:top w:w="80" w:type="dxa"/>
              <w:start w:w="120" w:type="dxa"/>
              <w:bottom w:w="80" w:type="dxa"/>
              <w:end w:w="120" w:type="dxa"/>
            </w:tcMar>
            <w:vAlign w:val="center"/>
          </w:tcPr>
          <w:p>
            <w:pPr>
              <w:spacing w:after="0" w:line="252" w:lineRule="auto"/>
            </w:pPr>
            <w:r>
              <w:rPr>
                <w:rFonts w:ascii="Arial" w:hAnsi="Arial"/>
                <w:b w:val="0"/>
                <w:color w:val="202A33"/>
                <w:sz w:val="18"/>
              </w:rPr>
              <w:t>Prometheus</w:t>
            </w:r>
          </w:p>
        </w:tc>
        <w:tc>
          <w:tcPr>
            <w:tcW w:type="dxa" w:w="2041"/>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Not built</w:t>
            </w:r>
          </w:p>
        </w:tc>
        <w:tc>
          <w:tcPr>
            <w:tcW w:type="dxa" w:w="4025"/>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 scrape configuration, exporter or metrics endpoint is configured.</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Do not claim production monitoring.</w:t>
            </w:r>
          </w:p>
        </w:tc>
      </w:tr>
      <w:tr>
        <w:trPr>
          <w:cantSplit/>
        </w:trPr>
        <w:tc>
          <w:tcPr>
            <w:tcW w:type="dxa" w:w="1757"/>
            <w:shd w:fill="F4F8FA"/>
            <w:tcMar>
              <w:top w:w="80" w:type="dxa"/>
              <w:start w:w="120" w:type="dxa"/>
              <w:bottom w:w="80" w:type="dxa"/>
              <w:end w:w="120" w:type="dxa"/>
            </w:tcMar>
            <w:vAlign w:val="center"/>
          </w:tcPr>
          <w:p>
            <w:pPr>
              <w:spacing w:after="0" w:line="252" w:lineRule="auto"/>
            </w:pPr>
            <w:r>
              <w:rPr>
                <w:rFonts w:ascii="Arial" w:hAnsi="Arial"/>
                <w:b w:val="0"/>
                <w:color w:val="202A33"/>
                <w:sz w:val="18"/>
              </w:rPr>
              <w:t>Grafana</w:t>
            </w:r>
          </w:p>
        </w:tc>
        <w:tc>
          <w:tcPr>
            <w:tcW w:type="dxa" w:w="2041"/>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Not built</w:t>
            </w:r>
          </w:p>
        </w:tc>
        <w:tc>
          <w:tcPr>
            <w:tcW w:type="dxa" w:w="4025"/>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 dashboards, data sources or provisioning files exist.</w:t>
            </w:r>
          </w:p>
        </w:tc>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 not claim dashboards or alerting.</w:t>
            </w:r>
          </w:p>
        </w:tc>
      </w:tr>
      <w:tr>
        <w:trPr>
          <w:cantSplit/>
        </w:trPr>
        <w:tc>
          <w:tcPr>
            <w:tcW w:type="dxa" w:w="1757"/>
            <w:shd w:fill="FFFFFF"/>
            <w:tcMar>
              <w:top w:w="80" w:type="dxa"/>
              <w:start w:w="120" w:type="dxa"/>
              <w:bottom w:w="80" w:type="dxa"/>
              <w:end w:w="120" w:type="dxa"/>
            </w:tcMar>
            <w:vAlign w:val="center"/>
          </w:tcPr>
          <w:p>
            <w:pPr>
              <w:spacing w:after="0" w:line="252" w:lineRule="auto"/>
            </w:pPr>
            <w:r>
              <w:rPr>
                <w:rFonts w:ascii="Arial" w:hAnsi="Arial"/>
                <w:b w:val="0"/>
                <w:color w:val="202A33"/>
                <w:sz w:val="18"/>
              </w:rPr>
              <w:t>Amazon S3</w:t>
            </w:r>
          </w:p>
        </w:tc>
        <w:tc>
          <w:tcPr>
            <w:tcW w:type="dxa" w:w="204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Partially built for DA2 operations</w:t>
            </w:r>
          </w:p>
        </w:tc>
        <w:tc>
          <w:tcPr>
            <w:tcW w:type="dxa" w:w="4025"/>
            <w:shd w:fill="FFFFFF"/>
            <w:tcMar>
              <w:top w:w="80" w:type="dxa"/>
              <w:start w:w="120" w:type="dxa"/>
              <w:bottom w:w="80" w:type="dxa"/>
              <w:end w:w="120" w:type="dxa"/>
            </w:tcMar>
            <w:vAlign w:val="center"/>
          </w:tcPr>
          <w:p>
            <w:pPr>
              <w:spacing w:after="0" w:line="252" w:lineRule="auto"/>
            </w:pPr>
            <w:r>
              <w:rPr>
                <w:rFonts w:ascii="Arial" w:hAnsi="Arial"/>
                <w:b w:val="0"/>
                <w:color w:val="202A33"/>
                <w:sz w:val="18"/>
              </w:rPr>
              <w:t>DA2 backup process uploads compressed, checksummed MySQL dumps to a private, versioned and encrypted S3 bucket.</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Describe it as cloud backup evidence, not in-app media storage.</w:t>
            </w:r>
          </w:p>
        </w:tc>
      </w:tr>
    </w:tbl>
    <w:p>
      <w:pPr>
        <w:spacing w:after="40"/>
      </w:pPr>
    </w:p>
    <w:p>
      <w:pPr>
        <w:spacing w:after="120" w:before="0" w:line="269" w:lineRule="auto"/>
      </w:pPr>
      <w:r>
        <w:rPr>
          <w:rFonts w:ascii="Arial" w:hAnsi="Arial"/>
          <w:b w:val="0"/>
          <w:color w:val="202A33"/>
          <w:sz w:val="21"/>
        </w:rPr>
        <w:t>The architecture drawing also labels Jenkins, GitHub Actions and Prometheus/Grafana as deferred. That matches the repository state. The S3 bucket is real DA2 work, but the application itself still does not implement a general S3 media or archive service.</w:t>
      </w:r>
    </w:p>
    <w:p>
      <w:pPr>
        <w:pStyle w:val="Heading1"/>
        <w:keepNext/>
        <w:spacing w:before="280" w:after="120"/>
      </w:pPr>
      <w:r>
        <w:rPr>
          <w:rFonts w:ascii="Arial" w:hAnsi="Arial"/>
          <w:b/>
          <w:color w:val="000000"/>
          <w:sz w:val="30"/>
        </w:rPr>
        <w:t>3. Roles and access control</w:t>
      </w:r>
    </w:p>
    <w:p>
      <w:pPr>
        <w:spacing w:after="120" w:before="0" w:line="269" w:lineRule="auto"/>
      </w:pPr>
      <w:r>
        <w:rPr>
          <w:rFonts w:ascii="Arial" w:hAnsi="Arial"/>
          <w:b w:val="0"/>
          <w:color w:val="202A33"/>
          <w:sz w:val="21"/>
        </w:rPr>
        <w:t>The database contains role permissions, but Spring Security is the effective enforcement point for HTTP endpoints. Both are shown here because the current configuration is not perfectly aligned.</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2409"/>
        <w:gridCol w:w="2409"/>
        <w:gridCol w:w="2409"/>
        <w:gridCol w:w="2409"/>
      </w:tblGrid>
      <w:tr>
        <w:trPr>
          <w:tblHeader w:val="true"/>
        </w:trPr>
        <w:tc>
          <w:tcPr>
            <w:tcW w:type="dxa" w:w="1984"/>
            <w:shd w:fill="17324D"/>
            <w:tcMar>
              <w:top w:w="70" w:type="dxa"/>
              <w:start w:w="120" w:type="dxa"/>
              <w:bottom w:w="70" w:type="dxa"/>
              <w:end w:w="120" w:type="dxa"/>
            </w:tcMar>
            <w:vAlign w:val="center"/>
          </w:tcPr>
          <w:p>
            <w:pPr>
              <w:spacing w:after="0"/>
              <w:jc w:val="left"/>
            </w:pPr>
            <w:r>
              <w:rPr>
                <w:rFonts w:ascii="Arial" w:hAnsi="Arial"/>
                <w:b/>
                <w:color w:val="FFFFFF"/>
                <w:sz w:val="19"/>
              </w:rPr>
              <w:t>Role</w:t>
            </w:r>
          </w:p>
        </w:tc>
        <w:tc>
          <w:tcPr>
            <w:tcW w:type="dxa" w:w="1587"/>
            <w:shd w:fill="17324D"/>
            <w:tcMar>
              <w:top w:w="70" w:type="dxa"/>
              <w:start w:w="120" w:type="dxa"/>
              <w:bottom w:w="70" w:type="dxa"/>
              <w:end w:w="120" w:type="dxa"/>
            </w:tcMar>
            <w:vAlign w:val="center"/>
          </w:tcPr>
          <w:p>
            <w:pPr>
              <w:spacing w:after="0"/>
              <w:jc w:val="left"/>
            </w:pPr>
            <w:r>
              <w:rPr>
                <w:rFonts w:ascii="Arial" w:hAnsi="Arial"/>
                <w:b/>
                <w:color w:val="FFFFFF"/>
                <w:sz w:val="19"/>
              </w:rPr>
              <w:t>Audit trail</w:t>
            </w:r>
          </w:p>
        </w:tc>
        <w:tc>
          <w:tcPr>
            <w:tcW w:type="dxa" w:w="1984"/>
            <w:shd w:fill="17324D"/>
            <w:tcMar>
              <w:top w:w="70" w:type="dxa"/>
              <w:start w:w="120" w:type="dxa"/>
              <w:bottom w:w="70" w:type="dxa"/>
              <w:end w:w="120" w:type="dxa"/>
            </w:tcMar>
            <w:vAlign w:val="center"/>
          </w:tcPr>
          <w:p>
            <w:pPr>
              <w:spacing w:after="0"/>
              <w:jc w:val="left"/>
            </w:pPr>
            <w:r>
              <w:rPr>
                <w:rFonts w:ascii="Arial" w:hAnsi="Arial"/>
                <w:b/>
                <w:color w:val="FFFFFF"/>
                <w:sz w:val="19"/>
              </w:rPr>
              <w:t>User directory</w:t>
            </w:r>
          </w:p>
        </w:tc>
        <w:tc>
          <w:tcPr>
            <w:tcW w:type="dxa" w:w="5216"/>
            <w:shd w:fill="17324D"/>
            <w:tcMar>
              <w:top w:w="70" w:type="dxa"/>
              <w:start w:w="120" w:type="dxa"/>
              <w:bottom w:w="70" w:type="dxa"/>
              <w:end w:w="120" w:type="dxa"/>
            </w:tcMar>
            <w:vAlign w:val="center"/>
          </w:tcPr>
          <w:p>
            <w:pPr>
              <w:spacing w:after="0"/>
              <w:jc w:val="left"/>
            </w:pPr>
            <w:r>
              <w:rPr>
                <w:rFonts w:ascii="Arial" w:hAnsi="Arial"/>
                <w:b/>
                <w:color w:val="FFFFFF"/>
                <w:sz w:val="19"/>
              </w:rPr>
              <w:t>Effective incident and asset actions</w:t>
            </w:r>
          </w:p>
        </w:tc>
      </w:tr>
      <w:tr>
        <w:trPr>
          <w:cantSplit/>
        </w:trPr>
        <w:tc>
          <w:tcPr>
            <w:tcW w:type="dxa" w:w="1984"/>
            <w:shd w:fill="FFFFFF"/>
            <w:tcMar>
              <w:top w:w="80" w:type="dxa"/>
              <w:start w:w="120" w:type="dxa"/>
              <w:bottom w:w="80" w:type="dxa"/>
              <w:end w:w="120" w:type="dxa"/>
            </w:tcMar>
            <w:vAlign w:val="center"/>
          </w:tcPr>
          <w:p>
            <w:pPr>
              <w:spacing w:after="0" w:line="252" w:lineRule="auto"/>
            </w:pPr>
            <w:r>
              <w:rPr>
                <w:rFonts w:ascii="Arial" w:hAnsi="Arial"/>
                <w:b w:val="0"/>
                <w:color w:val="202A33"/>
                <w:sz w:val="18"/>
              </w:rPr>
              <w:t>SUPER_ADMIN</w:t>
            </w:r>
          </w:p>
        </w:tc>
        <w:tc>
          <w:tcPr>
            <w:tcW w:type="dxa" w:w="1587"/>
            <w:shd w:fill="FFFFFF"/>
            <w:tcMar>
              <w:top w:w="80" w:type="dxa"/>
              <w:start w:w="120" w:type="dxa"/>
              <w:bottom w:w="80" w:type="dxa"/>
              <w:end w:w="120" w:type="dxa"/>
            </w:tcMar>
            <w:vAlign w:val="center"/>
          </w:tcPr>
          <w:p>
            <w:pPr>
              <w:spacing w:after="0" w:line="252" w:lineRule="auto"/>
            </w:pPr>
            <w:r>
              <w:rPr>
                <w:rFonts w:ascii="Arial" w:hAnsi="Arial"/>
                <w:b w:val="0"/>
                <w:color w:val="202A33"/>
                <w:sz w:val="18"/>
              </w:rPr>
              <w:t>Yes</w:t>
            </w:r>
          </w:p>
        </w:tc>
        <w:tc>
          <w:tcPr>
            <w:tcW w:type="dxa" w:w="1984"/>
            <w:shd w:fill="FFFFFF"/>
            <w:tcMar>
              <w:top w:w="80" w:type="dxa"/>
              <w:start w:w="120" w:type="dxa"/>
              <w:bottom w:w="80" w:type="dxa"/>
              <w:end w:w="120" w:type="dxa"/>
            </w:tcMar>
            <w:vAlign w:val="center"/>
          </w:tcPr>
          <w:p>
            <w:pPr>
              <w:spacing w:after="0" w:line="252" w:lineRule="auto"/>
            </w:pPr>
            <w:r>
              <w:rPr>
                <w:rFonts w:ascii="Arial" w:hAnsi="Arial"/>
                <w:b w:val="0"/>
                <w:color w:val="202A33"/>
                <w:sz w:val="18"/>
              </w:rPr>
              <w:t>Yes, read-only endpoints</w:t>
            </w:r>
          </w:p>
        </w:tc>
        <w:tc>
          <w:tcPr>
            <w:tcW w:type="dxa" w:w="5216"/>
            <w:shd w:fill="FFFFFF"/>
            <w:tcMar>
              <w:top w:w="80" w:type="dxa"/>
              <w:start w:w="120" w:type="dxa"/>
              <w:bottom w:w="80" w:type="dxa"/>
              <w:end w:w="120" w:type="dxa"/>
            </w:tcMar>
            <w:vAlign w:val="center"/>
          </w:tcPr>
          <w:p>
            <w:pPr>
              <w:spacing w:after="0" w:line="252" w:lineRule="auto"/>
            </w:pPr>
            <w:r>
              <w:rPr>
                <w:rFonts w:ascii="Arial" w:hAnsi="Arial"/>
                <w:b w:val="0"/>
                <w:color w:val="202A33"/>
                <w:sz w:val="18"/>
              </w:rPr>
              <w:t>Acknowledge, resolve, delete, ingest, configure assets, export</w:t>
            </w:r>
          </w:p>
        </w:tc>
      </w:tr>
      <w:tr>
        <w:trPr>
          <w:cantSplit/>
        </w:trPr>
        <w:tc>
          <w:tcPr>
            <w:tcW w:type="dxa" w:w="1984"/>
            <w:shd w:fill="F4F8FA"/>
            <w:tcMar>
              <w:top w:w="80" w:type="dxa"/>
              <w:start w:w="120" w:type="dxa"/>
              <w:bottom w:w="80" w:type="dxa"/>
              <w:end w:w="120" w:type="dxa"/>
            </w:tcMar>
            <w:vAlign w:val="center"/>
          </w:tcPr>
          <w:p>
            <w:pPr>
              <w:spacing w:after="0" w:line="252" w:lineRule="auto"/>
            </w:pPr>
            <w:r>
              <w:rPr>
                <w:rFonts w:ascii="Arial" w:hAnsi="Arial"/>
                <w:b w:val="0"/>
                <w:color w:val="202A33"/>
                <w:sz w:val="18"/>
              </w:rPr>
              <w:t>ADMIN</w:t>
            </w:r>
          </w:p>
        </w:tc>
        <w:tc>
          <w:tcPr>
            <w:tcW w:type="dxa" w:w="1587"/>
            <w:shd w:fill="F4F8FA"/>
            <w:tcMar>
              <w:top w:w="80" w:type="dxa"/>
              <w:start w:w="120" w:type="dxa"/>
              <w:bottom w:w="80" w:type="dxa"/>
              <w:end w:w="120" w:type="dxa"/>
            </w:tcMar>
            <w:vAlign w:val="center"/>
          </w:tcPr>
          <w:p>
            <w:pPr>
              <w:spacing w:after="0" w:line="252" w:lineRule="auto"/>
            </w:pPr>
            <w:r>
              <w:rPr>
                <w:rFonts w:ascii="Arial" w:hAnsi="Arial"/>
                <w:b w:val="0"/>
                <w:color w:val="202A33"/>
                <w:sz w:val="18"/>
              </w:rPr>
              <w:t>Yes</w:t>
            </w:r>
          </w:p>
        </w:tc>
        <w:tc>
          <w:tcPr>
            <w:tcW w:type="dxa" w:w="1984"/>
            <w:shd w:fill="F4F8FA"/>
            <w:tcMar>
              <w:top w:w="80" w:type="dxa"/>
              <w:start w:w="120" w:type="dxa"/>
              <w:bottom w:w="80" w:type="dxa"/>
              <w:end w:w="120" w:type="dxa"/>
            </w:tcMar>
            <w:vAlign w:val="center"/>
          </w:tcPr>
          <w:p>
            <w:pPr>
              <w:spacing w:after="0" w:line="252" w:lineRule="auto"/>
            </w:pPr>
            <w:r>
              <w:rPr>
                <w:rFonts w:ascii="Arial" w:hAnsi="Arial"/>
                <w:b w:val="0"/>
                <w:color w:val="202A33"/>
                <w:sz w:val="18"/>
              </w:rPr>
              <w:t>Yes, read-only endpoints</w:t>
            </w:r>
          </w:p>
        </w:tc>
        <w:tc>
          <w:tcPr>
            <w:tcW w:type="dxa" w:w="5216"/>
            <w:shd w:fill="F4F8FA"/>
            <w:tcMar>
              <w:top w:w="80" w:type="dxa"/>
              <w:start w:w="120" w:type="dxa"/>
              <w:bottom w:w="80" w:type="dxa"/>
              <w:end w:w="120" w:type="dxa"/>
            </w:tcMar>
            <w:vAlign w:val="center"/>
          </w:tcPr>
          <w:p>
            <w:pPr>
              <w:spacing w:after="0" w:line="252" w:lineRule="auto"/>
            </w:pPr>
            <w:r>
              <w:rPr>
                <w:rFonts w:ascii="Arial" w:hAnsi="Arial"/>
                <w:b w:val="0"/>
                <w:color w:val="202A33"/>
                <w:sz w:val="18"/>
              </w:rPr>
              <w:t>Acknowledge, resolve, delete, ingest, configure assets, export</w:t>
            </w:r>
          </w:p>
        </w:tc>
      </w:tr>
      <w:tr>
        <w:trPr>
          <w:cantSplit/>
        </w:trPr>
        <w:tc>
          <w:tcPr>
            <w:tcW w:type="dxa" w:w="1984"/>
            <w:shd w:fill="FFFFFF"/>
            <w:tcMar>
              <w:top w:w="80" w:type="dxa"/>
              <w:start w:w="120" w:type="dxa"/>
              <w:bottom w:w="80" w:type="dxa"/>
              <w:end w:w="120" w:type="dxa"/>
            </w:tcMar>
            <w:vAlign w:val="center"/>
          </w:tcPr>
          <w:p>
            <w:pPr>
              <w:spacing w:after="0" w:line="252" w:lineRule="auto"/>
            </w:pPr>
            <w:r>
              <w:rPr>
                <w:rFonts w:ascii="Arial" w:hAnsi="Arial"/>
                <w:b w:val="0"/>
                <w:color w:val="202A33"/>
                <w:sz w:val="18"/>
              </w:rPr>
              <w:t>SECURITY_MANAGER</w:t>
            </w:r>
          </w:p>
        </w:tc>
        <w:tc>
          <w:tcPr>
            <w:tcW w:type="dxa" w:w="1587"/>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 in current API</w:t>
            </w:r>
          </w:p>
        </w:tc>
        <w:tc>
          <w:tcPr>
            <w:tcW w:type="dxa" w:w="1984"/>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5216"/>
            <w:shd w:fill="FFFFFF"/>
            <w:tcMar>
              <w:top w:w="80" w:type="dxa"/>
              <w:start w:w="120" w:type="dxa"/>
              <w:bottom w:w="80" w:type="dxa"/>
              <w:end w:w="120" w:type="dxa"/>
            </w:tcMar>
            <w:vAlign w:val="center"/>
          </w:tcPr>
          <w:p>
            <w:pPr>
              <w:spacing w:after="0" w:line="252" w:lineRule="auto"/>
            </w:pPr>
            <w:r>
              <w:rPr>
                <w:rFonts w:ascii="Arial" w:hAnsi="Arial"/>
                <w:b w:val="0"/>
                <w:color w:val="202A33"/>
                <w:sz w:val="18"/>
              </w:rPr>
              <w:t>Acknowledge, resolve, ingest, configure cameras; seeded AUDIT_READ is not honoured by current API matcher</w:t>
            </w:r>
          </w:p>
        </w:tc>
      </w:tr>
      <w:tr>
        <w:trPr>
          <w:cantSplit/>
        </w:trPr>
        <w:tc>
          <w:tcPr>
            <w:tcW w:type="dxa" w:w="1984"/>
            <w:shd w:fill="F4F8FA"/>
            <w:tcMar>
              <w:top w:w="80" w:type="dxa"/>
              <w:start w:w="120" w:type="dxa"/>
              <w:bottom w:w="80" w:type="dxa"/>
              <w:end w:w="120" w:type="dxa"/>
            </w:tcMar>
            <w:vAlign w:val="center"/>
          </w:tcPr>
          <w:p>
            <w:pPr>
              <w:spacing w:after="0" w:line="252" w:lineRule="auto"/>
            </w:pPr>
            <w:r>
              <w:rPr>
                <w:rFonts w:ascii="Arial" w:hAnsi="Arial"/>
                <w:b w:val="0"/>
                <w:color w:val="202A33"/>
                <w:sz w:val="18"/>
              </w:rPr>
              <w:t>ANALYST</w:t>
            </w:r>
          </w:p>
        </w:tc>
        <w:tc>
          <w:tcPr>
            <w:tcW w:type="dxa" w:w="1587"/>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1984"/>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5216"/>
            <w:shd w:fill="F4F8FA"/>
            <w:tcMar>
              <w:top w:w="80" w:type="dxa"/>
              <w:start w:w="120" w:type="dxa"/>
              <w:bottom w:w="80" w:type="dxa"/>
              <w:end w:w="120" w:type="dxa"/>
            </w:tcMar>
            <w:vAlign w:val="center"/>
          </w:tcPr>
          <w:p>
            <w:pPr>
              <w:spacing w:after="0" w:line="252" w:lineRule="auto"/>
            </w:pPr>
            <w:r>
              <w:rPr>
                <w:rFonts w:ascii="Arial" w:hAnsi="Arial"/>
                <w:b w:val="0"/>
                <w:color w:val="202A33"/>
                <w:sz w:val="18"/>
              </w:rPr>
              <w:t>Read incidents and cameras; export reports</w:t>
            </w:r>
          </w:p>
        </w:tc>
      </w:tr>
      <w:tr>
        <w:trPr>
          <w:cantSplit/>
        </w:trPr>
        <w:tc>
          <w:tcPr>
            <w:tcW w:type="dxa" w:w="1984"/>
            <w:shd w:fill="FFFFFF"/>
            <w:tcMar>
              <w:top w:w="80" w:type="dxa"/>
              <w:start w:w="120" w:type="dxa"/>
              <w:bottom w:w="80" w:type="dxa"/>
              <w:end w:w="120" w:type="dxa"/>
            </w:tcMar>
            <w:vAlign w:val="center"/>
          </w:tcPr>
          <w:p>
            <w:pPr>
              <w:spacing w:after="0" w:line="252" w:lineRule="auto"/>
            </w:pPr>
            <w:r>
              <w:rPr>
                <w:rFonts w:ascii="Arial" w:hAnsi="Arial"/>
                <w:b w:val="0"/>
                <w:color w:val="202A33"/>
                <w:sz w:val="18"/>
              </w:rPr>
              <w:t>OPERATOR</w:t>
            </w:r>
          </w:p>
        </w:tc>
        <w:tc>
          <w:tcPr>
            <w:tcW w:type="dxa" w:w="1587"/>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1984"/>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5216"/>
            <w:shd w:fill="FFFFFF"/>
            <w:tcMar>
              <w:top w:w="80" w:type="dxa"/>
              <w:start w:w="120" w:type="dxa"/>
              <w:bottom w:w="80" w:type="dxa"/>
              <w:end w:w="120" w:type="dxa"/>
            </w:tcMar>
            <w:vAlign w:val="center"/>
          </w:tcPr>
          <w:p>
            <w:pPr>
              <w:spacing w:after="0" w:line="252" w:lineRule="auto"/>
            </w:pPr>
            <w:r>
              <w:rPr>
                <w:rFonts w:ascii="Arial" w:hAnsi="Arial"/>
                <w:b w:val="0"/>
                <w:color w:val="202A33"/>
                <w:sz w:val="18"/>
              </w:rPr>
              <w:t>Acknowledge and resolve incidents; export reports</w:t>
            </w:r>
          </w:p>
        </w:tc>
      </w:tr>
      <w:tr>
        <w:trPr>
          <w:cantSplit/>
        </w:trPr>
        <w:tc>
          <w:tcPr>
            <w:tcW w:type="dxa" w:w="1984"/>
            <w:shd w:fill="F4F8FA"/>
            <w:tcMar>
              <w:top w:w="80" w:type="dxa"/>
              <w:start w:w="120" w:type="dxa"/>
              <w:bottom w:w="80" w:type="dxa"/>
              <w:end w:w="120" w:type="dxa"/>
            </w:tcMar>
            <w:vAlign w:val="center"/>
          </w:tcPr>
          <w:p>
            <w:pPr>
              <w:spacing w:after="0" w:line="252" w:lineRule="auto"/>
            </w:pPr>
            <w:r>
              <w:rPr>
                <w:rFonts w:ascii="Arial" w:hAnsi="Arial"/>
                <w:b w:val="0"/>
                <w:color w:val="202A33"/>
                <w:sz w:val="18"/>
              </w:rPr>
              <w:t>VIEWER</w:t>
            </w:r>
          </w:p>
        </w:tc>
        <w:tc>
          <w:tcPr>
            <w:tcW w:type="dxa" w:w="1587"/>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1984"/>
            <w:shd w:fill="F4F8FA"/>
            <w:tcMar>
              <w:top w:w="80" w:type="dxa"/>
              <w:start w:w="120" w:type="dxa"/>
              <w:bottom w:w="80" w:type="dxa"/>
              <w:end w:w="120" w:type="dxa"/>
            </w:tcMar>
            <w:vAlign w:val="center"/>
          </w:tcPr>
          <w:p>
            <w:pPr>
              <w:spacing w:after="0" w:line="252" w:lineRule="auto"/>
            </w:pPr>
            <w:r>
              <w:rPr>
                <w:rFonts w:ascii="Arial" w:hAnsi="Arial"/>
                <w:b w:val="0"/>
                <w:color w:val="202A33"/>
                <w:sz w:val="18"/>
              </w:rPr>
              <w:t>No</w:t>
            </w:r>
          </w:p>
        </w:tc>
        <w:tc>
          <w:tcPr>
            <w:tcW w:type="dxa" w:w="5216"/>
            <w:shd w:fill="F4F8FA"/>
            <w:tcMar>
              <w:top w:w="80" w:type="dxa"/>
              <w:start w:w="120" w:type="dxa"/>
              <w:bottom w:w="80" w:type="dxa"/>
              <w:end w:w="120" w:type="dxa"/>
            </w:tcMar>
            <w:vAlign w:val="center"/>
          </w:tcPr>
          <w:p>
            <w:pPr>
              <w:spacing w:after="0" w:line="252" w:lineRule="auto"/>
            </w:pPr>
            <w:r>
              <w:rPr>
                <w:rFonts w:ascii="Arial" w:hAnsi="Arial"/>
                <w:b w:val="0"/>
                <w:color w:val="202A33"/>
                <w:sz w:val="18"/>
              </w:rPr>
              <w:t>Read-only; cannot acknowledge, resolve, delete or export</w:t>
            </w:r>
          </w:p>
        </w:tc>
      </w:tr>
    </w:tbl>
    <w:p>
      <w:pPr>
        <w:spacing w:after="40"/>
      </w:pPr>
    </w:p>
    <w:p>
      <w:pPr>
        <w:spacing w:after="120" w:before="0" w:line="269" w:lineRule="auto"/>
      </w:pPr>
      <w:r>
        <w:rPr>
          <w:rFonts w:ascii="Arial" w:hAnsi="Arial"/>
          <w:b w:val="0"/>
          <w:color w:val="202A33"/>
          <w:sz w:val="21"/>
        </w:rPr>
        <w:t>Important limitation: user management is not a full CRUD feature. The current controller exposes only GET /users and GET /users/email/{email}. There are no authenticated create, update or delete user endpoints; POST /auth/register is public. The final report should say “view the user directory,” not “manage users,” unless that feature is added.</w:t>
      </w:r>
    </w:p>
    <w:p>
      <w:pPr>
        <w:spacing w:after="120" w:before="0" w:line="269" w:lineRule="auto"/>
      </w:pPr>
      <w:r>
        <w:rPr>
          <w:rFonts w:ascii="Arial" w:hAnsi="Arial"/>
          <w:b w:val="0"/>
          <w:color w:val="202A33"/>
          <w:sz w:val="21"/>
        </w:rPr>
        <w:t>Access-control inconsistency to fix or disclose: the seeded SECURITY_MANAGER role has AUDIT_READ, but SecurityConfig currently permits /api/audit/** only for SUPER_ADMIN and ADMIN. The effective API behaviour is therefore the narrower rule.</w:t>
      </w:r>
    </w:p>
    <w:p>
      <w:r>
        <w:br w:type="page"/>
      </w:r>
    </w:p>
    <w:p>
      <w:pPr>
        <w:pStyle w:val="Heading1"/>
        <w:keepNext/>
        <w:spacing w:before="280" w:after="120"/>
      </w:pPr>
      <w:r>
        <w:rPr>
          <w:rFonts w:ascii="Arial" w:hAnsi="Arial"/>
          <w:b/>
          <w:color w:val="000000"/>
          <w:sz w:val="30"/>
        </w:rPr>
        <w:t>4. Current API and WebSocket paths</w:t>
      </w:r>
    </w:p>
    <w:p>
      <w:pPr>
        <w:spacing w:after="120" w:before="0" w:line="269" w:lineRule="auto"/>
      </w:pPr>
      <w:r>
        <w:rPr>
          <w:rFonts w:ascii="Arial" w:hAnsi="Arial"/>
          <w:b w:val="0"/>
          <w:color w:val="202A33"/>
          <w:sz w:val="21"/>
        </w:rPr>
        <w:t>The paths shown in the Review 1 sequence diagrams are not the implemented paths. The following table is the current contract and should replace the older diagrams.</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2409"/>
        <w:gridCol w:w="2409"/>
        <w:gridCol w:w="2409"/>
        <w:gridCol w:w="2409"/>
      </w:tblGrid>
      <w:tr>
        <w:trPr>
          <w:tblHeader w:val="true"/>
        </w:trPr>
        <w:tc>
          <w:tcPr>
            <w:tcW w:type="dxa" w:w="1701"/>
            <w:shd w:fill="17324D"/>
            <w:tcMar>
              <w:top w:w="70" w:type="dxa"/>
              <w:start w:w="120" w:type="dxa"/>
              <w:bottom w:w="70" w:type="dxa"/>
              <w:end w:w="120" w:type="dxa"/>
            </w:tcMar>
            <w:vAlign w:val="center"/>
          </w:tcPr>
          <w:p>
            <w:pPr>
              <w:spacing w:after="0"/>
              <w:jc w:val="left"/>
            </w:pPr>
            <w:r>
              <w:rPr>
                <w:rFonts w:ascii="Arial" w:hAnsi="Arial"/>
                <w:b/>
                <w:color w:val="FFFFFF"/>
                <w:sz w:val="19"/>
              </w:rPr>
              <w:t>Operation</w:t>
            </w:r>
          </w:p>
        </w:tc>
        <w:tc>
          <w:tcPr>
            <w:tcW w:type="dxa" w:w="2381"/>
            <w:shd w:fill="17324D"/>
            <w:tcMar>
              <w:top w:w="70" w:type="dxa"/>
              <w:start w:w="120" w:type="dxa"/>
              <w:bottom w:w="70" w:type="dxa"/>
              <w:end w:w="120" w:type="dxa"/>
            </w:tcMar>
            <w:vAlign w:val="center"/>
          </w:tcPr>
          <w:p>
            <w:pPr>
              <w:spacing w:after="0"/>
              <w:jc w:val="left"/>
            </w:pPr>
            <w:r>
              <w:rPr>
                <w:rFonts w:ascii="Arial" w:hAnsi="Arial"/>
                <w:b/>
                <w:color w:val="FFFFFF"/>
                <w:sz w:val="19"/>
              </w:rPr>
              <w:t>Review 1 label</w:t>
            </w:r>
          </w:p>
        </w:tc>
        <w:tc>
          <w:tcPr>
            <w:tcW w:type="dxa" w:w="2721"/>
            <w:shd w:fill="17324D"/>
            <w:tcMar>
              <w:top w:w="70" w:type="dxa"/>
              <w:start w:w="120" w:type="dxa"/>
              <w:bottom w:w="70" w:type="dxa"/>
              <w:end w:w="120" w:type="dxa"/>
            </w:tcMar>
            <w:vAlign w:val="center"/>
          </w:tcPr>
          <w:p>
            <w:pPr>
              <w:spacing w:after="0"/>
              <w:jc w:val="left"/>
            </w:pPr>
            <w:r>
              <w:rPr>
                <w:rFonts w:ascii="Arial" w:hAnsi="Arial"/>
                <w:b/>
                <w:color w:val="FFFFFF"/>
                <w:sz w:val="19"/>
              </w:rPr>
              <w:t>Current path</w:t>
            </w:r>
          </w:p>
        </w:tc>
        <w:tc>
          <w:tcPr>
            <w:tcW w:type="dxa" w:w="3628"/>
            <w:shd w:fill="17324D"/>
            <w:tcMar>
              <w:top w:w="70" w:type="dxa"/>
              <w:start w:w="120" w:type="dxa"/>
              <w:bottom w:w="70" w:type="dxa"/>
              <w:end w:w="120" w:type="dxa"/>
            </w:tcMar>
            <w:vAlign w:val="center"/>
          </w:tcPr>
          <w:p>
            <w:pPr>
              <w:spacing w:after="0"/>
              <w:jc w:val="left"/>
            </w:pPr>
            <w:r>
              <w:rPr>
                <w:rFonts w:ascii="Arial" w:hAnsi="Arial"/>
                <w:b/>
                <w:color w:val="FFFFFF"/>
                <w:sz w:val="19"/>
              </w:rPr>
              <w:t>Notes</w:t>
            </w:r>
          </w:p>
        </w:tc>
      </w:tr>
      <w:tr>
        <w:trPr>
          <w:cantSplit/>
        </w:trPr>
        <w:tc>
          <w:tcPr>
            <w:tcW w:type="dxa" w:w="1701"/>
            <w:shd w:fill="FFFFFF"/>
            <w:tcMar>
              <w:top w:w="80" w:type="dxa"/>
              <w:start w:w="120" w:type="dxa"/>
              <w:bottom w:w="80" w:type="dxa"/>
              <w:end w:w="120" w:type="dxa"/>
            </w:tcMar>
            <w:vAlign w:val="center"/>
          </w:tcPr>
          <w:p>
            <w:pPr>
              <w:spacing w:after="0" w:line="252" w:lineRule="auto"/>
            </w:pPr>
            <w:r>
              <w:rPr>
                <w:rFonts w:ascii="Arial" w:hAnsi="Arial"/>
                <w:b w:val="0"/>
                <w:color w:val="202A33"/>
                <w:sz w:val="18"/>
              </w:rPr>
              <w:t>Authentication</w:t>
            </w:r>
          </w:p>
        </w:tc>
        <w:tc>
          <w:tcPr>
            <w:tcW w:type="dxa" w:w="238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POST /api/auth/login (incorrect)</w:t>
            </w:r>
          </w:p>
        </w:tc>
        <w:tc>
          <w:tcPr>
            <w:tcW w:type="dxa" w:w="272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POST /auth/login</w:t>
            </w:r>
          </w:p>
        </w:tc>
        <w:tc>
          <w:tcPr>
            <w:tcW w:type="dxa" w:w="3628"/>
            <w:shd w:fill="FFFFFF"/>
            <w:tcMar>
              <w:top w:w="80" w:type="dxa"/>
              <w:start w:w="120" w:type="dxa"/>
              <w:bottom w:w="80" w:type="dxa"/>
              <w:end w:w="120" w:type="dxa"/>
            </w:tcMar>
            <w:vAlign w:val="center"/>
          </w:tcPr>
          <w:p>
            <w:pPr>
              <w:spacing w:after="0" w:line="252" w:lineRule="auto"/>
            </w:pPr>
            <w:r>
              <w:rPr>
                <w:rFonts w:ascii="Arial" w:hAnsi="Arial"/>
                <w:b w:val="0"/>
                <w:color w:val="202A33"/>
                <w:sz w:val="18"/>
              </w:rPr>
              <w:t>Public endpoint; body contains email and password.</w:t>
            </w:r>
          </w:p>
        </w:tc>
      </w:tr>
      <w:tr>
        <w:trPr>
          <w:cantSplit/>
        </w:trPr>
        <w:tc>
          <w:tcPr>
            <w:tcW w:type="dxa" w:w="1701"/>
            <w:shd w:fill="F4F8FA"/>
            <w:tcMar>
              <w:top w:w="80" w:type="dxa"/>
              <w:start w:w="120" w:type="dxa"/>
              <w:bottom w:w="80" w:type="dxa"/>
              <w:end w:w="120" w:type="dxa"/>
            </w:tcMar>
            <w:vAlign w:val="center"/>
          </w:tcPr>
          <w:p>
            <w:pPr>
              <w:spacing w:after="0" w:line="252" w:lineRule="auto"/>
            </w:pPr>
            <w:r>
              <w:rPr>
                <w:rFonts w:ascii="Arial" w:hAnsi="Arial"/>
                <w:b w:val="0"/>
                <w:color w:val="202A33"/>
                <w:sz w:val="18"/>
              </w:rPr>
              <w:t>Create incident</w:t>
            </w:r>
          </w:p>
        </w:tc>
        <w:tc>
          <w:tcPr>
            <w:tcW w:type="dxa" w:w="2381"/>
            <w:shd w:fill="F4F8FA"/>
            <w:tcMar>
              <w:top w:w="80" w:type="dxa"/>
              <w:start w:w="120" w:type="dxa"/>
              <w:bottom w:w="80" w:type="dxa"/>
              <w:end w:w="120" w:type="dxa"/>
            </w:tcMar>
            <w:vAlign w:val="center"/>
          </w:tcPr>
          <w:p>
            <w:pPr>
              <w:spacing w:after="0" w:line="252" w:lineRule="auto"/>
            </w:pPr>
            <w:r>
              <w:rPr>
                <w:rFonts w:ascii="Arial" w:hAnsi="Arial"/>
                <w:b w:val="0"/>
                <w:color w:val="202A33"/>
                <w:sz w:val="18"/>
              </w:rPr>
              <w:t>POST /incidents (incorrect)</w:t>
            </w:r>
          </w:p>
        </w:tc>
        <w:tc>
          <w:tcPr>
            <w:tcW w:type="dxa" w:w="2721"/>
            <w:shd w:fill="F4F8FA"/>
            <w:tcMar>
              <w:top w:w="80" w:type="dxa"/>
              <w:start w:w="120" w:type="dxa"/>
              <w:bottom w:w="80" w:type="dxa"/>
              <w:end w:w="120" w:type="dxa"/>
            </w:tcMar>
            <w:vAlign w:val="center"/>
          </w:tcPr>
          <w:p>
            <w:pPr>
              <w:spacing w:after="0" w:line="252" w:lineRule="auto"/>
            </w:pPr>
            <w:r>
              <w:rPr>
                <w:rFonts w:ascii="Arial" w:hAnsi="Arial"/>
                <w:b w:val="0"/>
                <w:color w:val="202A33"/>
                <w:sz w:val="18"/>
              </w:rPr>
              <w:t>POST /api/incidents/ingest</w:t>
            </w:r>
          </w:p>
        </w:tc>
        <w:tc>
          <w:tcPr>
            <w:tcW w:type="dxa" w:w="3628"/>
            <w:shd w:fill="F4F8FA"/>
            <w:tcMar>
              <w:top w:w="80" w:type="dxa"/>
              <w:start w:w="120" w:type="dxa"/>
              <w:bottom w:w="80" w:type="dxa"/>
              <w:end w:w="120" w:type="dxa"/>
            </w:tcMar>
            <w:vAlign w:val="center"/>
          </w:tcPr>
          <w:p>
            <w:pPr>
              <w:spacing w:after="0" w:line="252" w:lineRule="auto"/>
            </w:pPr>
            <w:r>
              <w:rPr>
                <w:rFonts w:ascii="Arial" w:hAnsi="Arial"/>
                <w:b w:val="0"/>
                <w:color w:val="202A33"/>
                <w:sz w:val="18"/>
              </w:rPr>
              <w:t>Authenticated machine/service ingest; gateway derives severity when omitted.</w:t>
            </w:r>
          </w:p>
        </w:tc>
      </w:tr>
      <w:tr>
        <w:trPr>
          <w:cantSplit/>
        </w:trPr>
        <w:tc>
          <w:tcPr>
            <w:tcW w:type="dxa" w:w="1701"/>
            <w:shd w:fill="FFFFFF"/>
            <w:tcMar>
              <w:top w:w="80" w:type="dxa"/>
              <w:start w:w="120" w:type="dxa"/>
              <w:bottom w:w="80" w:type="dxa"/>
              <w:end w:w="120" w:type="dxa"/>
            </w:tcMar>
            <w:vAlign w:val="center"/>
          </w:tcPr>
          <w:p>
            <w:pPr>
              <w:spacing w:after="0" w:line="252" w:lineRule="auto"/>
            </w:pPr>
            <w:r>
              <w:rPr>
                <w:rFonts w:ascii="Arial" w:hAnsi="Arial"/>
                <w:b w:val="0"/>
                <w:color w:val="202A33"/>
                <w:sz w:val="18"/>
              </w:rPr>
              <w:t>Update incident</w:t>
            </w:r>
          </w:p>
        </w:tc>
        <w:tc>
          <w:tcPr>
            <w:tcW w:type="dxa" w:w="238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PATCH /incidents/{id} (incorrect)</w:t>
            </w:r>
          </w:p>
        </w:tc>
        <w:tc>
          <w:tcPr>
            <w:tcW w:type="dxa" w:w="2721"/>
            <w:shd w:fill="FFFFFF"/>
            <w:tcMar>
              <w:top w:w="80" w:type="dxa"/>
              <w:start w:w="120" w:type="dxa"/>
              <w:bottom w:w="80" w:type="dxa"/>
              <w:end w:w="120" w:type="dxa"/>
            </w:tcMar>
            <w:vAlign w:val="center"/>
          </w:tcPr>
          <w:p>
            <w:pPr>
              <w:spacing w:after="0" w:line="252" w:lineRule="auto"/>
            </w:pPr>
            <w:r>
              <w:rPr>
                <w:rFonts w:ascii="Arial" w:hAnsi="Arial"/>
                <w:b w:val="0"/>
                <w:color w:val="202A33"/>
                <w:sz w:val="18"/>
              </w:rPr>
              <w:t>No generic PATCH endpoint</w:t>
            </w:r>
          </w:p>
        </w:tc>
        <w:tc>
          <w:tcPr>
            <w:tcW w:type="dxa" w:w="3628"/>
            <w:shd w:fill="FFFFFF"/>
            <w:tcMar>
              <w:top w:w="80" w:type="dxa"/>
              <w:start w:w="120" w:type="dxa"/>
              <w:bottom w:w="80" w:type="dxa"/>
              <w:end w:w="120" w:type="dxa"/>
            </w:tcMar>
            <w:vAlign w:val="center"/>
          </w:tcPr>
          <w:p>
            <w:pPr>
              <w:spacing w:after="0" w:line="252" w:lineRule="auto"/>
            </w:pPr>
            <w:r>
              <w:rPr>
                <w:rFonts w:ascii="Arial" w:hAnsi="Arial"/>
                <w:b w:val="0"/>
                <w:color w:val="202A33"/>
                <w:sz w:val="18"/>
              </w:rPr>
              <w:t>Use explicit acknowledge, resolve or delete routes.</w:t>
            </w:r>
          </w:p>
        </w:tc>
      </w:tr>
    </w:tbl>
    <w:p>
      <w:pPr>
        <w:spacing w:after="40"/>
      </w:pPr>
    </w:p>
    <w:p>
      <w:pPr>
        <w:pStyle w:val="Heading2"/>
        <w:keepNext/>
        <w:spacing w:before="200" w:after="80"/>
      </w:pPr>
      <w:r>
        <w:rPr>
          <w:rFonts w:ascii="Arial" w:hAnsi="Arial"/>
          <w:b/>
          <w:color w:val="000000"/>
          <w:sz w:val="23"/>
        </w:rPr>
        <w:t>Implemented endpoint contract</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2409"/>
        <w:gridCol w:w="2409"/>
        <w:gridCol w:w="2409"/>
        <w:gridCol w:w="2409"/>
      </w:tblGrid>
      <w:tr>
        <w:trPr>
          <w:tblHeader w:val="true"/>
        </w:trPr>
        <w:tc>
          <w:tcPr>
            <w:tcW w:type="dxa" w:w="1134"/>
            <w:shd w:fill="17324D"/>
            <w:tcMar>
              <w:top w:w="48" w:type="dxa"/>
              <w:start w:w="120" w:type="dxa"/>
              <w:bottom w:w="48" w:type="dxa"/>
              <w:end w:w="120" w:type="dxa"/>
            </w:tcMar>
            <w:vAlign w:val="center"/>
          </w:tcPr>
          <w:p>
            <w:pPr>
              <w:spacing w:after="0"/>
              <w:jc w:val="left"/>
            </w:pPr>
            <w:r>
              <w:rPr>
                <w:rFonts w:ascii="Arial" w:hAnsi="Arial"/>
                <w:b/>
                <w:color w:val="FFFFFF"/>
                <w:sz w:val="19"/>
              </w:rPr>
              <w:t>Method</w:t>
            </w:r>
          </w:p>
        </w:tc>
        <w:tc>
          <w:tcPr>
            <w:tcW w:type="dxa" w:w="3742"/>
            <w:shd w:fill="17324D"/>
            <w:tcMar>
              <w:top w:w="48" w:type="dxa"/>
              <w:start w:w="120" w:type="dxa"/>
              <w:bottom w:w="48" w:type="dxa"/>
              <w:end w:w="120" w:type="dxa"/>
            </w:tcMar>
            <w:vAlign w:val="center"/>
          </w:tcPr>
          <w:p>
            <w:pPr>
              <w:spacing w:after="0"/>
              <w:jc w:val="left"/>
            </w:pPr>
            <w:r>
              <w:rPr>
                <w:rFonts w:ascii="Arial" w:hAnsi="Arial"/>
                <w:b/>
                <w:color w:val="FFFFFF"/>
                <w:sz w:val="19"/>
              </w:rPr>
              <w:t>Path</w:t>
            </w:r>
          </w:p>
        </w:tc>
        <w:tc>
          <w:tcPr>
            <w:tcW w:type="dxa" w:w="1871"/>
            <w:shd w:fill="17324D"/>
            <w:tcMar>
              <w:top w:w="48" w:type="dxa"/>
              <w:start w:w="120" w:type="dxa"/>
              <w:bottom w:w="48" w:type="dxa"/>
              <w:end w:w="120" w:type="dxa"/>
            </w:tcMar>
            <w:vAlign w:val="center"/>
          </w:tcPr>
          <w:p>
            <w:pPr>
              <w:spacing w:after="0"/>
              <w:jc w:val="left"/>
            </w:pPr>
            <w:r>
              <w:rPr>
                <w:rFonts w:ascii="Arial" w:hAnsi="Arial"/>
                <w:b/>
                <w:color w:val="FFFFFF"/>
                <w:sz w:val="19"/>
              </w:rPr>
              <w:t>Access</w:t>
            </w:r>
          </w:p>
        </w:tc>
        <w:tc>
          <w:tcPr>
            <w:tcW w:type="dxa" w:w="3742"/>
            <w:shd w:fill="17324D"/>
            <w:tcMar>
              <w:top w:w="48" w:type="dxa"/>
              <w:start w:w="120" w:type="dxa"/>
              <w:bottom w:w="48" w:type="dxa"/>
              <w:end w:w="120" w:type="dxa"/>
            </w:tcMar>
            <w:vAlign w:val="center"/>
          </w:tcPr>
          <w:p>
            <w:pPr>
              <w:spacing w:after="0"/>
              <w:jc w:val="left"/>
            </w:pPr>
            <w:r>
              <w:rPr>
                <w:rFonts w:ascii="Arial" w:hAnsi="Arial"/>
                <w:b/>
                <w:color w:val="FFFFFF"/>
                <w:sz w:val="19"/>
              </w:rPr>
              <w:t>Purpose</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POST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/auth/login</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No bearer token</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Authenticate and obtain JWT</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POST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/auth/register</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No bearer token</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Public registration</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/api/incidents</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List incidents; optional status/severity filters</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/api/incidents/{id}</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Get one incident</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POST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/api/incidents/ingest</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AI detection ingest and incident creation</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POST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/api/incidents/{id}/acknowledge</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OPEN to ACKNOWLEDGED</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POST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/api/incidents/{id}/resolve</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Resolve incident and close alerts</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DELETE</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/api/incidents/{id}</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Permanent delete; SUPER_ADMIN/ADMIN only</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POST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/api/trace</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Stream detector reasoning to Live trace</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/api/reports/incidents.csv</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CSV export</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/api/reports/incidents.xlsx</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Excel export</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/api/reports/incidents.pdf</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PDF export</w:t>
            </w:r>
          </w:p>
        </w:tc>
      </w:tr>
      <w:tr>
        <w:trPr>
          <w:cantSplit/>
        </w:trPr>
        <w:tc>
          <w:tcPr>
            <w:tcW w:type="dxa" w:w="1134"/>
            <w:shd w:fill="FFFFFF"/>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/api/audit?limit=100</w:t>
            </w:r>
          </w:p>
        </w:tc>
        <w:tc>
          <w:tcPr>
            <w:tcW w:type="dxa" w:w="1871"/>
            <w:shd w:fill="FFFFFF"/>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FFFFF"/>
            <w:tcMar>
              <w:top w:w="58" w:type="dxa"/>
              <w:start w:w="120" w:type="dxa"/>
              <w:bottom w:w="58" w:type="dxa"/>
              <w:end w:w="120" w:type="dxa"/>
            </w:tcMar>
            <w:vAlign w:val="center"/>
          </w:tcPr>
          <w:p>
            <w:pPr>
              <w:spacing w:after="0" w:line="252" w:lineRule="auto"/>
            </w:pPr>
            <w:r>
              <w:rPr>
                <w:rFonts w:ascii="Arial" w:hAnsi="Arial"/>
                <w:b w:val="0"/>
                <w:color w:val="202A33"/>
                <w:sz w:val="17"/>
              </w:rPr>
              <w:t>Audit trail; SUPER_ADMIN/ADMIN only</w:t>
            </w:r>
          </w:p>
        </w:tc>
      </w:tr>
      <w:tr>
        <w:trPr>
          <w:cantSplit/>
        </w:trPr>
        <w:tc>
          <w:tcPr>
            <w:tcW w:type="dxa" w:w="1134"/>
            <w:shd w:fill="F4F8FA"/>
            <w:tcMar>
              <w:top w:w="58" w:type="dxa"/>
              <w:start w:w="120" w:type="dxa"/>
              <w:bottom w:w="58" w:type="dxa"/>
              <w:end w:w="120" w:type="dxa"/>
            </w:tcMar>
            <w:vAlign w:val="center"/>
          </w:tcPr>
          <w:p>
            <w:pPr>
              <w:spacing w:after="0" w:line="252" w:lineRule="auto"/>
            </w:pPr>
            <w:r>
              <w:rPr>
                <w:rFonts w:ascii="Arial" w:hAnsi="Arial"/>
                <w:b w:val="0"/>
                <w:color w:val="202A33"/>
                <w:sz w:val="17"/>
              </w:rPr>
              <w:t>GET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/users and /users/email/{email}</w:t>
            </w:r>
          </w:p>
        </w:tc>
        <w:tc>
          <w:tcPr>
            <w:tcW w:type="dxa" w:w="1871"/>
            <w:shd w:fill="F4F8FA"/>
            <w:tcMar>
              <w:top w:w="58" w:type="dxa"/>
              <w:start w:w="120" w:type="dxa"/>
              <w:bottom w:w="58" w:type="dxa"/>
              <w:end w:w="120" w:type="dxa"/>
            </w:tcMar>
            <w:vAlign w:val="center"/>
          </w:tcPr>
          <w:p>
            <w:pPr>
              <w:spacing w:after="0" w:line="252" w:lineRule="auto"/>
            </w:pPr>
            <w:r>
              <w:rPr>
                <w:rFonts w:ascii="Arial" w:hAnsi="Arial"/>
                <w:b w:val="0"/>
                <w:color w:val="202A33"/>
                <w:sz w:val="17"/>
              </w:rPr>
              <w:t>Bearer JWT</w:t>
            </w:r>
          </w:p>
        </w:tc>
        <w:tc>
          <w:tcPr>
            <w:tcW w:type="dxa" w:w="3742"/>
            <w:shd w:fill="F4F8FA"/>
            <w:tcMar>
              <w:top w:w="58" w:type="dxa"/>
              <w:start w:w="120" w:type="dxa"/>
              <w:bottom w:w="58" w:type="dxa"/>
              <w:end w:w="120" w:type="dxa"/>
            </w:tcMar>
            <w:vAlign w:val="center"/>
          </w:tcPr>
          <w:p>
            <w:pPr>
              <w:spacing w:after="0" w:line="252" w:lineRule="auto"/>
            </w:pPr>
            <w:r>
              <w:rPr>
                <w:rFonts w:ascii="Arial" w:hAnsi="Arial"/>
                <w:b w:val="0"/>
                <w:color w:val="202A33"/>
                <w:sz w:val="17"/>
              </w:rPr>
              <w:t>User directory and lookup; SUPER_ADMIN/ADMIN only</w:t>
            </w:r>
          </w:p>
        </w:tc>
      </w:tr>
    </w:tbl>
    <w:p>
      <w:pPr>
        <w:spacing w:after="40"/>
      </w:pPr>
    </w:p>
    <w:p>
      <w:r>
        <w:br w:type="page"/>
      </w:r>
    </w:p>
    <w:p>
      <w:pPr>
        <w:pStyle w:val="Heading2"/>
        <w:keepNext/>
        <w:spacing w:before="200" w:after="80"/>
      </w:pPr>
      <w:r>
        <w:rPr>
          <w:rFonts w:ascii="Arial" w:hAnsi="Arial"/>
          <w:b/>
          <w:color w:val="000000"/>
          <w:sz w:val="23"/>
        </w:rPr>
        <w:t>WebSocket</w:t>
      </w:r>
    </w:p>
    <w:p>
      <w:pPr>
        <w:spacing w:after="120" w:before="0" w:line="269" w:lineRule="auto"/>
      </w:pPr>
      <w:r>
        <w:rPr>
          <w:rFonts w:ascii="Arial" w:hAnsi="Arial"/>
          <w:b w:val="0"/>
          <w:color w:val="202A33"/>
          <w:sz w:val="21"/>
        </w:rPr>
        <w:t>The browser opens the live incident channel at:</w:t>
      </w:r>
    </w:p>
    <w:p>
      <w:pPr>
        <w:spacing w:after="120" w:before="0" w:line="269" w:lineRule="auto"/>
      </w:pPr>
      <w:r>
        <w:rPr>
          <w:rFonts w:ascii="Arial" w:hAnsi="Arial"/>
          <w:b w:val="0"/>
          <w:color w:val="202A33"/>
          <w:sz w:val="21"/>
        </w:rPr>
        <w:t>ws://&lt;host&gt;:8081/ws/incidents?token=&lt;jwt&gt;</w:t>
      </w:r>
    </w:p>
    <w:p>
      <w:pPr>
        <w:spacing w:after="120" w:before="0" w:line="269" w:lineRule="auto"/>
      </w:pPr>
      <w:r>
        <w:rPr>
          <w:rFonts w:ascii="Arial" w:hAnsi="Arial"/>
          <w:b w:val="0"/>
          <w:color w:val="202A33"/>
          <w:sz w:val="21"/>
        </w:rPr>
        <w:t>Use wss on HTTPS. The JWT is supplied in the query string because the browser WebSocket API cannot set an Authorization header; the handshake interceptor validates it.</w:t>
      </w:r>
    </w:p>
    <w:p>
      <w:pPr>
        <w:pStyle w:val="Heading1"/>
        <w:keepNext/>
        <w:spacing w:before="280" w:after="120"/>
      </w:pPr>
      <w:r>
        <w:rPr>
          <w:rFonts w:ascii="Arial" w:hAnsi="Arial"/>
          <w:b/>
          <w:color w:val="000000"/>
          <w:sz w:val="30"/>
        </w:rPr>
        <w:t>5. Camera and inference source</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2409"/>
        <w:gridCol w:w="2409"/>
        <w:gridCol w:w="2409"/>
        <w:gridCol w:w="2409"/>
      </w:tblGrid>
      <w:tr>
        <w:trPr>
          <w:tblHeader w:val="true"/>
        </w:trPr>
        <w:tc>
          <w:tcPr>
            <w:tcW w:type="dxa" w:w="2381"/>
            <w:shd w:fill="17324D"/>
            <w:tcMar>
              <w:top w:w="70" w:type="dxa"/>
              <w:start w:w="120" w:type="dxa"/>
              <w:bottom w:w="70" w:type="dxa"/>
              <w:end w:w="120" w:type="dxa"/>
            </w:tcMar>
            <w:vAlign w:val="center"/>
          </w:tcPr>
          <w:p>
            <w:pPr>
              <w:spacing w:after="0"/>
              <w:jc w:val="left"/>
            </w:pPr>
            <w:r>
              <w:rPr>
                <w:rFonts w:ascii="Arial" w:hAnsi="Arial"/>
                <w:b/>
                <w:color w:val="FFFFFF"/>
                <w:sz w:val="19"/>
              </w:rPr>
              <w:t>Demo source</w:t>
            </w:r>
          </w:p>
        </w:tc>
        <w:tc>
          <w:tcPr>
            <w:tcW w:type="dxa" w:w="2324"/>
            <w:shd w:fill="17324D"/>
            <w:tcMar>
              <w:top w:w="70" w:type="dxa"/>
              <w:start w:w="120" w:type="dxa"/>
              <w:bottom w:w="70" w:type="dxa"/>
              <w:end w:w="120" w:type="dxa"/>
            </w:tcMar>
            <w:vAlign w:val="center"/>
          </w:tcPr>
          <w:p>
            <w:pPr>
              <w:spacing w:after="0"/>
              <w:jc w:val="left"/>
            </w:pPr>
            <w:r>
              <w:rPr>
                <w:rFonts w:ascii="Arial" w:hAnsi="Arial"/>
                <w:b/>
                <w:color w:val="FFFFFF"/>
                <w:sz w:val="19"/>
              </w:rPr>
              <w:t>Input</w:t>
            </w:r>
          </w:p>
        </w:tc>
        <w:tc>
          <w:tcPr>
            <w:tcW w:type="dxa" w:w="2948"/>
            <w:shd w:fill="17324D"/>
            <w:tcMar>
              <w:top w:w="70" w:type="dxa"/>
              <w:start w:w="120" w:type="dxa"/>
              <w:bottom w:w="70" w:type="dxa"/>
              <w:end w:w="120" w:type="dxa"/>
            </w:tcMar>
            <w:vAlign w:val="center"/>
          </w:tcPr>
          <w:p>
            <w:pPr>
              <w:spacing w:after="0"/>
              <w:jc w:val="left"/>
            </w:pPr>
            <w:r>
              <w:rPr>
                <w:rFonts w:ascii="Arial" w:hAnsi="Arial"/>
                <w:b/>
                <w:color w:val="FFFFFF"/>
                <w:sz w:val="19"/>
              </w:rPr>
              <w:t>Transport</w:t>
            </w:r>
          </w:p>
        </w:tc>
        <w:tc>
          <w:tcPr>
            <w:tcW w:type="dxa" w:w="2948"/>
            <w:shd w:fill="17324D"/>
            <w:tcMar>
              <w:top w:w="70" w:type="dxa"/>
              <w:start w:w="120" w:type="dxa"/>
              <w:bottom w:w="70" w:type="dxa"/>
              <w:end w:w="120" w:type="dxa"/>
            </w:tcMar>
            <w:vAlign w:val="center"/>
          </w:tcPr>
          <w:p>
            <w:pPr>
              <w:spacing w:after="0"/>
              <w:jc w:val="left"/>
            </w:pPr>
            <w:r>
              <w:rPr>
                <w:rFonts w:ascii="Arial" w:hAnsi="Arial"/>
                <w:b/>
                <w:color w:val="FFFFFF"/>
                <w:sz w:val="19"/>
              </w:rPr>
              <w:t>Use</w:t>
            </w:r>
          </w:p>
        </w:tc>
      </w:tr>
      <w:tr>
        <w:trPr>
          <w:cantSplit/>
        </w:trPr>
        <w:tc>
          <w:tcPr>
            <w:tcW w:type="dxa" w:w="238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Primary live demo</w:t>
            </w:r>
          </w:p>
        </w:tc>
        <w:tc>
          <w:tcPr>
            <w:tcW w:type="dxa" w:w="2324"/>
            <w:shd w:fill="FFFFFF"/>
            <w:tcMar>
              <w:top w:w="80" w:type="dxa"/>
              <w:start w:w="120" w:type="dxa"/>
              <w:bottom w:w="80" w:type="dxa"/>
              <w:end w:w="120" w:type="dxa"/>
            </w:tcMar>
            <w:vAlign w:val="center"/>
          </w:tcPr>
          <w:p>
            <w:pPr>
              <w:spacing w:after="0" w:line="252" w:lineRule="auto"/>
            </w:pPr>
            <w:r>
              <w:rPr>
                <w:rFonts w:ascii="Arial" w:hAnsi="Arial"/>
                <w:b w:val="0"/>
                <w:color w:val="202A33"/>
                <w:sz w:val="18"/>
              </w:rPr>
              <w:t>MacBook webcam</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Browser getUserMedia; 1280×720 requested</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User starts the camera from Live detection.</w:t>
            </w:r>
          </w:p>
        </w:tc>
      </w:tr>
      <w:tr>
        <w:trPr>
          <w:cantSplit/>
        </w:trPr>
        <w:tc>
          <w:tcPr>
            <w:tcW w:type="dxa" w:w="2381"/>
            <w:shd w:fill="F4F8FA"/>
            <w:tcMar>
              <w:top w:w="80" w:type="dxa"/>
              <w:start w:w="120" w:type="dxa"/>
              <w:bottom w:w="80" w:type="dxa"/>
              <w:end w:w="120" w:type="dxa"/>
            </w:tcMar>
            <w:vAlign w:val="center"/>
          </w:tcPr>
          <w:p>
            <w:pPr>
              <w:spacing w:after="0" w:line="252" w:lineRule="auto"/>
            </w:pPr>
            <w:r>
              <w:rPr>
                <w:rFonts w:ascii="Arial" w:hAnsi="Arial"/>
                <w:b w:val="0"/>
                <w:color w:val="202A33"/>
                <w:sz w:val="18"/>
              </w:rPr>
              <w:t>Manual image demonstration</w:t>
            </w:r>
          </w:p>
        </w:tc>
        <w:tc>
          <w:tcPr>
            <w:tcW w:type="dxa" w:w="2324"/>
            <w:shd w:fill="F4F8FA"/>
            <w:tcMar>
              <w:top w:w="80" w:type="dxa"/>
              <w:start w:w="120" w:type="dxa"/>
              <w:bottom w:w="80" w:type="dxa"/>
              <w:end w:w="120" w:type="dxa"/>
            </w:tcMar>
            <w:vAlign w:val="center"/>
          </w:tcPr>
          <w:p>
            <w:pPr>
              <w:spacing w:after="0" w:line="252" w:lineRule="auto"/>
            </w:pPr>
            <w:r>
              <w:rPr>
                <w:rFonts w:ascii="Arial" w:hAnsi="Arial"/>
                <w:b w:val="0"/>
                <w:color w:val="202A33"/>
                <w:sz w:val="18"/>
              </w:rPr>
              <w:t>Uploaded JPEG/PNG files</w:t>
            </w:r>
          </w:p>
        </w:tc>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Browser file chooser</w:t>
            </w:r>
          </w:p>
        </w:tc>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Used for smoke, fire, pistol, crowd and lying evidence images.</w:t>
            </w:r>
          </w:p>
        </w:tc>
      </w:tr>
      <w:tr>
        <w:trPr>
          <w:cantSplit/>
        </w:trPr>
        <w:tc>
          <w:tcPr>
            <w:tcW w:type="dxa" w:w="2381"/>
            <w:shd w:fill="FFFFFF"/>
            <w:tcMar>
              <w:top w:w="80" w:type="dxa"/>
              <w:start w:w="120" w:type="dxa"/>
              <w:bottom w:w="80" w:type="dxa"/>
              <w:end w:w="120" w:type="dxa"/>
            </w:tcMar>
            <w:vAlign w:val="center"/>
          </w:tcPr>
          <w:p>
            <w:pPr>
              <w:spacing w:after="0" w:line="252" w:lineRule="auto"/>
            </w:pPr>
            <w:r>
              <w:rPr>
                <w:rFonts w:ascii="Arial" w:hAnsi="Arial"/>
                <w:b w:val="0"/>
                <w:color w:val="202A33"/>
                <w:sz w:val="18"/>
              </w:rPr>
              <w:t>Optional video source</w:t>
            </w:r>
          </w:p>
        </w:tc>
        <w:tc>
          <w:tcPr>
            <w:tcW w:type="dxa" w:w="2324"/>
            <w:shd w:fill="FFFFFF"/>
            <w:tcMar>
              <w:top w:w="80" w:type="dxa"/>
              <w:start w:w="120" w:type="dxa"/>
              <w:bottom w:w="80" w:type="dxa"/>
              <w:end w:w="120" w:type="dxa"/>
            </w:tcMar>
            <w:vAlign w:val="center"/>
          </w:tcPr>
          <w:p>
            <w:pPr>
              <w:spacing w:after="0" w:line="252" w:lineRule="auto"/>
            </w:pPr>
            <w:r>
              <w:rPr>
                <w:rFonts w:ascii="Arial" w:hAnsi="Arial"/>
                <w:b w:val="0"/>
                <w:color w:val="202A33"/>
                <w:sz w:val="18"/>
              </w:rPr>
              <w:t>Camera index, video file or MJPEG URL</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FastAPI /monitor/stream source parameter</w:t>
            </w:r>
          </w:p>
        </w:tc>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Supports terminal/engine operation; not the primary classroom flow.</w:t>
            </w:r>
          </w:p>
        </w:tc>
      </w:tr>
      <w:tr>
        <w:trPr>
          <w:cantSplit/>
        </w:trPr>
        <w:tc>
          <w:tcPr>
            <w:tcW w:type="dxa" w:w="2381"/>
            <w:shd w:fill="F4F8FA"/>
            <w:tcMar>
              <w:top w:w="80" w:type="dxa"/>
              <w:start w:w="120" w:type="dxa"/>
              <w:bottom w:w="80" w:type="dxa"/>
              <w:end w:w="120" w:type="dxa"/>
            </w:tcMar>
            <w:vAlign w:val="center"/>
          </w:tcPr>
          <w:p>
            <w:pPr>
              <w:spacing w:after="0" w:line="252" w:lineRule="auto"/>
            </w:pPr>
            <w:r>
              <w:rPr>
                <w:rFonts w:ascii="Arial" w:hAnsi="Arial"/>
                <w:b w:val="0"/>
                <w:color w:val="202A33"/>
                <w:sz w:val="18"/>
              </w:rPr>
              <w:t>ESP32-CAM path</w:t>
            </w:r>
          </w:p>
        </w:tc>
        <w:tc>
          <w:tcPr>
            <w:tcW w:type="dxa" w:w="2324"/>
            <w:shd w:fill="F4F8FA"/>
            <w:tcMar>
              <w:top w:w="80" w:type="dxa"/>
              <w:start w:w="120" w:type="dxa"/>
              <w:bottom w:w="80" w:type="dxa"/>
              <w:end w:w="120" w:type="dxa"/>
            </w:tcMar>
            <w:vAlign w:val="center"/>
          </w:tcPr>
          <w:p>
            <w:pPr>
              <w:spacing w:after="0" w:line="252" w:lineRule="auto"/>
            </w:pPr>
            <w:r>
              <w:rPr>
                <w:rFonts w:ascii="Arial" w:hAnsi="Arial"/>
                <w:b w:val="0"/>
                <w:color w:val="202A33"/>
                <w:sz w:val="18"/>
              </w:rPr>
              <w:t>MJPEG stream</w:t>
            </w:r>
          </w:p>
        </w:tc>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HTTP stream URL through the same inference contract</w:t>
            </w:r>
          </w:p>
        </w:tc>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Software path exists; hardware validation remains separate.</w:t>
            </w:r>
          </w:p>
        </w:tc>
      </w:tr>
    </w:tbl>
    <w:p>
      <w:pPr>
        <w:spacing w:after="40"/>
      </w:pPr>
    </w:p>
    <w:p>
      <w:pPr>
        <w:spacing w:after="120" w:before="0" w:line="269" w:lineRule="auto"/>
      </w:pPr>
      <w:r>
        <w:rPr>
          <w:rFonts w:ascii="Arial" w:hAnsi="Arial"/>
          <w:b w:val="0"/>
          <w:color w:val="202A33"/>
          <w:sz w:val="21"/>
        </w:rPr>
        <w:t>The current website demonstration is not driven by recorded clips. It uses the live Mac webcam or a manually selected image. The Python engine can also operate on a video/camera source through monitor_stream.</w:t>
      </w:r>
    </w:p>
    <w:p>
      <w:pPr>
        <w:spacing w:after="120" w:before="0" w:line="269" w:lineRule="auto"/>
      </w:pPr>
      <w:r>
        <w:rPr>
          <w:rFonts w:ascii="Arial" w:hAnsi="Arial"/>
          <w:b w:val="0"/>
          <w:color w:val="202A33"/>
          <w:sz w:val="21"/>
        </w:rPr>
        <w:t>For a stable incident, the browser captures repeated webcam frames, requires repeated evidence across samples, and only creates an incident after temporal confirmation. The exact detection result remains dependent on lighting, object scale, orientation and training-domain similarity.</w:t>
      </w:r>
    </w:p>
    <w:p>
      <w:pPr>
        <w:pStyle w:val="Heading1"/>
        <w:keepNext/>
        <w:spacing w:before="280" w:after="120"/>
      </w:pPr>
      <w:r>
        <w:rPr>
          <w:rFonts w:ascii="Arial" w:hAnsi="Arial"/>
          <w:b/>
          <w:color w:val="000000"/>
          <w:sz w:val="30"/>
        </w:rPr>
        <w:t>6. Model evaluation evidence</w:t>
      </w:r>
    </w:p>
    <w:p>
      <w:pPr>
        <w:spacing w:after="120" w:before="0" w:line="269" w:lineRule="auto"/>
      </w:pPr>
      <w:r>
        <w:rPr>
          <w:rFonts w:ascii="Arial" w:hAnsi="Arial"/>
          <w:b w:val="0"/>
          <w:color w:val="202A33"/>
          <w:sz w:val="21"/>
        </w:rPr>
        <w:t>The current detector is YOLOv8s, fine-tuned from COCO weights. The reported evaluation must keep the held-out weapon comparison separate from the six-class merged-validation result.</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1606"/>
        <w:gridCol w:w="1606"/>
        <w:gridCol w:w="1606"/>
        <w:gridCol w:w="1606"/>
        <w:gridCol w:w="1606"/>
        <w:gridCol w:w="1606"/>
      </w:tblGrid>
      <w:tr>
        <w:trPr>
          <w:tblHeader w:val="true"/>
        </w:trPr>
        <w:tc>
          <w:tcPr>
            <w:tcW w:type="dxa" w:w="2948"/>
            <w:shd w:fill="17324D"/>
            <w:tcMar>
              <w:top w:w="70" w:type="dxa"/>
              <w:start w:w="120" w:type="dxa"/>
              <w:bottom w:w="70" w:type="dxa"/>
              <w:end w:w="120" w:type="dxa"/>
            </w:tcMar>
            <w:vAlign w:val="center"/>
          </w:tcPr>
          <w:p>
            <w:pPr>
              <w:spacing w:after="0"/>
              <w:jc w:val="left"/>
            </w:pPr>
            <w:r>
              <w:rPr>
                <w:rFonts w:ascii="Arial" w:hAnsi="Arial"/>
                <w:b/>
                <w:color w:val="FFFFFF"/>
                <w:sz w:val="19"/>
              </w:rPr>
              <w:t>Evaluation set</w:t>
            </w:r>
          </w:p>
        </w:tc>
        <w:tc>
          <w:tcPr>
            <w:tcW w:type="dxa" w:w="1134"/>
            <w:shd w:fill="17324D"/>
            <w:tcMar>
              <w:top w:w="70" w:type="dxa"/>
              <w:start w:w="120" w:type="dxa"/>
              <w:bottom w:w="70" w:type="dxa"/>
              <w:end w:w="120" w:type="dxa"/>
            </w:tcMar>
            <w:vAlign w:val="center"/>
          </w:tcPr>
          <w:p>
            <w:pPr>
              <w:spacing w:after="0"/>
              <w:jc w:val="left"/>
            </w:pPr>
            <w:r>
              <w:rPr>
                <w:rFonts w:ascii="Arial" w:hAnsi="Arial"/>
                <w:b/>
                <w:color w:val="FFFFFF"/>
                <w:sz w:val="19"/>
              </w:rPr>
              <w:t>Images</w:t>
            </w:r>
          </w:p>
        </w:tc>
        <w:tc>
          <w:tcPr>
            <w:tcW w:type="dxa" w:w="1361"/>
            <w:shd w:fill="17324D"/>
            <w:tcMar>
              <w:top w:w="70" w:type="dxa"/>
              <w:start w:w="120" w:type="dxa"/>
              <w:bottom w:w="70" w:type="dxa"/>
              <w:end w:w="120" w:type="dxa"/>
            </w:tcMar>
            <w:vAlign w:val="center"/>
          </w:tcPr>
          <w:p>
            <w:pPr>
              <w:spacing w:after="0"/>
              <w:jc w:val="left"/>
            </w:pPr>
            <w:r>
              <w:rPr>
                <w:rFonts w:ascii="Arial" w:hAnsi="Arial"/>
                <w:b/>
                <w:color w:val="FFFFFF"/>
                <w:sz w:val="19"/>
              </w:rPr>
              <w:t>mAP@50</w:t>
            </w:r>
          </w:p>
        </w:tc>
        <w:tc>
          <w:tcPr>
            <w:tcW w:type="dxa" w:w="1474"/>
            <w:shd w:fill="17324D"/>
            <w:tcMar>
              <w:top w:w="70" w:type="dxa"/>
              <w:start w:w="120" w:type="dxa"/>
              <w:bottom w:w="70" w:type="dxa"/>
              <w:end w:w="120" w:type="dxa"/>
            </w:tcMar>
            <w:vAlign w:val="center"/>
          </w:tcPr>
          <w:p>
            <w:pPr>
              <w:spacing w:after="0"/>
              <w:jc w:val="left"/>
            </w:pPr>
            <w:r>
              <w:rPr>
                <w:rFonts w:ascii="Arial" w:hAnsi="Arial"/>
                <w:b/>
                <w:color w:val="FFFFFF"/>
                <w:sz w:val="19"/>
              </w:rPr>
              <w:t>mAP@50-95</w:t>
            </w:r>
          </w:p>
        </w:tc>
        <w:tc>
          <w:tcPr>
            <w:tcW w:type="dxa" w:w="1417"/>
            <w:shd w:fill="17324D"/>
            <w:tcMar>
              <w:top w:w="70" w:type="dxa"/>
              <w:start w:w="120" w:type="dxa"/>
              <w:bottom w:w="70" w:type="dxa"/>
              <w:end w:w="120" w:type="dxa"/>
            </w:tcMar>
            <w:vAlign w:val="center"/>
          </w:tcPr>
          <w:p>
            <w:pPr>
              <w:spacing w:after="0"/>
              <w:jc w:val="left"/>
            </w:pPr>
            <w:r>
              <w:rPr>
                <w:rFonts w:ascii="Arial" w:hAnsi="Arial"/>
                <w:b/>
                <w:color w:val="FFFFFF"/>
                <w:sz w:val="19"/>
              </w:rPr>
              <w:t>Precision</w:t>
            </w:r>
          </w:p>
        </w:tc>
        <w:tc>
          <w:tcPr>
            <w:tcW w:type="dxa" w:w="1247"/>
            <w:shd w:fill="17324D"/>
            <w:tcMar>
              <w:top w:w="70" w:type="dxa"/>
              <w:start w:w="120" w:type="dxa"/>
              <w:bottom w:w="70" w:type="dxa"/>
              <w:end w:w="120" w:type="dxa"/>
            </w:tcMar>
            <w:vAlign w:val="center"/>
          </w:tcPr>
          <w:p>
            <w:pPr>
              <w:spacing w:after="0"/>
              <w:jc w:val="left"/>
            </w:pPr>
            <w:r>
              <w:rPr>
                <w:rFonts w:ascii="Arial" w:hAnsi="Arial"/>
                <w:b/>
                <w:color w:val="FFFFFF"/>
                <w:sz w:val="19"/>
              </w:rPr>
              <w:t>Recall</w:t>
            </w:r>
          </w:p>
        </w:tc>
      </w:tr>
      <w:tr>
        <w:trPr>
          <w:cantSplit/>
        </w:trPr>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Held-out comparison</w:t>
            </w:r>
          </w:p>
        </w:tc>
        <w:tc>
          <w:tcPr>
            <w:tcW w:type="dxa" w:w="1134"/>
            <w:shd w:fill="FFFFFF"/>
            <w:tcMar>
              <w:top w:w="80" w:type="dxa"/>
              <w:start w:w="120" w:type="dxa"/>
              <w:bottom w:w="80" w:type="dxa"/>
              <w:end w:w="120" w:type="dxa"/>
            </w:tcMar>
            <w:vAlign w:val="center"/>
          </w:tcPr>
          <w:p>
            <w:pPr>
              <w:spacing w:after="0" w:line="252" w:lineRule="auto"/>
            </w:pPr>
            <w:r>
              <w:rPr>
                <w:rFonts w:ascii="Arial" w:hAnsi="Arial"/>
                <w:b w:val="0"/>
                <w:color w:val="202A33"/>
                <w:sz w:val="18"/>
              </w:rPr>
              <w:t>385</w:t>
            </w:r>
          </w:p>
        </w:tc>
        <w:tc>
          <w:tcPr>
            <w:tcW w:type="dxa" w:w="1361"/>
            <w:shd w:fill="FFFFFF"/>
            <w:tcMar>
              <w:top w:w="80" w:type="dxa"/>
              <w:start w:w="120" w:type="dxa"/>
              <w:bottom w:w="80" w:type="dxa"/>
              <w:end w:w="120" w:type="dxa"/>
            </w:tcMar>
            <w:vAlign w:val="center"/>
          </w:tcPr>
          <w:p>
            <w:pPr>
              <w:spacing w:after="0" w:line="252" w:lineRule="auto"/>
            </w:pPr>
            <w:r>
              <w:rPr>
                <w:rFonts w:ascii="Arial" w:hAnsi="Arial"/>
                <w:b w:val="0"/>
                <w:color w:val="202A33"/>
                <w:sz w:val="18"/>
              </w:rPr>
              <w:t>0.8898</w:t>
            </w:r>
          </w:p>
        </w:tc>
        <w:tc>
          <w:tcPr>
            <w:tcW w:type="dxa" w:w="147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0.6502</w:t>
            </w:r>
          </w:p>
        </w:tc>
        <w:tc>
          <w:tcPr>
            <w:tcW w:type="dxa" w:w="1417"/>
            <w:shd w:fill="FFFFFF"/>
            <w:tcMar>
              <w:top w:w="80" w:type="dxa"/>
              <w:start w:w="120" w:type="dxa"/>
              <w:bottom w:w="80" w:type="dxa"/>
              <w:end w:w="120" w:type="dxa"/>
            </w:tcMar>
            <w:vAlign w:val="center"/>
          </w:tcPr>
          <w:p>
            <w:pPr>
              <w:spacing w:after="0" w:line="252" w:lineRule="auto"/>
            </w:pPr>
            <w:r>
              <w:rPr>
                <w:rFonts w:ascii="Arial" w:hAnsi="Arial"/>
                <w:b w:val="0"/>
                <w:color w:val="202A33"/>
                <w:sz w:val="18"/>
              </w:rPr>
              <w:t>0.8652</w:t>
            </w:r>
          </w:p>
        </w:tc>
        <w:tc>
          <w:tcPr>
            <w:tcW w:type="dxa" w:w="1247"/>
            <w:shd w:fill="FFFFFF"/>
            <w:tcMar>
              <w:top w:w="80" w:type="dxa"/>
              <w:start w:w="120" w:type="dxa"/>
              <w:bottom w:w="80" w:type="dxa"/>
              <w:end w:w="120" w:type="dxa"/>
            </w:tcMar>
            <w:vAlign w:val="center"/>
          </w:tcPr>
          <w:p>
            <w:pPr>
              <w:spacing w:after="0" w:line="252" w:lineRule="auto"/>
            </w:pPr>
            <w:r>
              <w:rPr>
                <w:rFonts w:ascii="Arial" w:hAnsi="Arial"/>
                <w:b w:val="0"/>
                <w:color w:val="202A33"/>
                <w:sz w:val="18"/>
              </w:rPr>
              <w:t>0.8088</w:t>
            </w:r>
          </w:p>
        </w:tc>
      </w:tr>
      <w:tr>
        <w:trPr>
          <w:cantSplit/>
        </w:trPr>
        <w:tc>
          <w:tcPr>
            <w:tcW w:type="dxa" w:w="2948"/>
            <w:shd w:fill="F4F8FA"/>
            <w:tcMar>
              <w:top w:w="80" w:type="dxa"/>
              <w:start w:w="120" w:type="dxa"/>
              <w:bottom w:w="80" w:type="dxa"/>
              <w:end w:w="120" w:type="dxa"/>
            </w:tcMar>
            <w:vAlign w:val="center"/>
          </w:tcPr>
          <w:p>
            <w:pPr>
              <w:spacing w:after="0" w:line="252" w:lineRule="auto"/>
            </w:pPr>
            <w:r>
              <w:rPr>
                <w:rFonts w:ascii="Arial" w:hAnsi="Arial"/>
                <w:b w:val="0"/>
                <w:color w:val="202A33"/>
                <w:sz w:val="18"/>
              </w:rPr>
              <w:t>Merged six-class validation</w:t>
            </w:r>
          </w:p>
        </w:tc>
        <w:tc>
          <w:tcPr>
            <w:tcW w:type="dxa" w:w="1134"/>
            <w:shd w:fill="F4F8FA"/>
            <w:tcMar>
              <w:top w:w="80" w:type="dxa"/>
              <w:start w:w="120" w:type="dxa"/>
              <w:bottom w:w="80" w:type="dxa"/>
              <w:end w:w="120" w:type="dxa"/>
            </w:tcMar>
            <w:vAlign w:val="center"/>
          </w:tcPr>
          <w:p>
            <w:pPr>
              <w:spacing w:after="0" w:line="252" w:lineRule="auto"/>
            </w:pPr>
            <w:r>
              <w:rPr>
                <w:rFonts w:ascii="Arial" w:hAnsi="Arial"/>
                <w:b w:val="0"/>
                <w:color w:val="202A33"/>
                <w:sz w:val="18"/>
              </w:rPr>
              <w:t>2,656</w:t>
            </w:r>
          </w:p>
        </w:tc>
        <w:tc>
          <w:tcPr>
            <w:tcW w:type="dxa" w:w="1361"/>
            <w:shd w:fill="F4F8FA"/>
            <w:tcMar>
              <w:top w:w="80" w:type="dxa"/>
              <w:start w:w="120" w:type="dxa"/>
              <w:bottom w:w="80" w:type="dxa"/>
              <w:end w:w="120" w:type="dxa"/>
            </w:tcMar>
            <w:vAlign w:val="center"/>
          </w:tcPr>
          <w:p>
            <w:pPr>
              <w:spacing w:after="0" w:line="252" w:lineRule="auto"/>
            </w:pPr>
            <w:r>
              <w:rPr>
                <w:rFonts w:ascii="Arial" w:hAnsi="Arial"/>
                <w:b w:val="0"/>
                <w:color w:val="202A33"/>
                <w:sz w:val="18"/>
              </w:rPr>
              <w:t>0.7435</w:t>
            </w:r>
          </w:p>
        </w:tc>
        <w:tc>
          <w:tcPr>
            <w:tcW w:type="dxa" w:w="1474"/>
            <w:shd w:fill="F4F8FA"/>
            <w:tcMar>
              <w:top w:w="80" w:type="dxa"/>
              <w:start w:w="120" w:type="dxa"/>
              <w:bottom w:w="80" w:type="dxa"/>
              <w:end w:w="120" w:type="dxa"/>
            </w:tcMar>
            <w:vAlign w:val="center"/>
          </w:tcPr>
          <w:p>
            <w:pPr>
              <w:spacing w:after="0" w:line="252" w:lineRule="auto"/>
            </w:pPr>
            <w:r>
              <w:rPr>
                <w:rFonts w:ascii="Arial" w:hAnsi="Arial"/>
                <w:b w:val="0"/>
                <w:color w:val="202A33"/>
                <w:sz w:val="18"/>
              </w:rPr>
              <w:t>0.5149</w:t>
            </w:r>
          </w:p>
        </w:tc>
        <w:tc>
          <w:tcPr>
            <w:tcW w:type="dxa" w:w="1417"/>
            <w:shd w:fill="F4F8FA"/>
            <w:tcMar>
              <w:top w:w="80" w:type="dxa"/>
              <w:start w:w="120" w:type="dxa"/>
              <w:bottom w:w="80" w:type="dxa"/>
              <w:end w:w="120" w:type="dxa"/>
            </w:tcMar>
            <w:vAlign w:val="center"/>
          </w:tcPr>
          <w:p>
            <w:pPr>
              <w:spacing w:after="0" w:line="252" w:lineRule="auto"/>
            </w:pPr>
            <w:r>
              <w:rPr>
                <w:rFonts w:ascii="Arial" w:hAnsi="Arial"/>
                <w:b w:val="0"/>
                <w:color w:val="202A33"/>
                <w:sz w:val="18"/>
              </w:rPr>
              <w:t>0.8291</w:t>
            </w:r>
          </w:p>
        </w:tc>
        <w:tc>
          <w:tcPr>
            <w:tcW w:type="dxa" w:w="1247"/>
            <w:shd w:fill="F4F8FA"/>
            <w:tcMar>
              <w:top w:w="80" w:type="dxa"/>
              <w:start w:w="120" w:type="dxa"/>
              <w:bottom w:w="80" w:type="dxa"/>
              <w:end w:w="120" w:type="dxa"/>
            </w:tcMar>
            <w:vAlign w:val="center"/>
          </w:tcPr>
          <w:p>
            <w:pPr>
              <w:spacing w:after="0" w:line="252" w:lineRule="auto"/>
            </w:pPr>
            <w:r>
              <w:rPr>
                <w:rFonts w:ascii="Arial" w:hAnsi="Arial"/>
                <w:b w:val="0"/>
                <w:color w:val="202A33"/>
                <w:sz w:val="18"/>
              </w:rPr>
              <w:t>0.6759</w:t>
            </w:r>
          </w:p>
        </w:tc>
      </w:tr>
      <w:tr>
        <w:trPr>
          <w:cantSplit/>
        </w:trPr>
        <w:tc>
          <w:tcPr>
            <w:tcW w:type="dxa" w:w="2948"/>
            <w:shd w:fill="FFFFFF"/>
            <w:tcMar>
              <w:top w:w="80" w:type="dxa"/>
              <w:start w:w="120" w:type="dxa"/>
              <w:bottom w:w="80" w:type="dxa"/>
              <w:end w:w="120" w:type="dxa"/>
            </w:tcMar>
            <w:vAlign w:val="center"/>
          </w:tcPr>
          <w:p>
            <w:pPr>
              <w:spacing w:after="0" w:line="252" w:lineRule="auto"/>
            </w:pPr>
            <w:r>
              <w:rPr>
                <w:rFonts w:ascii="Arial" w:hAnsi="Arial"/>
                <w:b w:val="0"/>
                <w:color w:val="202A33"/>
                <w:sz w:val="18"/>
              </w:rPr>
              <w:t>Old two-class prototype</w:t>
            </w:r>
          </w:p>
        </w:tc>
        <w:tc>
          <w:tcPr>
            <w:tcW w:type="dxa" w:w="1134"/>
            <w:shd w:fill="FFFFFF"/>
            <w:tcMar>
              <w:top w:w="80" w:type="dxa"/>
              <w:start w:w="120" w:type="dxa"/>
              <w:bottom w:w="80" w:type="dxa"/>
              <w:end w:w="120" w:type="dxa"/>
            </w:tcMar>
            <w:vAlign w:val="center"/>
          </w:tcPr>
          <w:p>
            <w:pPr>
              <w:spacing w:after="0" w:line="252" w:lineRule="auto"/>
            </w:pPr>
            <w:r>
              <w:rPr>
                <w:rFonts w:ascii="Arial" w:hAnsi="Arial"/>
                <w:b w:val="0"/>
                <w:color w:val="202A33"/>
                <w:sz w:val="18"/>
              </w:rPr>
              <w:t>385</w:t>
            </w:r>
          </w:p>
        </w:tc>
        <w:tc>
          <w:tcPr>
            <w:tcW w:type="dxa" w:w="1361"/>
            <w:shd w:fill="FFFFFF"/>
            <w:tcMar>
              <w:top w:w="80" w:type="dxa"/>
              <w:start w:w="120" w:type="dxa"/>
              <w:bottom w:w="80" w:type="dxa"/>
              <w:end w:w="120" w:type="dxa"/>
            </w:tcMar>
            <w:vAlign w:val="center"/>
          </w:tcPr>
          <w:p>
            <w:pPr>
              <w:spacing w:after="0" w:line="252" w:lineRule="auto"/>
            </w:pPr>
            <w:r>
              <w:rPr>
                <w:rFonts w:ascii="Arial" w:hAnsi="Arial"/>
                <w:b w:val="0"/>
                <w:color w:val="202A33"/>
                <w:sz w:val="18"/>
              </w:rPr>
              <w:t>0.5886</w:t>
            </w:r>
          </w:p>
        </w:tc>
        <w:tc>
          <w:tcPr>
            <w:tcW w:type="dxa" w:w="147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0.4029</w:t>
            </w:r>
          </w:p>
        </w:tc>
        <w:tc>
          <w:tcPr>
            <w:tcW w:type="dxa" w:w="1417"/>
            <w:shd w:fill="FFFFFF"/>
            <w:tcMar>
              <w:top w:w="80" w:type="dxa"/>
              <w:start w:w="120" w:type="dxa"/>
              <w:bottom w:w="80" w:type="dxa"/>
              <w:end w:w="120" w:type="dxa"/>
            </w:tcMar>
            <w:vAlign w:val="center"/>
          </w:tcPr>
          <w:p>
            <w:pPr>
              <w:spacing w:after="0" w:line="252" w:lineRule="auto"/>
            </w:pPr>
            <w:r>
              <w:rPr>
                <w:rFonts w:ascii="Arial" w:hAnsi="Arial"/>
                <w:b w:val="0"/>
                <w:color w:val="202A33"/>
                <w:sz w:val="18"/>
              </w:rPr>
              <w:t>0.751</w:t>
            </w:r>
          </w:p>
        </w:tc>
        <w:tc>
          <w:tcPr>
            <w:tcW w:type="dxa" w:w="1247"/>
            <w:shd w:fill="FFFFFF"/>
            <w:tcMar>
              <w:top w:w="80" w:type="dxa"/>
              <w:start w:w="120" w:type="dxa"/>
              <w:bottom w:w="80" w:type="dxa"/>
              <w:end w:w="120" w:type="dxa"/>
            </w:tcMar>
            <w:vAlign w:val="center"/>
          </w:tcPr>
          <w:p>
            <w:pPr>
              <w:spacing w:after="0" w:line="252" w:lineRule="auto"/>
            </w:pPr>
            <w:r>
              <w:rPr>
                <w:rFonts w:ascii="Arial" w:hAnsi="Arial"/>
                <w:b w:val="0"/>
                <w:color w:val="202A33"/>
                <w:sz w:val="18"/>
              </w:rPr>
              <w:t>0.509</w:t>
            </w:r>
          </w:p>
        </w:tc>
      </w:tr>
    </w:tbl>
    <w:p>
      <w:pPr>
        <w:spacing w:after="40"/>
      </w:pPr>
    </w:p>
    <w:p>
      <w:pPr>
        <w:spacing w:after="120" w:before="0" w:line="269" w:lineRule="auto"/>
      </w:pPr>
      <w:r>
        <w:rPr>
          <w:rFonts w:ascii="Arial" w:hAnsi="Arial"/>
          <w:b w:val="0"/>
          <w:color w:val="202A33"/>
          <w:sz w:val="21"/>
        </w:rPr>
        <w:t>The 0.8898 result is approximately 89%, not a general six-class “90% accuracy” claim. The wider six-class score is 0.7435 mAP@50. Object detection does not have a single ordinary accuracy value.</w:t>
      </w:r>
    </w:p>
    <w:p>
      <w:pPr>
        <w:pStyle w:val="Heading2"/>
        <w:keepNext/>
        <w:spacing w:before="200" w:after="80"/>
      </w:pPr>
      <w:r>
        <w:rPr>
          <w:rFonts w:ascii="Arial" w:hAnsi="Arial"/>
          <w:b/>
          <w:color w:val="000000"/>
          <w:sz w:val="23"/>
        </w:rPr>
        <w:t>Held-out weapon evaluation</w:t>
      </w:r>
    </w:p>
    <w:p>
      <w:pPr>
        <w:spacing w:after="120" w:before="0" w:line="269" w:lineRule="auto"/>
      </w:pPr>
      <w:r>
        <w:rPr>
          <w:rFonts w:ascii="Arial" w:hAnsi="Arial"/>
          <w:b w:val="0"/>
          <w:color w:val="202A33"/>
          <w:sz w:val="21"/>
        </w:rPr>
        <w:t>The frozen comparison set contains 385 images and 416 labelled weapon boxes. The old and current models were scored on exactly the same files.</w:t>
      </w:r>
    </w:p>
    <w:p>
      <w:pPr>
        <w:pStyle w:val="ListBullet"/>
        <w:spacing w:after="80" w:line="259" w:lineRule="auto"/>
      </w:pPr>
      <w:r>
        <w:rPr>
          <w:rFonts w:ascii="Arial" w:hAnsi="Arial"/>
          <w:b w:val="0"/>
          <w:color w:val="202A33"/>
          <w:sz w:val="21"/>
        </w:rPr>
        <w:t>Precision checks correct reports; recall measures how many true objects were found.</w:t>
      </w:r>
    </w:p>
    <w:p>
      <w:pPr>
        <w:pStyle w:val="ListBullet"/>
        <w:spacing w:after="80" w:line="259" w:lineRule="auto"/>
      </w:pPr>
      <w:r>
        <w:rPr>
          <w:rFonts w:ascii="Arial" w:hAnsi="Arial"/>
          <w:b w:val="0"/>
          <w:color w:val="202A33"/>
          <w:sz w:val="21"/>
        </w:rPr>
        <w:t>The PR curve shows the detection trade-off; mAP also measures box localisation.</w:t>
      </w:r>
    </w:p>
    <w:p>
      <w:pPr>
        <w:keepNext/>
        <w:spacing w:after="60"/>
        <w:jc w:val="center"/>
      </w:pPr>
      <w:r>
        <w:drawing>
          <wp:inline xmlns:a="http://schemas.openxmlformats.org/drawingml/2006/main" xmlns:pic="http://schemas.openxmlformats.org/drawingml/2006/picture">
            <wp:extent cx="5212080" cy="3439830"/>
            <wp:docPr id="1" name="Model evaluation figure" descr="Figure 1. Precision–recall curve on the fixed 385-image held-out weapon comparison set." title="Figure 1. Precision–recall curve on the fixed 385-image held-out weapon comparison set."/>
            <wp:cNvGraphicFramePr>
              <a:graphicFrameLocks noChangeAspect="1"/>
            </wp:cNvGraphicFramePr>
            <a:graphic>
              <a:graphicData uri="http://schemas.openxmlformats.org/drawingml/2006/picture">
                <pic:pic>
                  <pic:nvPicPr>
                    <pic:cNvPr id="0" name="cypher-report-figure-1.png"/>
                    <pic:cNvPicPr/>
                  </pic:nvPicPr>
                  <pic:blipFill>
                    <a:blip r:embed="rId10"/>
                    <a:stretch>
                      <a:fillRect/>
                    </a:stretch>
                  </pic:blipFill>
                  <pic:spPr>
                    <a:xfrm>
                      <a:off x="0" y="0"/>
                      <a:ext cx="5212080" cy="3439830"/>
                    </a:xfrm>
                    <a:prstGeom prst="rect"/>
                  </pic:spPr>
                </pic:pic>
              </a:graphicData>
            </a:graphic>
          </wp:inline>
        </w:drawing>
      </w:r>
    </w:p>
    <w:p>
      <w:pPr>
        <w:keepNext/>
        <w:spacing w:after="160"/>
        <w:jc w:val="center"/>
      </w:pPr>
      <w:r>
        <w:rPr>
          <w:rFonts w:ascii="Arial" w:hAnsi="Arial"/>
          <w:b w:val="0"/>
          <w:color w:val="5D6973"/>
          <w:sz w:val="17"/>
        </w:rPr>
        <w:t>Figure 1. Precision–recall curve on the fixed 385-image held-out weapon comparison set.</w:t>
      </w:r>
    </w:p>
    <w:p>
      <w:pPr>
        <w:keepNext/>
        <w:spacing w:after="60"/>
        <w:jc w:val="center"/>
      </w:pPr>
      <w:r>
        <w:drawing>
          <wp:inline xmlns:a="http://schemas.openxmlformats.org/drawingml/2006/main" xmlns:pic="http://schemas.openxmlformats.org/drawingml/2006/picture">
            <wp:extent cx="5166360" cy="4726621"/>
            <wp:docPr id="2" name="Model evaluation figure" descr="Figure 2. Normalised confusion matrix on the fixed held-out weapon comparison set." title="Figure 2. Normalised confusion matrix on the fixed held-out weapon comparison set."/>
            <wp:cNvGraphicFramePr>
              <a:graphicFrameLocks noChangeAspect="1"/>
            </wp:cNvGraphicFramePr>
            <a:graphic>
              <a:graphicData uri="http://schemas.openxmlformats.org/drawingml/2006/picture">
                <pic:pic>
                  <pic:nvPicPr>
                    <pic:cNvPr id="0" name="cypher-report-figure-2.png"/>
                    <pic:cNvPicPr/>
                  </pic:nvPicPr>
                  <pic:blipFill>
                    <a:blip r:embed="rId11"/>
                    <a:stretch>
                      <a:fillRect/>
                    </a:stretch>
                  </pic:blipFill>
                  <pic:spPr>
                    <a:xfrm>
                      <a:off x="0" y="0"/>
                      <a:ext cx="5166360" cy="4726621"/>
                    </a:xfrm>
                    <a:prstGeom prst="rect"/>
                  </pic:spPr>
                </pic:pic>
              </a:graphicData>
            </a:graphic>
          </wp:inline>
        </w:drawing>
      </w:r>
    </w:p>
    <w:p>
      <w:pPr>
        <w:keepNext/>
        <w:spacing w:after="160"/>
        <w:jc w:val="center"/>
      </w:pPr>
      <w:r>
        <w:rPr>
          <w:rFonts w:ascii="Arial" w:hAnsi="Arial"/>
          <w:b w:val="0"/>
          <w:color w:val="5D6973"/>
          <w:sz w:val="17"/>
        </w:rPr>
        <w:t>Figure 2. Normalised confusion matrix on the fixed held-out weapon comparison set.</w:t>
      </w:r>
    </w:p>
    <w:p>
      <w:r>
        <w:br w:type="page"/>
      </w:r>
    </w:p>
    <w:p>
      <w:pPr>
        <w:pStyle w:val="Heading2"/>
        <w:keepNext/>
        <w:spacing w:before="200" w:after="80"/>
      </w:pPr>
      <w:r>
        <w:rPr>
          <w:rFonts w:ascii="Arial" w:hAnsi="Arial"/>
          <w:b/>
          <w:color w:val="000000"/>
          <w:sz w:val="23"/>
        </w:rPr>
        <w:t>Six-class validation</w:t>
      </w:r>
    </w:p>
    <w:p>
      <w:pPr>
        <w:spacing w:after="120" w:before="0" w:line="269" w:lineRule="auto"/>
      </w:pPr>
      <w:r>
        <w:rPr>
          <w:rFonts w:ascii="Arial" w:hAnsi="Arial"/>
          <w:b w:val="0"/>
          <w:color w:val="202A33"/>
          <w:sz w:val="21"/>
        </w:rPr>
        <w:t>The merged validation split evaluates all six classes. Smoke scores strongly on this split, while pistol recall is depressed by different upstream annotation boundaries. The lying class has only 15 validation boxes, so its near-perfect score is not statistically strong.</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1928"/>
        <w:gridCol w:w="1928"/>
        <w:gridCol w:w="1928"/>
        <w:gridCol w:w="1928"/>
        <w:gridCol w:w="1928"/>
      </w:tblGrid>
      <w:tr>
        <w:trPr>
          <w:tblHeader w:val="true"/>
        </w:trPr>
        <w:tc>
          <w:tcPr>
            <w:tcW w:type="dxa" w:w="2041"/>
            <w:shd w:fill="17324D"/>
            <w:tcMar>
              <w:top w:w="70" w:type="dxa"/>
              <w:start w:w="120" w:type="dxa"/>
              <w:bottom w:w="70" w:type="dxa"/>
              <w:end w:w="120" w:type="dxa"/>
            </w:tcMar>
            <w:vAlign w:val="center"/>
          </w:tcPr>
          <w:p>
            <w:pPr>
              <w:spacing w:after="0"/>
              <w:jc w:val="left"/>
            </w:pPr>
            <w:r>
              <w:rPr>
                <w:rFonts w:ascii="Arial" w:hAnsi="Arial"/>
                <w:b/>
                <w:color w:val="FFFFFF"/>
                <w:sz w:val="19"/>
              </w:rPr>
              <w:t>Class</w:t>
            </w:r>
          </w:p>
        </w:tc>
        <w:tc>
          <w:tcPr>
            <w:tcW w:type="dxa" w:w="1814"/>
            <w:shd w:fill="17324D"/>
            <w:tcMar>
              <w:top w:w="70" w:type="dxa"/>
              <w:start w:w="120" w:type="dxa"/>
              <w:bottom w:w="70" w:type="dxa"/>
              <w:end w:w="120" w:type="dxa"/>
            </w:tcMar>
            <w:vAlign w:val="center"/>
          </w:tcPr>
          <w:p>
            <w:pPr>
              <w:spacing w:after="0"/>
              <w:jc w:val="left"/>
            </w:pPr>
            <w:r>
              <w:rPr>
                <w:rFonts w:ascii="Arial" w:hAnsi="Arial"/>
                <w:b/>
                <w:color w:val="FFFFFF"/>
                <w:sz w:val="19"/>
              </w:rPr>
              <w:t>Precision</w:t>
            </w:r>
          </w:p>
        </w:tc>
        <w:tc>
          <w:tcPr>
            <w:tcW w:type="dxa" w:w="1814"/>
            <w:shd w:fill="17324D"/>
            <w:tcMar>
              <w:top w:w="70" w:type="dxa"/>
              <w:start w:w="120" w:type="dxa"/>
              <w:bottom w:w="70" w:type="dxa"/>
              <w:end w:w="120" w:type="dxa"/>
            </w:tcMar>
            <w:vAlign w:val="center"/>
          </w:tcPr>
          <w:p>
            <w:pPr>
              <w:spacing w:after="0"/>
              <w:jc w:val="left"/>
            </w:pPr>
            <w:r>
              <w:rPr>
                <w:rFonts w:ascii="Arial" w:hAnsi="Arial"/>
                <w:b/>
                <w:color w:val="FFFFFF"/>
                <w:sz w:val="19"/>
              </w:rPr>
              <w:t>Recall</w:t>
            </w:r>
          </w:p>
        </w:tc>
        <w:tc>
          <w:tcPr>
            <w:tcW w:type="dxa" w:w="1871"/>
            <w:shd w:fill="17324D"/>
            <w:tcMar>
              <w:top w:w="70" w:type="dxa"/>
              <w:start w:w="120" w:type="dxa"/>
              <w:bottom w:w="70" w:type="dxa"/>
              <w:end w:w="120" w:type="dxa"/>
            </w:tcMar>
            <w:vAlign w:val="center"/>
          </w:tcPr>
          <w:p>
            <w:pPr>
              <w:spacing w:after="0"/>
              <w:jc w:val="left"/>
            </w:pPr>
            <w:r>
              <w:rPr>
                <w:rFonts w:ascii="Arial" w:hAnsi="Arial"/>
                <w:b/>
                <w:color w:val="FFFFFF"/>
                <w:sz w:val="19"/>
              </w:rPr>
              <w:t>AP@50</w:t>
            </w:r>
          </w:p>
        </w:tc>
        <w:tc>
          <w:tcPr>
            <w:tcW w:type="dxa" w:w="1928"/>
            <w:shd w:fill="17324D"/>
            <w:tcMar>
              <w:top w:w="70" w:type="dxa"/>
              <w:start w:w="120" w:type="dxa"/>
              <w:bottom w:w="70" w:type="dxa"/>
              <w:end w:w="120" w:type="dxa"/>
            </w:tcMar>
            <w:vAlign w:val="center"/>
          </w:tcPr>
          <w:p>
            <w:pPr>
              <w:spacing w:after="0"/>
              <w:jc w:val="left"/>
            </w:pPr>
            <w:r>
              <w:rPr>
                <w:rFonts w:ascii="Arial" w:hAnsi="Arial"/>
                <w:b/>
                <w:color w:val="FFFFFF"/>
                <w:sz w:val="19"/>
              </w:rPr>
              <w:t>AP@50-95</w:t>
            </w:r>
          </w:p>
        </w:tc>
      </w:tr>
      <w:tr>
        <w:trPr>
          <w:cantSplit/>
        </w:trPr>
        <w:tc>
          <w:tcPr>
            <w:tcW w:type="dxa" w:w="2041"/>
            <w:shd w:fill="FFFFFF"/>
            <w:tcMar>
              <w:top w:w="80" w:type="dxa"/>
              <w:start w:w="120" w:type="dxa"/>
              <w:bottom w:w="80" w:type="dxa"/>
              <w:end w:w="120" w:type="dxa"/>
            </w:tcMar>
            <w:vAlign w:val="center"/>
          </w:tcPr>
          <w:p>
            <w:pPr>
              <w:spacing w:after="0" w:line="252" w:lineRule="auto"/>
            </w:pPr>
            <w:r>
              <w:rPr>
                <w:rFonts w:ascii="Arial" w:hAnsi="Arial"/>
                <w:b w:val="0"/>
                <w:color w:val="202A33"/>
                <w:sz w:val="18"/>
              </w:rPr>
              <w:t>knife</w:t>
            </w:r>
          </w:p>
        </w:tc>
        <w:tc>
          <w:tcPr>
            <w:tcW w:type="dxa" w:w="181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0.8549</w:t>
            </w:r>
          </w:p>
        </w:tc>
        <w:tc>
          <w:tcPr>
            <w:tcW w:type="dxa" w:w="181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0.7402</w:t>
            </w:r>
          </w:p>
        </w:tc>
        <w:tc>
          <w:tcPr>
            <w:tcW w:type="dxa" w:w="1871"/>
            <w:shd w:fill="FFFFFF"/>
            <w:tcMar>
              <w:top w:w="80" w:type="dxa"/>
              <w:start w:w="120" w:type="dxa"/>
              <w:bottom w:w="80" w:type="dxa"/>
              <w:end w:w="120" w:type="dxa"/>
            </w:tcMar>
            <w:vAlign w:val="center"/>
          </w:tcPr>
          <w:p>
            <w:pPr>
              <w:spacing w:after="0" w:line="252" w:lineRule="auto"/>
            </w:pPr>
            <w:r>
              <w:rPr>
                <w:rFonts w:ascii="Arial" w:hAnsi="Arial"/>
                <w:b w:val="0"/>
                <w:color w:val="202A33"/>
                <w:sz w:val="18"/>
              </w:rPr>
              <w:t>0.7988</w:t>
            </w:r>
          </w:p>
        </w:tc>
        <w:tc>
          <w:tcPr>
            <w:tcW w:type="dxa" w:w="1928"/>
            <w:shd w:fill="FFFFFF"/>
            <w:tcMar>
              <w:top w:w="80" w:type="dxa"/>
              <w:start w:w="120" w:type="dxa"/>
              <w:bottom w:w="80" w:type="dxa"/>
              <w:end w:w="120" w:type="dxa"/>
            </w:tcMar>
            <w:vAlign w:val="center"/>
          </w:tcPr>
          <w:p>
            <w:pPr>
              <w:spacing w:after="0" w:line="252" w:lineRule="auto"/>
            </w:pPr>
            <w:r>
              <w:rPr>
                <w:rFonts w:ascii="Arial" w:hAnsi="Arial"/>
                <w:b w:val="0"/>
                <w:color w:val="202A33"/>
                <w:sz w:val="18"/>
              </w:rPr>
              <w:t>0.5358</w:t>
            </w:r>
          </w:p>
        </w:tc>
      </w:tr>
      <w:tr>
        <w:trPr>
          <w:cantSplit/>
        </w:trPr>
        <w:tc>
          <w:tcPr>
            <w:tcW w:type="dxa" w:w="2041"/>
            <w:shd w:fill="F4F8FA"/>
            <w:tcMar>
              <w:top w:w="80" w:type="dxa"/>
              <w:start w:w="120" w:type="dxa"/>
              <w:bottom w:w="80" w:type="dxa"/>
              <w:end w:w="120" w:type="dxa"/>
            </w:tcMar>
            <w:vAlign w:val="center"/>
          </w:tcPr>
          <w:p>
            <w:pPr>
              <w:spacing w:after="0" w:line="252" w:lineRule="auto"/>
            </w:pPr>
            <w:r>
              <w:rPr>
                <w:rFonts w:ascii="Arial" w:hAnsi="Arial"/>
                <w:b w:val="0"/>
                <w:color w:val="202A33"/>
                <w:sz w:val="18"/>
              </w:rPr>
              <w:t>pistol</w:t>
            </w:r>
          </w:p>
        </w:tc>
        <w:tc>
          <w:tcPr>
            <w:tcW w:type="dxa" w:w="1814"/>
            <w:shd w:fill="F4F8FA"/>
            <w:tcMar>
              <w:top w:w="80" w:type="dxa"/>
              <w:start w:w="120" w:type="dxa"/>
              <w:bottom w:w="80" w:type="dxa"/>
              <w:end w:w="120" w:type="dxa"/>
            </w:tcMar>
            <w:vAlign w:val="center"/>
          </w:tcPr>
          <w:p>
            <w:pPr>
              <w:spacing w:after="0" w:line="252" w:lineRule="auto"/>
            </w:pPr>
            <w:r>
              <w:rPr>
                <w:rFonts w:ascii="Arial" w:hAnsi="Arial"/>
                <w:b w:val="0"/>
                <w:color w:val="202A33"/>
                <w:sz w:val="18"/>
              </w:rPr>
              <w:t>0.8676</w:t>
            </w:r>
          </w:p>
        </w:tc>
        <w:tc>
          <w:tcPr>
            <w:tcW w:type="dxa" w:w="1814"/>
            <w:shd w:fill="F4F8FA"/>
            <w:tcMar>
              <w:top w:w="80" w:type="dxa"/>
              <w:start w:w="120" w:type="dxa"/>
              <w:bottom w:w="80" w:type="dxa"/>
              <w:end w:w="120" w:type="dxa"/>
            </w:tcMar>
            <w:vAlign w:val="center"/>
          </w:tcPr>
          <w:p>
            <w:pPr>
              <w:spacing w:after="0" w:line="252" w:lineRule="auto"/>
            </w:pPr>
            <w:r>
              <w:rPr>
                <w:rFonts w:ascii="Arial" w:hAnsi="Arial"/>
                <w:b w:val="0"/>
                <w:color w:val="202A33"/>
                <w:sz w:val="18"/>
              </w:rPr>
              <w:t>0.2846</w:t>
            </w:r>
          </w:p>
        </w:tc>
        <w:tc>
          <w:tcPr>
            <w:tcW w:type="dxa" w:w="1871"/>
            <w:shd w:fill="F4F8FA"/>
            <w:tcMar>
              <w:top w:w="80" w:type="dxa"/>
              <w:start w:w="120" w:type="dxa"/>
              <w:bottom w:w="80" w:type="dxa"/>
              <w:end w:w="120" w:type="dxa"/>
            </w:tcMar>
            <w:vAlign w:val="center"/>
          </w:tcPr>
          <w:p>
            <w:pPr>
              <w:spacing w:after="0" w:line="252" w:lineRule="auto"/>
            </w:pPr>
            <w:r>
              <w:rPr>
                <w:rFonts w:ascii="Arial" w:hAnsi="Arial"/>
                <w:b w:val="0"/>
                <w:color w:val="202A33"/>
                <w:sz w:val="18"/>
              </w:rPr>
              <w:t>0.3438</w:t>
            </w:r>
          </w:p>
        </w:tc>
        <w:tc>
          <w:tcPr>
            <w:tcW w:type="dxa" w:w="1928"/>
            <w:shd w:fill="F4F8FA"/>
            <w:tcMar>
              <w:top w:w="80" w:type="dxa"/>
              <w:start w:w="120" w:type="dxa"/>
              <w:bottom w:w="80" w:type="dxa"/>
              <w:end w:w="120" w:type="dxa"/>
            </w:tcMar>
            <w:vAlign w:val="center"/>
          </w:tcPr>
          <w:p>
            <w:pPr>
              <w:spacing w:after="0" w:line="252" w:lineRule="auto"/>
            </w:pPr>
            <w:r>
              <w:rPr>
                <w:rFonts w:ascii="Arial" w:hAnsi="Arial"/>
                <w:b w:val="0"/>
                <w:color w:val="202A33"/>
                <w:sz w:val="18"/>
              </w:rPr>
              <w:t>0.2663</w:t>
            </w:r>
          </w:p>
        </w:tc>
      </w:tr>
      <w:tr>
        <w:trPr>
          <w:cantSplit/>
        </w:trPr>
        <w:tc>
          <w:tcPr>
            <w:tcW w:type="dxa" w:w="2041"/>
            <w:shd w:fill="FFFFFF"/>
            <w:tcMar>
              <w:top w:w="80" w:type="dxa"/>
              <w:start w:w="120" w:type="dxa"/>
              <w:bottom w:w="80" w:type="dxa"/>
              <w:end w:w="120" w:type="dxa"/>
            </w:tcMar>
            <w:vAlign w:val="center"/>
          </w:tcPr>
          <w:p>
            <w:pPr>
              <w:spacing w:after="0" w:line="252" w:lineRule="auto"/>
            </w:pPr>
            <w:r>
              <w:rPr>
                <w:rFonts w:ascii="Arial" w:hAnsi="Arial"/>
                <w:b w:val="0"/>
                <w:color w:val="202A33"/>
                <w:sz w:val="18"/>
              </w:rPr>
              <w:t>person</w:t>
            </w:r>
          </w:p>
        </w:tc>
        <w:tc>
          <w:tcPr>
            <w:tcW w:type="dxa" w:w="181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0.8068</w:t>
            </w:r>
          </w:p>
        </w:tc>
        <w:tc>
          <w:tcPr>
            <w:tcW w:type="dxa" w:w="181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0.6289</w:t>
            </w:r>
          </w:p>
        </w:tc>
        <w:tc>
          <w:tcPr>
            <w:tcW w:type="dxa" w:w="1871"/>
            <w:shd w:fill="FFFFFF"/>
            <w:tcMar>
              <w:top w:w="80" w:type="dxa"/>
              <w:start w:w="120" w:type="dxa"/>
              <w:bottom w:w="80" w:type="dxa"/>
              <w:end w:w="120" w:type="dxa"/>
            </w:tcMar>
            <w:vAlign w:val="center"/>
          </w:tcPr>
          <w:p>
            <w:pPr>
              <w:spacing w:after="0" w:line="252" w:lineRule="auto"/>
            </w:pPr>
            <w:r>
              <w:rPr>
                <w:rFonts w:ascii="Arial" w:hAnsi="Arial"/>
                <w:b w:val="0"/>
                <w:color w:val="202A33"/>
                <w:sz w:val="18"/>
              </w:rPr>
              <w:t>0.7209</w:t>
            </w:r>
          </w:p>
        </w:tc>
        <w:tc>
          <w:tcPr>
            <w:tcW w:type="dxa" w:w="1928"/>
            <w:shd w:fill="FFFFFF"/>
            <w:tcMar>
              <w:top w:w="80" w:type="dxa"/>
              <w:start w:w="120" w:type="dxa"/>
              <w:bottom w:w="80" w:type="dxa"/>
              <w:end w:w="120" w:type="dxa"/>
            </w:tcMar>
            <w:vAlign w:val="center"/>
          </w:tcPr>
          <w:p>
            <w:pPr>
              <w:spacing w:after="0" w:line="252" w:lineRule="auto"/>
            </w:pPr>
            <w:r>
              <w:rPr>
                <w:rFonts w:ascii="Arial" w:hAnsi="Arial"/>
                <w:b w:val="0"/>
                <w:color w:val="202A33"/>
                <w:sz w:val="18"/>
              </w:rPr>
              <w:t>0.3934</w:t>
            </w:r>
          </w:p>
        </w:tc>
      </w:tr>
      <w:tr>
        <w:trPr>
          <w:cantSplit/>
        </w:trPr>
        <w:tc>
          <w:tcPr>
            <w:tcW w:type="dxa" w:w="2041"/>
            <w:shd w:fill="F4F8FA"/>
            <w:tcMar>
              <w:top w:w="80" w:type="dxa"/>
              <w:start w:w="120" w:type="dxa"/>
              <w:bottom w:w="80" w:type="dxa"/>
              <w:end w:w="120" w:type="dxa"/>
            </w:tcMar>
            <w:vAlign w:val="center"/>
          </w:tcPr>
          <w:p>
            <w:pPr>
              <w:spacing w:after="0" w:line="252" w:lineRule="auto"/>
            </w:pPr>
            <w:r>
              <w:rPr>
                <w:rFonts w:ascii="Arial" w:hAnsi="Arial"/>
                <w:b w:val="0"/>
                <w:color w:val="202A33"/>
                <w:sz w:val="18"/>
              </w:rPr>
              <w:t>fire</w:t>
            </w:r>
          </w:p>
        </w:tc>
        <w:tc>
          <w:tcPr>
            <w:tcW w:type="dxa" w:w="1814"/>
            <w:shd w:fill="F4F8FA"/>
            <w:tcMar>
              <w:top w:w="80" w:type="dxa"/>
              <w:start w:w="120" w:type="dxa"/>
              <w:bottom w:w="80" w:type="dxa"/>
              <w:end w:w="120" w:type="dxa"/>
            </w:tcMar>
            <w:vAlign w:val="center"/>
          </w:tcPr>
          <w:p>
            <w:pPr>
              <w:spacing w:after="0" w:line="252" w:lineRule="auto"/>
            </w:pPr>
            <w:r>
              <w:rPr>
                <w:rFonts w:ascii="Arial" w:hAnsi="Arial"/>
                <w:b w:val="0"/>
                <w:color w:val="202A33"/>
                <w:sz w:val="18"/>
              </w:rPr>
              <w:t>0.7024</w:t>
            </w:r>
          </w:p>
        </w:tc>
        <w:tc>
          <w:tcPr>
            <w:tcW w:type="dxa" w:w="1814"/>
            <w:shd w:fill="F4F8FA"/>
            <w:tcMar>
              <w:top w:w="80" w:type="dxa"/>
              <w:start w:w="120" w:type="dxa"/>
              <w:bottom w:w="80" w:type="dxa"/>
              <w:end w:w="120" w:type="dxa"/>
            </w:tcMar>
            <w:vAlign w:val="center"/>
          </w:tcPr>
          <w:p>
            <w:pPr>
              <w:spacing w:after="0" w:line="252" w:lineRule="auto"/>
            </w:pPr>
            <w:r>
              <w:rPr>
                <w:rFonts w:ascii="Arial" w:hAnsi="Arial"/>
                <w:b w:val="0"/>
                <w:color w:val="202A33"/>
                <w:sz w:val="18"/>
              </w:rPr>
              <w:t>0.5446</w:t>
            </w:r>
          </w:p>
        </w:tc>
        <w:tc>
          <w:tcPr>
            <w:tcW w:type="dxa" w:w="1871"/>
            <w:shd w:fill="F4F8FA"/>
            <w:tcMar>
              <w:top w:w="80" w:type="dxa"/>
              <w:start w:w="120" w:type="dxa"/>
              <w:bottom w:w="80" w:type="dxa"/>
              <w:end w:w="120" w:type="dxa"/>
            </w:tcMar>
            <w:vAlign w:val="center"/>
          </w:tcPr>
          <w:p>
            <w:pPr>
              <w:spacing w:after="0" w:line="252" w:lineRule="auto"/>
            </w:pPr>
            <w:r>
              <w:rPr>
                <w:rFonts w:ascii="Arial" w:hAnsi="Arial"/>
                <w:b w:val="0"/>
                <w:color w:val="202A33"/>
                <w:sz w:val="18"/>
              </w:rPr>
              <w:t>0.6538</w:t>
            </w:r>
          </w:p>
        </w:tc>
        <w:tc>
          <w:tcPr>
            <w:tcW w:type="dxa" w:w="1928"/>
            <w:shd w:fill="F4F8FA"/>
            <w:tcMar>
              <w:top w:w="80" w:type="dxa"/>
              <w:start w:w="120" w:type="dxa"/>
              <w:bottom w:w="80" w:type="dxa"/>
              <w:end w:w="120" w:type="dxa"/>
            </w:tcMar>
            <w:vAlign w:val="center"/>
          </w:tcPr>
          <w:p>
            <w:pPr>
              <w:spacing w:after="0" w:line="252" w:lineRule="auto"/>
            </w:pPr>
            <w:r>
              <w:rPr>
                <w:rFonts w:ascii="Arial" w:hAnsi="Arial"/>
                <w:b w:val="0"/>
                <w:color w:val="202A33"/>
                <w:sz w:val="18"/>
              </w:rPr>
              <w:t>0.3611</w:t>
            </w:r>
          </w:p>
        </w:tc>
      </w:tr>
      <w:tr>
        <w:trPr>
          <w:cantSplit/>
        </w:trPr>
        <w:tc>
          <w:tcPr>
            <w:tcW w:type="dxa" w:w="2041"/>
            <w:shd w:fill="FFFFFF"/>
            <w:tcMar>
              <w:top w:w="80" w:type="dxa"/>
              <w:start w:w="120" w:type="dxa"/>
              <w:bottom w:w="80" w:type="dxa"/>
              <w:end w:w="120" w:type="dxa"/>
            </w:tcMar>
            <w:vAlign w:val="center"/>
          </w:tcPr>
          <w:p>
            <w:pPr>
              <w:spacing w:after="0" w:line="252" w:lineRule="auto"/>
            </w:pPr>
            <w:r>
              <w:rPr>
                <w:rFonts w:ascii="Arial" w:hAnsi="Arial"/>
                <w:b w:val="0"/>
                <w:color w:val="202A33"/>
                <w:sz w:val="18"/>
              </w:rPr>
              <w:t>smoke</w:t>
            </w:r>
          </w:p>
        </w:tc>
        <w:tc>
          <w:tcPr>
            <w:tcW w:type="dxa" w:w="181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0.9360</w:t>
            </w:r>
          </w:p>
        </w:tc>
        <w:tc>
          <w:tcPr>
            <w:tcW w:type="dxa" w:w="1814"/>
            <w:shd w:fill="FFFFFF"/>
            <w:tcMar>
              <w:top w:w="80" w:type="dxa"/>
              <w:start w:w="120" w:type="dxa"/>
              <w:bottom w:w="80" w:type="dxa"/>
              <w:end w:w="120" w:type="dxa"/>
            </w:tcMar>
            <w:vAlign w:val="center"/>
          </w:tcPr>
          <w:p>
            <w:pPr>
              <w:spacing w:after="0" w:line="252" w:lineRule="auto"/>
            </w:pPr>
            <w:r>
              <w:rPr>
                <w:rFonts w:ascii="Arial" w:hAnsi="Arial"/>
                <w:b w:val="0"/>
                <w:color w:val="202A33"/>
                <w:sz w:val="18"/>
              </w:rPr>
              <w:t>0.8571</w:t>
            </w:r>
          </w:p>
        </w:tc>
        <w:tc>
          <w:tcPr>
            <w:tcW w:type="dxa" w:w="1871"/>
            <w:shd w:fill="FFFFFF"/>
            <w:tcMar>
              <w:top w:w="80" w:type="dxa"/>
              <w:start w:w="120" w:type="dxa"/>
              <w:bottom w:w="80" w:type="dxa"/>
              <w:end w:w="120" w:type="dxa"/>
            </w:tcMar>
            <w:vAlign w:val="center"/>
          </w:tcPr>
          <w:p>
            <w:pPr>
              <w:spacing w:after="0" w:line="252" w:lineRule="auto"/>
            </w:pPr>
            <w:r>
              <w:rPr>
                <w:rFonts w:ascii="Arial" w:hAnsi="Arial"/>
                <w:b w:val="0"/>
                <w:color w:val="202A33"/>
                <w:sz w:val="18"/>
              </w:rPr>
              <w:t>0.9487</w:t>
            </w:r>
          </w:p>
        </w:tc>
        <w:tc>
          <w:tcPr>
            <w:tcW w:type="dxa" w:w="1928"/>
            <w:shd w:fill="FFFFFF"/>
            <w:tcMar>
              <w:top w:w="80" w:type="dxa"/>
              <w:start w:w="120" w:type="dxa"/>
              <w:bottom w:w="80" w:type="dxa"/>
              <w:end w:w="120" w:type="dxa"/>
            </w:tcMar>
            <w:vAlign w:val="center"/>
          </w:tcPr>
          <w:p>
            <w:pPr>
              <w:spacing w:after="0" w:line="252" w:lineRule="auto"/>
            </w:pPr>
            <w:r>
              <w:rPr>
                <w:rFonts w:ascii="Arial" w:hAnsi="Arial"/>
                <w:b w:val="0"/>
                <w:color w:val="202A33"/>
                <w:sz w:val="18"/>
              </w:rPr>
              <w:t>0.5861</w:t>
            </w:r>
          </w:p>
        </w:tc>
      </w:tr>
      <w:tr>
        <w:trPr>
          <w:cantSplit/>
        </w:trPr>
        <w:tc>
          <w:tcPr>
            <w:tcW w:type="dxa" w:w="2041"/>
            <w:shd w:fill="F4F8FA"/>
            <w:tcMar>
              <w:top w:w="80" w:type="dxa"/>
              <w:start w:w="120" w:type="dxa"/>
              <w:bottom w:w="80" w:type="dxa"/>
              <w:end w:w="120" w:type="dxa"/>
            </w:tcMar>
            <w:vAlign w:val="center"/>
          </w:tcPr>
          <w:p>
            <w:pPr>
              <w:spacing w:after="0" w:line="252" w:lineRule="auto"/>
            </w:pPr>
            <w:r>
              <w:rPr>
                <w:rFonts w:ascii="Arial" w:hAnsi="Arial"/>
                <w:b w:val="0"/>
                <w:color w:val="202A33"/>
                <w:sz w:val="18"/>
              </w:rPr>
              <w:t>lying</w:t>
            </w:r>
          </w:p>
        </w:tc>
        <w:tc>
          <w:tcPr>
            <w:tcW w:type="dxa" w:w="1814"/>
            <w:shd w:fill="F4F8FA"/>
            <w:tcMar>
              <w:top w:w="80" w:type="dxa"/>
              <w:start w:w="120" w:type="dxa"/>
              <w:bottom w:w="80" w:type="dxa"/>
              <w:end w:w="120" w:type="dxa"/>
            </w:tcMar>
            <w:vAlign w:val="center"/>
          </w:tcPr>
          <w:p>
            <w:pPr>
              <w:spacing w:after="0" w:line="252" w:lineRule="auto"/>
            </w:pPr>
            <w:r>
              <w:rPr>
                <w:rFonts w:ascii="Arial" w:hAnsi="Arial"/>
                <w:b w:val="0"/>
                <w:color w:val="202A33"/>
                <w:sz w:val="18"/>
              </w:rPr>
              <w:t>0.8068</w:t>
            </w:r>
          </w:p>
        </w:tc>
        <w:tc>
          <w:tcPr>
            <w:tcW w:type="dxa" w:w="1814"/>
            <w:shd w:fill="F4F8FA"/>
            <w:tcMar>
              <w:top w:w="80" w:type="dxa"/>
              <w:start w:w="120" w:type="dxa"/>
              <w:bottom w:w="80" w:type="dxa"/>
              <w:end w:w="120" w:type="dxa"/>
            </w:tcMar>
            <w:vAlign w:val="center"/>
          </w:tcPr>
          <w:p>
            <w:pPr>
              <w:spacing w:after="0" w:line="252" w:lineRule="auto"/>
            </w:pPr>
            <w:r>
              <w:rPr>
                <w:rFonts w:ascii="Arial" w:hAnsi="Arial"/>
                <w:b w:val="0"/>
                <w:color w:val="202A33"/>
                <w:sz w:val="18"/>
              </w:rPr>
              <w:t>1.0000</w:t>
            </w:r>
          </w:p>
        </w:tc>
        <w:tc>
          <w:tcPr>
            <w:tcW w:type="dxa" w:w="1871"/>
            <w:shd w:fill="F4F8FA"/>
            <w:tcMar>
              <w:top w:w="80" w:type="dxa"/>
              <w:start w:w="120" w:type="dxa"/>
              <w:bottom w:w="80" w:type="dxa"/>
              <w:end w:w="120" w:type="dxa"/>
            </w:tcMar>
            <w:vAlign w:val="center"/>
          </w:tcPr>
          <w:p>
            <w:pPr>
              <w:spacing w:after="0" w:line="252" w:lineRule="auto"/>
            </w:pPr>
            <w:r>
              <w:rPr>
                <w:rFonts w:ascii="Arial" w:hAnsi="Arial"/>
                <w:b w:val="0"/>
                <w:color w:val="202A33"/>
                <w:sz w:val="18"/>
              </w:rPr>
              <w:t>0.9950</w:t>
            </w:r>
          </w:p>
        </w:tc>
        <w:tc>
          <w:tcPr>
            <w:tcW w:type="dxa" w:w="1928"/>
            <w:shd w:fill="F4F8FA"/>
            <w:tcMar>
              <w:top w:w="80" w:type="dxa"/>
              <w:start w:w="120" w:type="dxa"/>
              <w:bottom w:w="80" w:type="dxa"/>
              <w:end w:w="120" w:type="dxa"/>
            </w:tcMar>
            <w:vAlign w:val="center"/>
          </w:tcPr>
          <w:p>
            <w:pPr>
              <w:spacing w:after="0" w:line="252" w:lineRule="auto"/>
            </w:pPr>
            <w:r>
              <w:rPr>
                <w:rFonts w:ascii="Arial" w:hAnsi="Arial"/>
                <w:b w:val="0"/>
                <w:color w:val="202A33"/>
                <w:sz w:val="18"/>
              </w:rPr>
              <w:t>0.9470</w:t>
            </w:r>
          </w:p>
        </w:tc>
      </w:tr>
    </w:tbl>
    <w:p>
      <w:pPr>
        <w:spacing w:after="40"/>
      </w:pPr>
    </w:p>
    <w:p>
      <w:pPr>
        <w:pStyle w:val="ListBullet"/>
        <w:spacing w:after="80" w:line="259" w:lineRule="auto"/>
      </w:pPr>
      <w:r>
        <w:rPr>
          <w:rFonts w:ascii="Arial" w:hAnsi="Arial"/>
          <w:b w:val="0"/>
          <w:color w:val="202A33"/>
          <w:sz w:val="21"/>
        </w:rPr>
        <w:t>Smoke is the strongest six-class result on this split.</w:t>
      </w:r>
    </w:p>
    <w:p>
      <w:pPr>
        <w:pStyle w:val="ListBullet"/>
        <w:spacing w:after="80" w:line="259" w:lineRule="auto"/>
      </w:pPr>
      <w:r>
        <w:rPr>
          <w:rFonts w:ascii="Arial" w:hAnsi="Arial"/>
          <w:b w:val="0"/>
          <w:color w:val="202A33"/>
          <w:sz w:val="21"/>
        </w:rPr>
        <w:t>Pistol recall is low because the merged data uses inconsistent GUN annotation boundaries.</w:t>
      </w:r>
    </w:p>
    <w:p>
      <w:pPr>
        <w:pStyle w:val="ListBullet"/>
        <w:spacing w:after="80" w:line="259" w:lineRule="auto"/>
      </w:pPr>
      <w:r>
        <w:rPr>
          <w:rFonts w:ascii="Arial" w:hAnsi="Arial"/>
          <w:b w:val="0"/>
          <w:color w:val="202A33"/>
          <w:sz w:val="21"/>
        </w:rPr>
        <w:t>Lying is supported by only 15 validation boxes, so its score is not statistically strong.</w:t>
      </w:r>
    </w:p>
    <w:p>
      <w:pPr>
        <w:pStyle w:val="ListBullet"/>
        <w:spacing w:after="80" w:line="259" w:lineRule="auto"/>
      </w:pPr>
      <w:r>
        <w:rPr>
          <w:rFonts w:ascii="Arial" w:hAnsi="Arial"/>
          <w:b w:val="0"/>
          <w:color w:val="202A33"/>
          <w:sz w:val="21"/>
        </w:rPr>
        <w:t>The six-class score must not be presented as the same benchmark as the held-out weapon score.</w:t>
      </w:r>
    </w:p>
    <w:p>
      <w:pPr>
        <w:pStyle w:val="ListBullet"/>
        <w:spacing w:after="80" w:line="259" w:lineRule="auto"/>
      </w:pPr>
      <w:r>
        <w:rPr>
          <w:rFonts w:ascii="Arial" w:hAnsi="Arial"/>
          <w:b w:val="0"/>
          <w:color w:val="202A33"/>
          <w:sz w:val="21"/>
        </w:rPr>
        <w:t>The deployed system uses one confidence threshold, while mAP summarises performance across all thresholds.</w:t>
      </w:r>
    </w:p>
    <w:p>
      <w:pPr>
        <w:pStyle w:val="ListBullet"/>
        <w:spacing w:after="80" w:line="259" w:lineRule="auto"/>
      </w:pPr>
      <w:r>
        <w:rPr>
          <w:rFonts w:ascii="Arial" w:hAnsi="Arial"/>
          <w:b w:val="0"/>
          <w:color w:val="202A33"/>
          <w:sz w:val="21"/>
        </w:rPr>
        <w:t>The current numbers establish offline performance; they do not prove equal accuracy on every real camera.</w:t>
      </w:r>
    </w:p>
    <w:p>
      <w:pPr>
        <w:spacing w:after="120" w:before="0" w:line="269" w:lineRule="auto"/>
      </w:pPr>
      <w:r>
        <w:rPr>
          <w:rFonts w:ascii="Arial" w:hAnsi="Arial"/>
          <w:b w:val="0"/>
          <w:color w:val="202A33"/>
          <w:sz w:val="21"/>
        </w:rPr>
        <w:t>These figures support an offline model comparison. They do not substitute for camera-specific operating-point measurement, and the two evaluation sets must remain clearly labelled in every later report.</w:t>
      </w:r>
    </w:p>
    <w:p>
      <w:pPr>
        <w:keepNext/>
        <w:spacing w:after="60"/>
        <w:jc w:val="center"/>
      </w:pPr>
      <w:r>
        <w:drawing>
          <wp:inline xmlns:a="http://schemas.openxmlformats.org/drawingml/2006/main" xmlns:pic="http://schemas.openxmlformats.org/drawingml/2006/picture">
            <wp:extent cx="5212080" cy="3439830"/>
            <wp:docPr id="3" name="Model evaluation figure" descr="Figure 3. Precision–recall curves across the six-class merged validation split." title="Figure 3. Precision–recall curves across the six-class merged validation split."/>
            <wp:cNvGraphicFramePr>
              <a:graphicFrameLocks noChangeAspect="1"/>
            </wp:cNvGraphicFramePr>
            <a:graphic>
              <a:graphicData uri="http://schemas.openxmlformats.org/drawingml/2006/picture">
                <pic:pic>
                  <pic:nvPicPr>
                    <pic:cNvPr id="0" name="cypher-report-figure-3.png"/>
                    <pic:cNvPicPr/>
                  </pic:nvPicPr>
                  <pic:blipFill>
                    <a:blip r:embed="rId12"/>
                    <a:stretch>
                      <a:fillRect/>
                    </a:stretch>
                  </pic:blipFill>
                  <pic:spPr>
                    <a:xfrm>
                      <a:off x="0" y="0"/>
                      <a:ext cx="5212080" cy="3439830"/>
                    </a:xfrm>
                    <a:prstGeom prst="rect"/>
                  </pic:spPr>
                </pic:pic>
              </a:graphicData>
            </a:graphic>
          </wp:inline>
        </w:drawing>
      </w:r>
    </w:p>
    <w:p>
      <w:pPr>
        <w:keepNext/>
        <w:spacing w:after="160"/>
        <w:jc w:val="center"/>
      </w:pPr>
      <w:r>
        <w:rPr>
          <w:rFonts w:ascii="Arial" w:hAnsi="Arial"/>
          <w:b w:val="0"/>
          <w:color w:val="5D6973"/>
          <w:sz w:val="17"/>
        </w:rPr>
        <w:t>Figure 3. Precision–recall curves across the six-class merged validation split.</w:t>
      </w:r>
    </w:p>
    <w:p>
      <w:pPr>
        <w:keepNext/>
        <w:spacing w:after="60"/>
        <w:jc w:val="center"/>
      </w:pPr>
      <w:r>
        <w:drawing>
          <wp:inline xmlns:a="http://schemas.openxmlformats.org/drawingml/2006/main" xmlns:pic="http://schemas.openxmlformats.org/drawingml/2006/picture">
            <wp:extent cx="5166360" cy="4726621"/>
            <wp:docPr id="4" name="Model evaluation figure" descr="Figure 4. Normalised confusion matrix for the six-class merged validation split." title="Figure 4. Normalised confusion matrix for the six-class merged validation split."/>
            <wp:cNvGraphicFramePr>
              <a:graphicFrameLocks noChangeAspect="1"/>
            </wp:cNvGraphicFramePr>
            <a:graphic>
              <a:graphicData uri="http://schemas.openxmlformats.org/drawingml/2006/picture">
                <pic:pic>
                  <pic:nvPicPr>
                    <pic:cNvPr id="0" name="cypher-report-figure-4.png"/>
                    <pic:cNvPicPr/>
                  </pic:nvPicPr>
                  <pic:blipFill>
                    <a:blip r:embed="rId13"/>
                    <a:stretch>
                      <a:fillRect/>
                    </a:stretch>
                  </pic:blipFill>
                  <pic:spPr>
                    <a:xfrm>
                      <a:off x="0" y="0"/>
                      <a:ext cx="5166360" cy="4726621"/>
                    </a:xfrm>
                    <a:prstGeom prst="rect"/>
                  </pic:spPr>
                </pic:pic>
              </a:graphicData>
            </a:graphic>
          </wp:inline>
        </w:drawing>
      </w:r>
    </w:p>
    <w:p>
      <w:pPr>
        <w:keepNext/>
        <w:spacing w:after="160"/>
        <w:jc w:val="center"/>
      </w:pPr>
      <w:r>
        <w:rPr>
          <w:rFonts w:ascii="Arial" w:hAnsi="Arial"/>
          <w:b w:val="0"/>
          <w:color w:val="5D6973"/>
          <w:sz w:val="17"/>
        </w:rPr>
        <w:t>Figure 4. Normalised confusion matrix for the six-class merged validation split.</w:t>
      </w:r>
    </w:p>
    <w:p>
      <w:r>
        <w:br w:type="page"/>
      </w:r>
    </w:p>
    <w:p>
      <w:pPr>
        <w:pStyle w:val="Heading1"/>
        <w:keepNext/>
        <w:spacing w:before="280" w:after="120"/>
      </w:pPr>
      <w:r>
        <w:rPr>
          <w:rFonts w:ascii="Arial" w:hAnsi="Arial"/>
          <w:b/>
          <w:color w:val="000000"/>
          <w:sz w:val="30"/>
        </w:rPr>
        <w:t>7. Recommended final-report claims</w:t>
      </w:r>
    </w:p>
    <w:tbl>
      <w:tblPr>
        <w:tblW w:type="auto" w:w="0"/>
        <w:jc w:val="center"/>
        <w:tblLayout w:type="fixed"/>
        <w:tblLook w:firstColumn="1" w:firstRow="1" w:lastColumn="0" w:lastRow="0" w:noHBand="0" w:noVBand="1" w:val="04A0"/>
        <w:tblBorders>
          <w:top w:val="single" w:sz="5" w:space="0" w:color="D7DCE1"/>
          <w:left w:val="single" w:sz="5" w:space="0" w:color="D7DCE1"/>
          <w:bottom w:val="single" w:sz="5" w:space="0" w:color="D7DCE1"/>
          <w:right w:val="single" w:sz="5" w:space="0" w:color="D7DCE1"/>
          <w:insideH w:val="single" w:sz="5" w:space="0" w:color="D7DCE1"/>
          <w:insideV w:val="single" w:sz="5" w:space="0" w:color="D7DCE1"/>
        </w:tblBorders>
      </w:tblPr>
      <w:tblGrid>
        <w:gridCol w:w="3213"/>
        <w:gridCol w:w="3213"/>
        <w:gridCol w:w="3213"/>
      </w:tblGrid>
      <w:tr>
        <w:trPr>
          <w:tblHeader w:val="true"/>
        </w:trPr>
        <w:tc>
          <w:tcPr>
            <w:tcW w:type="dxa" w:w="1757"/>
            <w:shd w:fill="17324D"/>
            <w:tcMar>
              <w:top w:w="70" w:type="dxa"/>
              <w:start w:w="120" w:type="dxa"/>
              <w:bottom w:w="70" w:type="dxa"/>
              <w:end w:w="120" w:type="dxa"/>
            </w:tcMar>
            <w:vAlign w:val="center"/>
          </w:tcPr>
          <w:p>
            <w:pPr>
              <w:spacing w:after="0"/>
              <w:jc w:val="left"/>
            </w:pPr>
            <w:r>
              <w:rPr>
                <w:rFonts w:ascii="Arial" w:hAnsi="Arial"/>
                <w:b/>
                <w:color w:val="FFFFFF"/>
                <w:sz w:val="19"/>
              </w:rPr>
              <w:t>Topic</w:t>
            </w:r>
          </w:p>
        </w:tc>
        <w:tc>
          <w:tcPr>
            <w:tcW w:type="dxa" w:w="4819"/>
            <w:shd w:fill="17324D"/>
            <w:tcMar>
              <w:top w:w="70" w:type="dxa"/>
              <w:start w:w="120" w:type="dxa"/>
              <w:bottom w:w="70" w:type="dxa"/>
              <w:end w:w="120" w:type="dxa"/>
            </w:tcMar>
            <w:vAlign w:val="center"/>
          </w:tcPr>
          <w:p>
            <w:pPr>
              <w:spacing w:after="0"/>
              <w:jc w:val="left"/>
            </w:pPr>
            <w:r>
              <w:rPr>
                <w:rFonts w:ascii="Arial" w:hAnsi="Arial"/>
                <w:b/>
                <w:color w:val="FFFFFF"/>
                <w:sz w:val="19"/>
              </w:rPr>
              <w:t>Use this wording</w:t>
            </w:r>
          </w:p>
        </w:tc>
        <w:tc>
          <w:tcPr>
            <w:tcW w:type="dxa" w:w="4025"/>
            <w:shd w:fill="17324D"/>
            <w:tcMar>
              <w:top w:w="70" w:type="dxa"/>
              <w:start w:w="120" w:type="dxa"/>
              <w:bottom w:w="70" w:type="dxa"/>
              <w:end w:w="120" w:type="dxa"/>
            </w:tcMar>
            <w:vAlign w:val="center"/>
          </w:tcPr>
          <w:p>
            <w:pPr>
              <w:spacing w:after="0"/>
              <w:jc w:val="left"/>
            </w:pPr>
            <w:r>
              <w:rPr>
                <w:rFonts w:ascii="Arial" w:hAnsi="Arial"/>
                <w:b/>
                <w:color w:val="FFFFFF"/>
                <w:sz w:val="19"/>
              </w:rPr>
              <w:t>Avoid</w:t>
            </w:r>
          </w:p>
        </w:tc>
      </w:tr>
      <w:tr>
        <w:trPr>
          <w:cantSplit/>
        </w:trPr>
        <w:tc>
          <w:tcPr>
            <w:tcW w:type="dxa" w:w="1757"/>
            <w:shd w:fill="FFFFFF"/>
            <w:tcMar>
              <w:top w:w="80" w:type="dxa"/>
              <w:start w:w="120" w:type="dxa"/>
              <w:bottom w:w="80" w:type="dxa"/>
              <w:end w:w="120" w:type="dxa"/>
            </w:tcMar>
            <w:vAlign w:val="center"/>
          </w:tcPr>
          <w:p>
            <w:pPr>
              <w:spacing w:after="0" w:line="252" w:lineRule="auto"/>
            </w:pPr>
            <w:r>
              <w:rPr>
                <w:rFonts w:ascii="Arial" w:hAnsi="Arial"/>
                <w:b w:val="0"/>
                <w:color w:val="202A33"/>
                <w:sz w:val="18"/>
              </w:rPr>
              <w:t>Database</w:t>
            </w:r>
          </w:p>
        </w:tc>
        <w:tc>
          <w:tcPr>
            <w:tcW w:type="dxa" w:w="4819"/>
            <w:shd w:fill="FFFFFF"/>
            <w:tcMar>
              <w:top w:w="80" w:type="dxa"/>
              <w:start w:w="120" w:type="dxa"/>
              <w:bottom w:w="80" w:type="dxa"/>
              <w:end w:w="120" w:type="dxa"/>
            </w:tcMar>
            <w:vAlign w:val="center"/>
          </w:tcPr>
          <w:p>
            <w:pPr>
              <w:spacing w:after="0" w:line="252" w:lineRule="auto"/>
            </w:pPr>
            <w:r>
              <w:rPr>
                <w:rFonts w:ascii="Arial" w:hAnsi="Arial"/>
                <w:b w:val="0"/>
                <w:color w:val="202A33"/>
                <w:sz w:val="18"/>
              </w:rPr>
              <w:t>Say: local PostgreSQL 16.15; Docker targets PostgreSQL 17; AWS DA2 uses RDS MySQL 8.4.9.</w:t>
            </w:r>
          </w:p>
        </w:tc>
        <w:tc>
          <w:tcPr>
            <w:tcW w:type="dxa" w:w="4025"/>
            <w:shd w:fill="FFFFFF"/>
            <w:tcMar>
              <w:top w:w="80" w:type="dxa"/>
              <w:start w:w="120" w:type="dxa"/>
              <w:bottom w:w="80" w:type="dxa"/>
              <w:end w:w="120" w:type="dxa"/>
            </w:tcMar>
            <w:vAlign w:val="center"/>
          </w:tcPr>
          <w:p>
            <w:pPr>
              <w:spacing w:after="0" w:line="252" w:lineRule="auto"/>
            </w:pPr>
            <w:r>
              <w:rPr>
                <w:rFonts w:ascii="Arial" w:hAnsi="Arial"/>
                <w:b w:val="0"/>
                <w:color w:val="202A33"/>
                <w:sz w:val="18"/>
              </w:rPr>
              <w:t>Do not say one database version applies everywhere.</w:t>
            </w:r>
          </w:p>
        </w:tc>
      </w:tr>
      <w:tr>
        <w:trPr>
          <w:cantSplit/>
        </w:trPr>
        <w:tc>
          <w:tcPr>
            <w:tcW w:type="dxa" w:w="1757"/>
            <w:shd w:fill="F4F8FA"/>
            <w:tcMar>
              <w:top w:w="80" w:type="dxa"/>
              <w:start w:w="120" w:type="dxa"/>
              <w:bottom w:w="80" w:type="dxa"/>
              <w:end w:w="120" w:type="dxa"/>
            </w:tcMar>
            <w:vAlign w:val="center"/>
          </w:tcPr>
          <w:p>
            <w:pPr>
              <w:spacing w:after="0" w:line="252" w:lineRule="auto"/>
            </w:pPr>
            <w:r>
              <w:rPr>
                <w:rFonts w:ascii="Arial" w:hAnsi="Arial"/>
                <w:b w:val="0"/>
                <w:color w:val="202A33"/>
                <w:sz w:val="18"/>
              </w:rPr>
              <w:t>Cloud operations</w:t>
            </w:r>
          </w:p>
        </w:tc>
        <w:tc>
          <w:tcPr>
            <w:tcW w:type="dxa" w:w="4819"/>
            <w:shd w:fill="F4F8FA"/>
            <w:tcMar>
              <w:top w:w="80" w:type="dxa"/>
              <w:start w:w="120" w:type="dxa"/>
              <w:bottom w:w="80" w:type="dxa"/>
              <w:end w:w="120" w:type="dxa"/>
            </w:tcMar>
            <w:vAlign w:val="center"/>
          </w:tcPr>
          <w:p>
            <w:pPr>
              <w:spacing w:after="0" w:line="252" w:lineRule="auto"/>
            </w:pPr>
            <w:r>
              <w:rPr>
                <w:rFonts w:ascii="Arial" w:hAnsi="Arial"/>
                <w:b w:val="0"/>
                <w:color w:val="202A33"/>
                <w:sz w:val="18"/>
              </w:rPr>
              <w:t>Say: EC2 deployment, RDS migration, S3 database backups, EBS snapshots and lifecycle backups are DA2 evidence.</w:t>
            </w:r>
          </w:p>
        </w:tc>
        <w:tc>
          <w:tcPr>
            <w:tcW w:type="dxa" w:w="4025"/>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 not list Jenkins, GitHub Actions, Prometheus or Grafana as built.</w:t>
            </w:r>
          </w:p>
        </w:tc>
      </w:tr>
      <w:tr>
        <w:trPr>
          <w:cantSplit/>
        </w:trPr>
        <w:tc>
          <w:tcPr>
            <w:tcW w:type="dxa" w:w="1757"/>
            <w:shd w:fill="FFFFFF"/>
            <w:tcMar>
              <w:top w:w="80" w:type="dxa"/>
              <w:start w:w="120" w:type="dxa"/>
              <w:bottom w:w="80" w:type="dxa"/>
              <w:end w:w="120" w:type="dxa"/>
            </w:tcMar>
            <w:vAlign w:val="center"/>
          </w:tcPr>
          <w:p>
            <w:pPr>
              <w:spacing w:after="0" w:line="252" w:lineRule="auto"/>
            </w:pPr>
            <w:r>
              <w:rPr>
                <w:rFonts w:ascii="Arial" w:hAnsi="Arial"/>
                <w:b w:val="0"/>
                <w:color w:val="202A33"/>
                <w:sz w:val="18"/>
              </w:rPr>
              <w:t>ML improvement</w:t>
            </w:r>
          </w:p>
        </w:tc>
        <w:tc>
          <w:tcPr>
            <w:tcW w:type="dxa" w:w="4819"/>
            <w:shd w:fill="FFFFFF"/>
            <w:tcMar>
              <w:top w:w="80" w:type="dxa"/>
              <w:start w:w="120" w:type="dxa"/>
              <w:bottom w:w="80" w:type="dxa"/>
              <w:end w:w="120" w:type="dxa"/>
            </w:tcMar>
            <w:vAlign w:val="center"/>
          </w:tcPr>
          <w:p>
            <w:pPr>
              <w:spacing w:after="0" w:line="252" w:lineRule="auto"/>
            </w:pPr>
            <w:r>
              <w:rPr>
                <w:rFonts w:ascii="Arial" w:hAnsi="Arial"/>
                <w:b w:val="0"/>
                <w:color w:val="202A33"/>
                <w:sz w:val="18"/>
              </w:rPr>
              <w:t>Say: mAP@50 improved from 0.589 to 0.890 on the same fixed 385-image weapon comparison set.</w:t>
            </w:r>
          </w:p>
        </w:tc>
        <w:tc>
          <w:tcPr>
            <w:tcW w:type="dxa" w:w="4025"/>
            <w:shd w:fill="FFFFFF"/>
            <w:tcMar>
              <w:top w:w="80" w:type="dxa"/>
              <w:start w:w="120" w:type="dxa"/>
              <w:bottom w:w="80" w:type="dxa"/>
              <w:end w:w="120" w:type="dxa"/>
            </w:tcMar>
            <w:vAlign w:val="center"/>
          </w:tcPr>
          <w:p>
            <w:pPr>
              <w:spacing w:after="0" w:line="252" w:lineRule="auto"/>
            </w:pPr>
            <w:r>
              <w:rPr>
                <w:rFonts w:ascii="Arial" w:hAnsi="Arial"/>
                <w:b w:val="0"/>
                <w:color w:val="202A33"/>
                <w:sz w:val="18"/>
              </w:rPr>
              <w:t>Do not call 0.890 general six-class accuracy.</w:t>
            </w:r>
          </w:p>
        </w:tc>
      </w:tr>
      <w:tr>
        <w:trPr>
          <w:cantSplit/>
        </w:trPr>
        <w:tc>
          <w:tcPr>
            <w:tcW w:type="dxa" w:w="1757"/>
            <w:shd w:fill="F4F8FA"/>
            <w:tcMar>
              <w:top w:w="80" w:type="dxa"/>
              <w:start w:w="120" w:type="dxa"/>
              <w:bottom w:w="80" w:type="dxa"/>
              <w:end w:w="120" w:type="dxa"/>
            </w:tcMar>
            <w:vAlign w:val="center"/>
          </w:tcPr>
          <w:p>
            <w:pPr>
              <w:spacing w:after="0" w:line="252" w:lineRule="auto"/>
            </w:pPr>
            <w:r>
              <w:rPr>
                <w:rFonts w:ascii="Arial" w:hAnsi="Arial"/>
                <w:b w:val="0"/>
                <w:color w:val="202A33"/>
                <w:sz w:val="18"/>
              </w:rPr>
              <w:t>Six-class performance</w:t>
            </w:r>
          </w:p>
        </w:tc>
        <w:tc>
          <w:tcPr>
            <w:tcW w:type="dxa" w:w="4819"/>
            <w:shd w:fill="F4F8FA"/>
            <w:tcMar>
              <w:top w:w="80" w:type="dxa"/>
              <w:start w:w="120" w:type="dxa"/>
              <w:bottom w:w="80" w:type="dxa"/>
              <w:end w:w="120" w:type="dxa"/>
            </w:tcMar>
            <w:vAlign w:val="center"/>
          </w:tcPr>
          <w:p>
            <w:pPr>
              <w:spacing w:after="0" w:line="252" w:lineRule="auto"/>
            </w:pPr>
            <w:r>
              <w:rPr>
                <w:rFonts w:ascii="Arial" w:hAnsi="Arial"/>
                <w:b w:val="0"/>
                <w:color w:val="202A33"/>
                <w:sz w:val="18"/>
              </w:rPr>
              <w:t>Say: the merged six-class validation reaches 0.744 mAP@50.</w:t>
            </w:r>
          </w:p>
        </w:tc>
        <w:tc>
          <w:tcPr>
            <w:tcW w:type="dxa" w:w="4025"/>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 not quote lying recall without the 15-box limitation.</w:t>
            </w:r>
          </w:p>
        </w:tc>
      </w:tr>
      <w:tr>
        <w:trPr>
          <w:cantSplit/>
        </w:trPr>
        <w:tc>
          <w:tcPr>
            <w:tcW w:type="dxa" w:w="1757"/>
            <w:shd w:fill="FFFFFF"/>
            <w:tcMar>
              <w:top w:w="80" w:type="dxa"/>
              <w:start w:w="120" w:type="dxa"/>
              <w:bottom w:w="80" w:type="dxa"/>
              <w:end w:w="120" w:type="dxa"/>
            </w:tcMar>
            <w:vAlign w:val="center"/>
          </w:tcPr>
          <w:p>
            <w:pPr>
              <w:spacing w:after="0" w:line="252" w:lineRule="auto"/>
            </w:pPr>
            <w:r>
              <w:rPr>
                <w:rFonts w:ascii="Arial" w:hAnsi="Arial"/>
                <w:b w:val="0"/>
                <w:color w:val="202A33"/>
                <w:sz w:val="18"/>
              </w:rPr>
              <w:t>API</w:t>
            </w:r>
          </w:p>
        </w:tc>
        <w:tc>
          <w:tcPr>
            <w:tcW w:type="dxa" w:w="4819"/>
            <w:shd w:fill="FFFFFF"/>
            <w:tcMar>
              <w:top w:w="80" w:type="dxa"/>
              <w:start w:w="120" w:type="dxa"/>
              <w:bottom w:w="80" w:type="dxa"/>
              <w:end w:w="120" w:type="dxa"/>
            </w:tcMar>
            <w:vAlign w:val="center"/>
          </w:tcPr>
          <w:p>
            <w:pPr>
              <w:spacing w:after="0" w:line="252" w:lineRule="auto"/>
            </w:pPr>
            <w:r>
              <w:rPr>
                <w:rFonts w:ascii="Arial" w:hAnsi="Arial"/>
                <w:b w:val="0"/>
                <w:color w:val="202A33"/>
                <w:sz w:val="18"/>
              </w:rPr>
              <w:t>Use the corrected /auth/login, /api/incidents/ingest and explicit workflow routes in this document.</w:t>
            </w:r>
          </w:p>
        </w:tc>
        <w:tc>
          <w:tcPr>
            <w:tcW w:type="dxa" w:w="4025"/>
            <w:shd w:fill="FFFFFF"/>
            <w:tcMar>
              <w:top w:w="80" w:type="dxa"/>
              <w:start w:w="120" w:type="dxa"/>
              <w:bottom w:w="80" w:type="dxa"/>
              <w:end w:w="120" w:type="dxa"/>
            </w:tcMar>
            <w:vAlign w:val="center"/>
          </w:tcPr>
          <w:p>
            <w:pPr>
              <w:spacing w:after="0" w:line="252" w:lineRule="auto"/>
            </w:pPr>
            <w:r>
              <w:rPr>
                <w:rFonts w:ascii="Arial" w:hAnsi="Arial"/>
                <w:b w:val="0"/>
                <w:color w:val="202A33"/>
                <w:sz w:val="18"/>
              </w:rPr>
              <w:t>Do not reuse the outdated sequence-diagram paths.</w:t>
            </w:r>
          </w:p>
        </w:tc>
      </w:tr>
      <w:tr>
        <w:trPr>
          <w:cantSplit/>
        </w:trPr>
        <w:tc>
          <w:tcPr>
            <w:tcW w:type="dxa" w:w="1757"/>
            <w:shd w:fill="F4F8FA"/>
            <w:tcMar>
              <w:top w:w="80" w:type="dxa"/>
              <w:start w:w="120" w:type="dxa"/>
              <w:bottom w:w="80" w:type="dxa"/>
              <w:end w:w="120" w:type="dxa"/>
            </w:tcMar>
            <w:vAlign w:val="center"/>
          </w:tcPr>
          <w:p>
            <w:pPr>
              <w:spacing w:after="0" w:line="252" w:lineRule="auto"/>
            </w:pPr>
            <w:r>
              <w:rPr>
                <w:rFonts w:ascii="Arial" w:hAnsi="Arial"/>
                <w:b w:val="0"/>
                <w:color w:val="202A33"/>
                <w:sz w:val="18"/>
              </w:rPr>
              <w:t>Roles</w:t>
            </w:r>
          </w:p>
        </w:tc>
        <w:tc>
          <w:tcPr>
            <w:tcW w:type="dxa" w:w="4819"/>
            <w:shd w:fill="F4F8FA"/>
            <w:tcMar>
              <w:top w:w="80" w:type="dxa"/>
              <w:start w:w="120" w:type="dxa"/>
              <w:bottom w:w="80" w:type="dxa"/>
              <w:end w:w="120" w:type="dxa"/>
            </w:tcMar>
            <w:vAlign w:val="center"/>
          </w:tcPr>
          <w:p>
            <w:pPr>
              <w:spacing w:after="0" w:line="252" w:lineRule="auto"/>
            </w:pPr>
            <w:r>
              <w:rPr>
                <w:rFonts w:ascii="Arial" w:hAnsi="Arial"/>
                <w:b w:val="0"/>
                <w:color w:val="202A33"/>
                <w:sz w:val="18"/>
              </w:rPr>
              <w:t>Say the effective API allows audit and user directory to SUPER_ADMIN/ADMIN, with the SECURITY_MANAGER audit mismatch disclosed.</w:t>
            </w:r>
          </w:p>
        </w:tc>
        <w:tc>
          <w:tcPr>
            <w:tcW w:type="dxa" w:w="4025"/>
            <w:shd w:fill="F4F8FA"/>
            <w:tcMar>
              <w:top w:w="80" w:type="dxa"/>
              <w:start w:w="120" w:type="dxa"/>
              <w:bottom w:w="80" w:type="dxa"/>
              <w:end w:w="120" w:type="dxa"/>
            </w:tcMar>
            <w:vAlign w:val="center"/>
          </w:tcPr>
          <w:p>
            <w:pPr>
              <w:spacing w:after="0" w:line="252" w:lineRule="auto"/>
            </w:pPr>
            <w:r>
              <w:rPr>
                <w:rFonts w:ascii="Arial" w:hAnsi="Arial"/>
                <w:b w:val="0"/>
                <w:color w:val="202A33"/>
                <w:sz w:val="18"/>
              </w:rPr>
              <w:t>Do not say SECURITY_MANAGER currently opens audit through the API.</w:t>
            </w:r>
          </w:p>
        </w:tc>
      </w:tr>
    </w:tbl>
    <w:p>
      <w:pPr>
        <w:spacing w:after="40"/>
      </w:pPr>
    </w:p>
    <w:p>
      <w:pPr>
        <w:pStyle w:val="Heading1"/>
        <w:keepNext/>
        <w:spacing w:before="280" w:after="120"/>
      </w:pPr>
      <w:r>
        <w:rPr>
          <w:rFonts w:ascii="Arial" w:hAnsi="Arial"/>
          <w:b/>
          <w:color w:val="000000"/>
          <w:sz w:val="30"/>
        </w:rPr>
        <w:t>8. Evidence locations</w:t>
      </w:r>
    </w:p>
    <w:p>
      <w:pPr>
        <w:spacing w:after="120" w:before="0" w:line="269" w:lineRule="auto"/>
      </w:pPr>
      <w:r>
        <w:rPr>
          <w:rFonts w:ascii="Arial" w:hAnsi="Arial"/>
          <w:b w:val="0"/>
          <w:color w:val="202A33"/>
          <w:sz w:val="21"/>
        </w:rPr>
        <w:t>The attached model figures were sourced from the project evidence directory:</w:t>
      </w:r>
    </w:p>
    <w:p>
      <w:pPr>
        <w:pStyle w:val="ListBullet"/>
        <w:spacing w:after="80" w:line="259" w:lineRule="auto"/>
      </w:pPr>
      <w:r>
        <w:rPr>
          <w:rFonts w:ascii="Arial" w:hAnsi="Arial"/>
          <w:b w:val="0"/>
          <w:color w:val="202A33"/>
          <w:sz w:val="21"/>
        </w:rPr>
        <w:t>ai/evidence/comparison-test-BoxPR_curve.png</w:t>
      </w:r>
    </w:p>
    <w:p>
      <w:pPr>
        <w:pStyle w:val="ListBullet"/>
        <w:spacing w:after="80" w:line="259" w:lineRule="auto"/>
      </w:pPr>
      <w:r>
        <w:rPr>
          <w:rFonts w:ascii="Arial" w:hAnsi="Arial"/>
          <w:b w:val="0"/>
          <w:color w:val="202A33"/>
          <w:sz w:val="21"/>
        </w:rPr>
        <w:t>ai/evidence/comparison-test-confusion_matrix_normalized.png</w:t>
      </w:r>
    </w:p>
    <w:p>
      <w:pPr>
        <w:pStyle w:val="ListBullet"/>
        <w:spacing w:after="80" w:line="259" w:lineRule="auto"/>
      </w:pPr>
      <w:r>
        <w:rPr>
          <w:rFonts w:ascii="Arial" w:hAnsi="Arial"/>
          <w:b w:val="0"/>
          <w:color w:val="202A33"/>
          <w:sz w:val="21"/>
        </w:rPr>
        <w:t>ai/evidence/merged-val-BoxPR_curve.png</w:t>
      </w:r>
    </w:p>
    <w:p>
      <w:pPr>
        <w:pStyle w:val="ListBullet"/>
        <w:spacing w:after="80" w:line="259" w:lineRule="auto"/>
      </w:pPr>
      <w:r>
        <w:rPr>
          <w:rFonts w:ascii="Arial" w:hAnsi="Arial"/>
          <w:b w:val="0"/>
          <w:color w:val="202A33"/>
          <w:sz w:val="21"/>
        </w:rPr>
        <w:t>ai/evidence/merged-val-confusion_matrix_normalized.png</w:t>
      </w:r>
    </w:p>
    <w:p>
      <w:pPr>
        <w:spacing w:after="120" w:before="0" w:line="269" w:lineRule="auto"/>
      </w:pPr>
      <w:r>
        <w:rPr>
          <w:rFonts w:ascii="Arial" w:hAnsi="Arial"/>
          <w:b w:val="0"/>
          <w:color w:val="202A33"/>
          <w:sz w:val="21"/>
        </w:rPr>
        <w:t>The complete model card is ai/evidence/README.md, with machine-readable values in ai/evidence/metrics.json and metrics.md. The manual upload examples are stored in ai/evidence/demo/ and mirrored on the Desktop under CYPHER-ML-Demo.</w:t>
      </w:r>
    </w:p>
    <w:p>
      <w:pPr>
        <w:spacing w:after="120" w:before="0" w:line="269" w:lineRule="auto"/>
      </w:pPr>
      <w:r>
        <w:rPr>
          <w:rFonts w:ascii="Arial" w:hAnsi="Arial"/>
          <w:b w:val="0"/>
          <w:color w:val="202A33"/>
          <w:sz w:val="21"/>
        </w:rPr>
        <w:t>This report is based on the current repository configuration and the running local database, with the AWS distinction retained wherever the deployment differs from local development.</w:t>
      </w:r>
    </w:p>
    <w:sectPr w:rsidR="00FC693F" w:rsidRPr="0006063C" w:rsidSect="00034616">
      <w:footerReference w:type="default" r:id="rId9"/>
      <w:pgSz w:w="11906" w:h="16838"/>
      <w:pgMar w:top="964"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D6973"/>
        <w:sz w:val="17"/>
      </w:rPr>
      <w:t xml:space="preserve">CYPHER technical clarifications  |  Page </w:t>
    </w:r>
    <w:r>
      <w:rPr>
        <w:rFonts w:ascii="Arial" w:hAnsi="Arial"/>
        <w:b w:val="0"/>
        <w:color w:val="5D6973"/>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CYPHER Final Report Technical Clarifications</dc:title>
  <dc:subject>Verified database, infrastructure, access control, API, camera and model evidence</dc:subject>
  <dc:creator>CYPHER Project Team</dc:creator>
  <cp:keywords>CYPHER, YOLOv8s, PostgreSQL, MySQL, RDS, JWT, WebSocket, model evaluation</cp:keywords>
  <dc:description>Prepared from the current CYPHER project configuration and evaluation evidence.</dc:description>
  <cp:lastModifiedBy/>
  <cp:revision>1</cp:revision>
  <dcterms:created xsi:type="dcterms:W3CDTF">2013-12-23T23:15:00Z</dcterms:created>
  <dcterms:modified xsi:type="dcterms:W3CDTF">2013-12-23T23:15:00Z</dcterms:modified>
  <cp:category/>
</cp:coreProperties>
</file>