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120"/>
        <w:jc w:val="center"/>
      </w:pPr>
      <w:r>
        <w:drawing>
          <wp:inline xmlns:a="http://schemas.openxmlformats.org/drawingml/2006/main" xmlns:pic="http://schemas.openxmlformats.org/drawingml/2006/picture">
            <wp:extent cx="2951999" cy="1132699"/>
            <wp:docPr id="1" name="Picture 1" descr="VIT Chennai logo"/>
            <wp:cNvGraphicFramePr>
              <a:graphicFrameLocks noChangeAspect="1"/>
            </wp:cNvGraphicFramePr>
            <a:graphic>
              <a:graphicData uri="http://schemas.openxmlformats.org/drawingml/2006/picture">
                <pic:pic>
                  <pic:nvPicPr>
                    <pic:cNvPr id="0" name="cypher-vit-logo.png"/>
                    <pic:cNvPicPr/>
                  </pic:nvPicPr>
                  <pic:blipFill>
                    <a:blip r:embed="rId9"/>
                    <a:stretch>
                      <a:fillRect/>
                    </a:stretch>
                  </pic:blipFill>
                  <pic:spPr>
                    <a:xfrm>
                      <a:off x="0" y="0"/>
                      <a:ext cx="2951999" cy="1132699"/>
                    </a:xfrm>
                    <a:prstGeom prst="rect"/>
                  </pic:spPr>
                </pic:pic>
              </a:graphicData>
            </a:graphic>
          </wp:inline>
        </w:drawing>
      </w:r>
    </w:p>
    <w:p>
      <w:pPr>
        <w:pStyle w:val="Title"/>
        <w:spacing w:after="440"/>
        <w:jc w:val="center"/>
        <w:pBdr>
          <w:top w:val="nil"/>
          <w:left w:val="nil"/>
          <w:bottom w:val="nil"/>
          <w:right w:val="nil"/>
          <w:between w:val="nil"/>
          <w:bar w:val="nil"/>
        </w:pBdr>
      </w:pPr>
      <w:r>
        <w:rPr>
          <w:rFonts w:ascii="Arial" w:hAnsi="Arial"/>
          <w:b/>
          <w:color w:val="000000"/>
          <w:sz w:val="60"/>
        </w:rPr>
        <w:t>Cloud Architecture Design</w:t>
      </w:r>
    </w:p>
    <w:p>
      <w:pPr>
        <w:spacing w:after="1480"/>
        <w:jc w:val="center"/>
      </w:pPr>
      <w:r>
        <w:rPr>
          <w:rFonts w:ascii="Arial" w:hAnsi="Arial"/>
          <w:b/>
          <w:color w:val="000000"/>
          <w:sz w:val="50"/>
        </w:rPr>
        <w:t>Digital Assignment - 2</w:t>
      </w:r>
    </w:p>
    <w:p>
      <w:pPr>
        <w:spacing w:after="240"/>
        <w:jc w:val="center"/>
      </w:pPr>
      <w:r>
        <w:rPr>
          <w:rFonts w:ascii="Arial" w:hAnsi="Arial"/>
          <w:b/>
          <w:color w:val="000000"/>
          <w:sz w:val="26"/>
        </w:rPr>
        <w:t>Submitted to Dr Marimuthu M</w:t>
      </w:r>
    </w:p>
    <w:p>
      <w:pPr>
        <w:spacing w:after="240"/>
        <w:jc w:val="center"/>
      </w:pPr>
      <w:r>
        <w:rPr>
          <w:rFonts w:ascii="Arial" w:hAnsi="Arial"/>
          <w:b/>
          <w:color w:val="000000"/>
          <w:sz w:val="26"/>
        </w:rPr>
        <w:t>Student Name: Adithyan S Nair</w:t>
      </w:r>
    </w:p>
    <w:p>
      <w:pPr>
        <w:spacing w:after="240"/>
        <w:jc w:val="center"/>
      </w:pPr>
      <w:r>
        <w:rPr>
          <w:rFonts w:ascii="Arial" w:hAnsi="Arial"/>
          <w:b/>
          <w:color w:val="000000"/>
          <w:sz w:val="26"/>
        </w:rPr>
        <w:t>Register No: 24BAI1621</w:t>
      </w:r>
    </w:p>
    <w:p>
      <w:pPr>
        <w:spacing w:after="240"/>
        <w:jc w:val="center"/>
      </w:pPr>
      <w:r>
        <w:rPr>
          <w:rFonts w:ascii="Arial" w:hAnsi="Arial"/>
          <w:b/>
          <w:color w:val="000000"/>
          <w:sz w:val="26"/>
        </w:rPr>
        <w:t>Slot: E1+TE1</w:t>
      </w:r>
    </w:p>
    <w:p>
      <w:r>
        <w:br w:type="page"/>
      </w:r>
    </w:p>
    <w:p>
      <w:pPr>
        <w:keepNext/>
        <w:spacing w:before="80" w:after="200"/>
      </w:pPr>
      <w:r>
        <w:rPr>
          <w:rFonts w:ascii="Arial" w:hAnsi="Arial"/>
          <w:b/>
          <w:color w:val="000000"/>
          <w:sz w:val="32"/>
        </w:rPr>
        <w:t>Screenshots:</w:t>
      </w:r>
    </w:p>
    <w:p>
      <w:pPr>
        <w:keepNext/>
        <w:spacing w:before="80" w:after="200"/>
      </w:pPr>
      <w:r>
        <w:rPr>
          <w:rFonts w:ascii="Arial" w:hAnsi="Arial"/>
          <w:b/>
          <w:color w:val="000000"/>
          <w:sz w:val="30"/>
        </w:rPr>
        <w:t>1. Enhanced Security</w:t>
      </w:r>
    </w:p>
    <w:p>
      <w:pPr>
        <w:spacing w:line="259" w:lineRule="auto" w:after="160"/>
        <w:jc w:val="both"/>
      </w:pPr>
      <w:r>
        <w:rPr>
          <w:rFonts w:ascii="Arial" w:hAnsi="Arial"/>
          <w:b w:val="0"/>
          <w:color w:val="000000"/>
          <w:sz w:val="22"/>
        </w:rPr>
        <w:t>The DA2 environment separates the public application tier from the managed database tier. Amazon EC2 hosts the Spring Boot application and code-server, while Amazon RDS stores the application data in private subnets. The EC2 security group exposes only the required application and editor ports and restricts SSH access to the administrator address. The RDS security group accepts MySQL traffic only from the application security group. The EC2 instance uses the cypher-da2-ec2-role instead of permanent credentials, and custom IAM policies limit access to the required resources and actions.</w:t>
      </w:r>
    </w:p>
    <w:p>
      <w:pPr>
        <w:keepNext/>
        <w:spacing w:before="40" w:after="100"/>
      </w:pPr>
      <w:r>
        <w:rPr>
          <w:rFonts w:ascii="Arial" w:hAnsi="Arial"/>
          <w:b w:val="0"/>
          <w:color w:val="000000"/>
          <w:sz w:val="21"/>
        </w:rPr>
        <w:t>Figure 1: RDS instance showing that public access is disabled</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keepNext/>
        <w:spacing w:before="40" w:after="100"/>
      </w:pPr>
      <w:r>
        <w:rPr>
          <w:rFonts w:ascii="Arial" w:hAnsi="Arial"/>
          <w:b w:val="0"/>
          <w:color w:val="000000"/>
          <w:sz w:val="21"/>
        </w:rPr>
        <w:t>Figure 2: RDS security group allowing MySQL only from the EC2 security group</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r>
        <w:br w:type="page"/>
      </w:r>
    </w:p>
    <w:p>
      <w:pPr>
        <w:keepNext/>
        <w:spacing w:before="40" w:after="100"/>
      </w:pPr>
      <w:r>
        <w:rPr>
          <w:rFonts w:ascii="Arial" w:hAnsi="Arial"/>
          <w:b w:val="0"/>
          <w:color w:val="000000"/>
          <w:sz w:val="21"/>
        </w:rPr>
        <w:t>Figure 3: EC2 IAM role and attached least-privilege policies</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keepNext/>
        <w:spacing w:before="40" w:after="100"/>
      </w:pPr>
      <w:r>
        <w:rPr>
          <w:rFonts w:ascii="Arial" w:hAnsi="Arial"/>
          <w:b w:val="0"/>
          <w:color w:val="000000"/>
          <w:sz w:val="21"/>
        </w:rPr>
        <w:t>Figure 4: Custom IAM policy JSON showing the permitted actions and resources</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r>
        <w:br w:type="page"/>
      </w:r>
    </w:p>
    <w:p>
      <w:pPr>
        <w:keepNext/>
        <w:spacing w:before="80" w:after="200"/>
      </w:pPr>
      <w:r>
        <w:rPr>
          <w:rFonts w:ascii="Arial" w:hAnsi="Arial"/>
          <w:b/>
          <w:color w:val="000000"/>
          <w:sz w:val="30"/>
        </w:rPr>
        <w:t>2. Backup</w:t>
      </w:r>
    </w:p>
    <w:p>
      <w:pPr>
        <w:spacing w:line="259" w:lineRule="auto" w:after="160"/>
        <w:jc w:val="both"/>
      </w:pPr>
      <w:r>
        <w:rPr>
          <w:rFonts w:ascii="Arial" w:hAnsi="Arial"/>
          <w:b w:val="0"/>
          <w:color w:val="000000"/>
          <w:sz w:val="22"/>
        </w:rPr>
        <w:t>The backup design uses independent recovery layers instead of storing all backups on the same instance. Amazon RDS provides automated backups and a manual database snapshot for point-in-time recovery. A logical MySQL dump is stored in the private S3 backup bucket, with versioning and encryption protecting the stored objects. EBS snapshots and a Data Lifecycle Manager policy preserve the EC2 root volume. This gives the project a database backup path, an off-instance copy, and an instance recovery path.</w:t>
      </w:r>
    </w:p>
    <w:p>
      <w:pPr>
        <w:keepNext/>
        <w:spacing w:before="40" w:after="100"/>
      </w:pPr>
      <w:r>
        <w:rPr>
          <w:rFonts w:ascii="Arial" w:hAnsi="Arial"/>
          <w:b w:val="0"/>
          <w:color w:val="000000"/>
          <w:sz w:val="21"/>
        </w:rPr>
        <w:t>Figure 5: RDS automated backup retention configuration</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keepNext/>
        <w:spacing w:before="40" w:after="100"/>
      </w:pPr>
      <w:r>
        <w:rPr>
          <w:rFonts w:ascii="Arial" w:hAnsi="Arial"/>
          <w:b w:val="0"/>
          <w:color w:val="000000"/>
          <w:sz w:val="21"/>
        </w:rPr>
        <w:t>Figure 6: Manual RDS snapshot created before migration or validation</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r>
        <w:br w:type="page"/>
      </w:r>
    </w:p>
    <w:p>
      <w:pPr>
        <w:keepNext/>
        <w:spacing w:before="40" w:after="100"/>
      </w:pPr>
      <w:r>
        <w:rPr>
          <w:rFonts w:ascii="Arial" w:hAnsi="Arial"/>
          <w:b w:val="0"/>
          <w:color w:val="000000"/>
          <w:sz w:val="21"/>
        </w:rPr>
        <w:t>Figure 7: S3 backup bucket containing the MySQL database dump</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keepNext/>
        <w:spacing w:before="40" w:after="100"/>
      </w:pPr>
      <w:r>
        <w:rPr>
          <w:rFonts w:ascii="Arial" w:hAnsi="Arial"/>
          <w:b w:val="0"/>
          <w:color w:val="000000"/>
          <w:sz w:val="21"/>
        </w:rPr>
        <w:t>Figure 8: S3 default encryption and versioning configuration</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r>
        <w:br w:type="page"/>
      </w:r>
    </w:p>
    <w:p>
      <w:pPr>
        <w:keepNext/>
        <w:spacing w:before="40" w:after="100"/>
      </w:pPr>
      <w:r>
        <w:rPr>
          <w:rFonts w:ascii="Arial" w:hAnsi="Arial"/>
          <w:b w:val="0"/>
          <w:color w:val="000000"/>
          <w:sz w:val="21"/>
        </w:rPr>
        <w:t>Figure 9: EBS snapshot and Data Lifecycle Manager backup policy</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keepNext/>
        <w:spacing w:before="80" w:after="200"/>
      </w:pPr>
      <w:r>
        <w:rPr>
          <w:rFonts w:ascii="Arial" w:hAnsi="Arial"/>
          <w:b/>
          <w:color w:val="000000"/>
          <w:sz w:val="30"/>
        </w:rPr>
        <w:t>3. Migration (Including Database)</w:t>
      </w:r>
    </w:p>
    <w:p>
      <w:pPr>
        <w:spacing w:line="259" w:lineRule="auto" w:after="160"/>
        <w:jc w:val="both"/>
      </w:pPr>
      <w:r>
        <w:rPr>
          <w:rFonts w:ascii="Arial" w:hAnsi="Arial"/>
          <w:b w:val="0"/>
          <w:color w:val="000000"/>
          <w:sz w:val="22"/>
        </w:rPr>
        <w:t>The application database was moved from the legacy instance database to Amazon RDS for MySQL 8.4.9. The existing MySQL schema, tables, application records and supporting database objects were exported and restored into RDS. The Spring Boot application then used its MySQL profile to connect to the managed database by hostname, port and database name. The RDS endpoint is injected through runtime configuration, so passwords and the endpoint are not stored in the source code.</w:t>
      </w:r>
    </w:p>
    <w:p>
      <w:r>
        <w:br w:type="page"/>
      </w:r>
    </w:p>
    <w:p>
      <w:pPr>
        <w:keepNext/>
        <w:spacing w:before="40" w:after="100"/>
      </w:pPr>
      <w:r>
        <w:rPr>
          <w:rFonts w:ascii="Arial" w:hAnsi="Arial"/>
          <w:b w:val="0"/>
          <w:color w:val="000000"/>
          <w:sz w:val="21"/>
        </w:rPr>
        <w:t>Figure 10: Amazon RDS MySQL instance details, endpoint and engine version</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keepNext/>
        <w:spacing w:before="40" w:after="100"/>
      </w:pPr>
      <w:r>
        <w:rPr>
          <w:rFonts w:ascii="Arial" w:hAnsi="Arial"/>
          <w:b w:val="0"/>
          <w:color w:val="000000"/>
          <w:sz w:val="21"/>
        </w:rPr>
        <w:t>Figure 11: CYPHER schema and tables verified inside the RDS database</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r>
        <w:br w:type="page"/>
      </w:r>
    </w:p>
    <w:p>
      <w:pPr>
        <w:keepNext/>
        <w:spacing w:before="40" w:after="100"/>
      </w:pPr>
      <w:r>
        <w:rPr>
          <w:rFonts w:ascii="Arial" w:hAnsi="Arial"/>
          <w:b w:val="0"/>
          <w:color w:val="000000"/>
          <w:sz w:val="21"/>
        </w:rPr>
        <w:t>Figure 12: Backend service running with the MySQL profile and RDS endpoint</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keepNext/>
        <w:spacing w:before="80" w:after="200"/>
      </w:pPr>
      <w:r>
        <w:rPr>
          <w:rFonts w:ascii="Arial" w:hAnsi="Arial"/>
          <w:b/>
          <w:color w:val="000000"/>
          <w:sz w:val="30"/>
        </w:rPr>
        <w:t>4. Validation After Migration</w:t>
      </w:r>
    </w:p>
    <w:p>
      <w:pPr>
        <w:spacing w:line="259" w:lineRule="auto" w:after="160"/>
        <w:jc w:val="both"/>
      </w:pPr>
      <w:r>
        <w:rPr>
          <w:rFonts w:ascii="Arial" w:hAnsi="Arial"/>
          <w:b w:val="0"/>
          <w:color w:val="000000"/>
          <w:sz w:val="22"/>
        </w:rPr>
        <w:t>After the migration, the application was started against the RDS database and checked from the user interface. An existing account was used to sign in, confirming that user records survived the migration. Projects, cameras, incidents and other application data were loaded from RDS, demonstrating that the deployed application, managed database and runtime configuration were working together as one system.</w:t>
      </w:r>
    </w:p>
    <w:p>
      <w:pPr>
        <w:keepNext/>
        <w:spacing w:before="40" w:after="100"/>
      </w:pPr>
      <w:r>
        <w:rPr>
          <w:rFonts w:ascii="Arial" w:hAnsi="Arial"/>
          <w:b w:val="0"/>
          <w:color w:val="000000"/>
          <w:sz w:val="21"/>
        </w:rPr>
        <w:t>Figure 13: Successful application login and dashboard after the RDS migration</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r>
        <w:br w:type="page"/>
      </w:r>
    </w:p>
    <w:p>
      <w:pPr>
        <w:keepNext/>
        <w:spacing w:before="40" w:after="100"/>
      </w:pPr>
      <w:r>
        <w:rPr>
          <w:rFonts w:ascii="Arial" w:hAnsi="Arial"/>
          <w:b w:val="0"/>
          <w:color w:val="000000"/>
          <w:sz w:val="21"/>
        </w:rPr>
        <w:t>Figure 14: Existing user and incident records available after migration</w:t>
      </w:r>
    </w:p>
    <w:tbl>
      <w:tblPr>
        <w:tblW w:type="auto" w:w="0"/>
        <w:jc w:val="center"/>
        <w:tblLayout w:type="fixed"/>
        <w:tblLook w:firstColumn="1" w:firstRow="1" w:lastColumn="0" w:lastRow="0" w:noHBand="0" w:noVBand="1" w:val="04A0"/>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Pr>
      <w:tblGrid>
        <w:gridCol w:w="9638"/>
      </w:tblGrid>
      <w:tr>
        <w:trPr>
          <w:trHeight w:val="3969" w:hRule="atLeast"/>
          <w:tblHeader w:val="true"/>
        </w:trPr>
        <w:tc>
          <w:tcPr>
            <w:tcW w:type="dxa" w:w="9638"/>
            <w:vAlign w:val="center"/>
          </w:tcPr>
          <w:p>
            <w:pPr>
              <w:spacing w:after="0"/>
            </w:pPr>
          </w:p>
        </w:tc>
      </w:tr>
    </w:tbl>
    <w:p>
      <w:pPr>
        <w:spacing w:after="0"/>
      </w:pPr>
    </w:p>
    <w:p>
      <w:pPr>
        <w:spacing w:line="259" w:lineRule="auto" w:after="160"/>
        <w:jc w:val="both"/>
      </w:pPr>
      <w:r>
        <w:rPr>
          <w:rFonts w:ascii="Arial" w:hAnsi="Arial"/>
          <w:b w:val="0"/>
          <w:color w:val="000000"/>
          <w:sz w:val="22"/>
        </w:rPr>
        <w:t>The completed DA2 environment therefore provides stronger access control, multiple backup layers, a managed database, and a verified migration path from the earlier single-instance deployment. The application remains reachable from the EC2 endpoint while the data tier is isolated in RDS.</w:t>
      </w:r>
    </w:p>
    <w:p>
      <w:pPr>
        <w:spacing w:before="880"/>
        <w:jc w:val="center"/>
      </w:pPr>
      <w:r>
        <w:rPr>
          <w:rFonts w:ascii="Arial" w:hAnsi="Arial"/>
          <w:b w:val="0"/>
          <w:color w:val="000000"/>
          <w:sz w:val="22"/>
        </w:rPr>
        <w:t>____________________________________________</w:t>
      </w:r>
    </w:p>
    <w:sectPr w:rsidR="00FC693F" w:rsidRPr="0006063C" w:rsidSect="00034616">
      <w:pgSz w:w="11906" w:h="16838"/>
      <w:pgMar w:top="1020" w:right="1134" w:bottom="964" w:left="1134" w:header="720" w:footer="720" w:gutter="0"/>
      <w:cols w:space="720"/>
      <w:docGrid w:linePitch="360"/>
      <w:pgBorders w:offsetFrom="page">
        <w:top w:val="single" w:sz="4" w:space="22" w:color="000000"/>
        <w:left w:val="single" w:sz="4" w:space="22" w:color="000000"/>
        <w:bottom w:val="single" w:sz="4" w:space="22" w:color="000000"/>
        <w:right w:val="single" w:sz="4" w:space="22"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CYPHER Cloud Architecture Digital Assignment 2</dc:title>
  <dc:subject>Enhanced security, backup and database migration</dc:subject>
  <dc:creator>Adithyan S Nair</dc:creator>
  <cp:keywords>CYPHER, AWS, EC2, RDS, MySQL, S3, EBS, IAM</cp:keywords>
  <dc:description>generated by python-docx</dc:description>
  <cp:lastModifiedBy/>
  <cp:revision>1</cp:revision>
  <dcterms:created xsi:type="dcterms:W3CDTF">2013-12-23T23:15:00Z</dcterms:created>
  <dcterms:modified xsi:type="dcterms:W3CDTF">2013-12-23T23:15:00Z</dcterms:modified>
  <cp:category/>
</cp:coreProperties>
</file>