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47755b47c04e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3f17addc86bb44d4"/>
      <w:headerReference w:type="even" r:id="Rb94634b09b4e4475"/>
      <w:headerReference w:type="first" r:id="Rb6e1120888324db2"/>
      <w:footerReference w:type="default" r:id="R399e1261ec694dea"/>
      <w:footerReference w:type="even" r:id="Rda87d03d80a9432b"/>
      <w:footerReference w:type="first" r:id="R0486647e2cb04db3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6021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01/22/2001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21 years, 10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11/15/2022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21-10)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21-10)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(112-118)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(115-125)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125 (121-128)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(113-121)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(118-125)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(119-124)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(115-121)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(112-118)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(111-123)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(118-124)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(119-129)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125 (120-129)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(107-114)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(103-119)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(118-125)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132 (126-139)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(114-125)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121 (112-129)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131 (125-137)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(4)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c2f1c9c6c27478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42d24cc41704ab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c6660bcc848436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4ca549bb706481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6021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November 15,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0ba1765777947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4c1e3dfe8b4550" /><Relationship Type="http://schemas.openxmlformats.org/officeDocument/2006/relationships/numbering" Target="/word/numbering.xml" Id="Rdd16aaff2ee9458a" /><Relationship Type="http://schemas.openxmlformats.org/officeDocument/2006/relationships/settings" Target="/word/settings.xml" Id="R5c7aa53216564182" /><Relationship Type="http://schemas.openxmlformats.org/officeDocument/2006/relationships/header" Target="/word/header1.xml" Id="R3f17addc86bb44d4" /><Relationship Type="http://schemas.openxmlformats.org/officeDocument/2006/relationships/header" Target="/word/header2.xml" Id="Rb94634b09b4e4475" /><Relationship Type="http://schemas.openxmlformats.org/officeDocument/2006/relationships/header" Target="/word/header3.xml" Id="Rb6e1120888324db2" /><Relationship Type="http://schemas.openxmlformats.org/officeDocument/2006/relationships/footer" Target="/word/footer1.xml" Id="R399e1261ec694dea" /><Relationship Type="http://schemas.openxmlformats.org/officeDocument/2006/relationships/footer" Target="/word/footer2.xml" Id="Rda87d03d80a9432b" /><Relationship Type="http://schemas.openxmlformats.org/officeDocument/2006/relationships/footer" Target="/word/footer3.xml" Id="R0486647e2cb04db3" /><Relationship Type="http://schemas.openxmlformats.org/officeDocument/2006/relationships/image" Target="/word/media/b485a102-8019-49a9-a5c3-d2490da98404.jpeg" Id="Rce8bf2c94f0b43aa" /><Relationship Type="http://schemas.openxmlformats.org/officeDocument/2006/relationships/image" Target="/word/media/fa48c95b-5041-42bd-a071-01cd6bc24769.jpeg" Id="R07bc24013b054951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c2f1c9c6c274784" /><Relationship Type="http://schemas.openxmlformats.org/officeDocument/2006/relationships/image" Target="/word/media/fa48c95b-5041-42bd-a071-01cd6bc24769.jpeg" Id="R442d24cc41704ab8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c6660bcc8484363" /><Relationship Type="http://schemas.openxmlformats.org/officeDocument/2006/relationships/image" Target="/word/media/fa48c95b-5041-42bd-a071-01cd6bc24769.jpeg" Id="Re4ca549bb706481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485a102-8019-49a9-a5c3-d2490da98404.jpeg" Id="R80ba176577794720" /></Relationships>
</file>