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6bafed7789481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b66f704c94914aa5"/>
      <w:headerReference w:type="even" r:id="R7704f13511fd4995"/>
      <w:headerReference w:type="first" r:id="Rc29e1fe44b8c4789"/>
      <w:footerReference w:type="default" r:id="R6bc43370c34941ec"/>
      <w:footerReference w:type="even" r:id="Rc8b328c82c614bf1"/>
      <w:footerReference w:type="first" r:id="R13c545aa72be401d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ecr_00_0028, ecr_00_0028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09/05/1995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27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ecr_00_0028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12/23/2022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27-4)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27-4)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(101-107)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(100-106)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103 (99-106)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(98-107)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106 (103-110)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(96-103)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(103-111)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(111-117)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113 (111-116)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(106-112)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(115-123)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(105-111)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(100-110)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(110-115)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101 (97-105)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120 (116-125)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(102-112)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(105-112)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104 (97-110)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521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17-9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82/90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(91-100)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93/90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102 (97-106)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554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(104-111)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12-6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85/90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95 (91-98)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537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114 (109-120)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(107-117)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515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&gt;22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94/90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106 (100-112)</w:t>
            </w:r>
          </w:p>
        </w:tc>
      </w:tr>
      <w:tr>
        <w:tc>
          <w:tcPr>
            <w:tcW w:w="3258.845443725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66217041015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536</w:t>
            </w:r>
          </w:p>
        </w:tc>
        <w:tc>
          <w:tcPr>
            <w:tcW w:w="507.284030914307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616.63061141967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10.57773590088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112 (107-118)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Advanced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Exceptionally cooperative throughout the examination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confident and self-assured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Prompt but careful in responding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initial problems quickly with no observed difficulties but demonstrated less automaticity with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initial items rapidly and accurately and identified more difficult items through increased application of phoneme-grapheme relationships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(5), substitution (1) and repetition (1)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6750228b644b459a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8ac4577ce79f4e0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d7f80b7e2cc04526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1ada00e5c258473a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ecr_00_0028, ecr_00_0028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December 23,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9e5b1fbbdcd9463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7f0b4638d9d40c4" /><Relationship Type="http://schemas.openxmlformats.org/officeDocument/2006/relationships/numbering" Target="/word/numbering.xml" Id="R84b93b13d0994fff" /><Relationship Type="http://schemas.openxmlformats.org/officeDocument/2006/relationships/settings" Target="/word/settings.xml" Id="Rd17dd267e97b4961" /><Relationship Type="http://schemas.openxmlformats.org/officeDocument/2006/relationships/header" Target="/word/header1.xml" Id="Rb66f704c94914aa5" /><Relationship Type="http://schemas.openxmlformats.org/officeDocument/2006/relationships/header" Target="/word/header2.xml" Id="R7704f13511fd4995" /><Relationship Type="http://schemas.openxmlformats.org/officeDocument/2006/relationships/header" Target="/word/header3.xml" Id="Rc29e1fe44b8c4789" /><Relationship Type="http://schemas.openxmlformats.org/officeDocument/2006/relationships/footer" Target="/word/footer1.xml" Id="R6bc43370c34941ec" /><Relationship Type="http://schemas.openxmlformats.org/officeDocument/2006/relationships/footer" Target="/word/footer2.xml" Id="Rc8b328c82c614bf1" /><Relationship Type="http://schemas.openxmlformats.org/officeDocument/2006/relationships/footer" Target="/word/footer3.xml" Id="R13c545aa72be401d" /><Relationship Type="http://schemas.openxmlformats.org/officeDocument/2006/relationships/image" Target="/word/media/fbedf5d5-3c3e-4e40-96e6-475b7d0f11a1.jpeg" Id="R222a2107f49640ec" /><Relationship Type="http://schemas.openxmlformats.org/officeDocument/2006/relationships/image" Target="/word/media/16ec446b-e317-45a1-9b5f-6df5a52c7f3c.jpeg" Id="Reabe862e53f04499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6750228b644b459a" /><Relationship Type="http://schemas.openxmlformats.org/officeDocument/2006/relationships/image" Target="/word/media/16ec446b-e317-45a1-9b5f-6df5a52c7f3c.jpeg" Id="R8ac4577ce79f4e0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d7f80b7e2cc04526" /><Relationship Type="http://schemas.openxmlformats.org/officeDocument/2006/relationships/image" Target="/word/media/16ec446b-e317-45a1-9b5f-6df5a52c7f3c.jpeg" Id="R1ada00e5c258473a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fbedf5d5-3c3e-4e40-96e6-475b7d0f11a1.jpeg" Id="R9e5b1fbbdcd94636" /></Relationships>
</file>