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95d23f2d92427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f74893ddc0bc402d"/>
      <w:headerReference w:type="even" r:id="R01ccc12d23944711"/>
      <w:headerReference w:type="first" r:id="Rfbf32613afe54383"/>
      <w:footerReference w:type="default" r:id="R99e1e18ff10b40da"/>
      <w:footerReference w:type="even" r:id="R95be3060a7324e7c"/>
      <w:footerReference w:type="first" r:id="Rcc12fd8ddafe46f8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ecr_04_0018, ecr_04_0018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08/04/1993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28 years, 3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ecr_04_0018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10/22/2021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28-3)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28-3)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(95-100)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(100-106)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16-4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(95-101)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(98-105)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(99-106)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(109-117)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(106-112)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(110-115)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(109-115)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(115-123)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(98-103)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18-4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(93-101)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(100-105)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(108-116)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(97-105)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(96-105)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(102-110)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(88-98)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14-8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(87-94)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(105-113)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(111-118)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12-6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124 (117-130)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(111-122)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103 (97-109)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107 (102-113)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tense or worried at times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the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 and mispronunciation (10)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812f6bab65584632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1a3df4802c54b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150876b7fd8446c8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659416a364de4ec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ecr_04_0018, ecr_04_0018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October 22,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ffb2121e6894f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45290bec3024191" /><Relationship Type="http://schemas.openxmlformats.org/officeDocument/2006/relationships/numbering" Target="/word/numbering.xml" Id="R1127fee13bf4425f" /><Relationship Type="http://schemas.openxmlformats.org/officeDocument/2006/relationships/settings" Target="/word/settings.xml" Id="Rdffa2b4645514660" /><Relationship Type="http://schemas.openxmlformats.org/officeDocument/2006/relationships/header" Target="/word/header1.xml" Id="Rf74893ddc0bc402d" /><Relationship Type="http://schemas.openxmlformats.org/officeDocument/2006/relationships/header" Target="/word/header2.xml" Id="R01ccc12d23944711" /><Relationship Type="http://schemas.openxmlformats.org/officeDocument/2006/relationships/header" Target="/word/header3.xml" Id="Rfbf32613afe54383" /><Relationship Type="http://schemas.openxmlformats.org/officeDocument/2006/relationships/footer" Target="/word/footer1.xml" Id="R99e1e18ff10b40da" /><Relationship Type="http://schemas.openxmlformats.org/officeDocument/2006/relationships/footer" Target="/word/footer2.xml" Id="R95be3060a7324e7c" /><Relationship Type="http://schemas.openxmlformats.org/officeDocument/2006/relationships/footer" Target="/word/footer3.xml" Id="Rcc12fd8ddafe46f8" /><Relationship Type="http://schemas.openxmlformats.org/officeDocument/2006/relationships/image" Target="/word/media/59a27415-8081-4ad7-b061-8a07443afcdf.jpeg" Id="Rd7efbc802aa4492d" /><Relationship Type="http://schemas.openxmlformats.org/officeDocument/2006/relationships/image" Target="/word/media/749af0f4-54c8-4382-ad1f-761ea147a494.jpeg" Id="R3f10ad5c4c5746d0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812f6bab65584632" /><Relationship Type="http://schemas.openxmlformats.org/officeDocument/2006/relationships/image" Target="/word/media/749af0f4-54c8-4382-ad1f-761ea147a494.jpeg" Id="R51a3df4802c54b4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150876b7fd8446c8" /><Relationship Type="http://schemas.openxmlformats.org/officeDocument/2006/relationships/image" Target="/word/media/749af0f4-54c8-4382-ad1f-761ea147a494.jpeg" Id="R659416a364de4ece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59a27415-8081-4ad7-b061-8a07443afcdf.jpeg" Id="Rcffb2121e6894f22" /></Relationships>
</file>