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60" w:line="240" w:lineRule="auto"/>
      </w:pPr>
      <w:r>
        <w:rPr>
          <w:rFonts w:ascii="Arial" w:hAnsi="Arial" w:eastAsia="Arial"/>
          <w:b/>
          <w:color w:val="2E668E"/>
          <w:sz w:val="16"/>
        </w:rPr>
        <w:t>INTERNAL DECISION MEMO</w:t>
      </w:r>
    </w:p>
    <w:p>
      <w:pPr>
        <w:spacing w:after="100"/>
        <w:pBdr>
          <w:bottom w:val="single" w:sz="18" w:space="1" w:color="18324A"/>
        </w:pBdr>
      </w:pPr>
    </w:p>
    <w:p>
      <w:pPr>
        <w:keepNext w:val="0"/>
        <w:widowControl/>
        <w:spacing w:before="160" w:after="120" w:line="228" w:lineRule="auto"/>
      </w:pPr>
      <w:r>
        <w:rPr>
          <w:rFonts w:ascii="Arial" w:hAnsi="Arial" w:eastAsia="Arial"/>
          <w:b/>
          <w:color w:val="18324A"/>
          <w:sz w:val="52"/>
        </w:rPr>
        <w:t>Portfolio Decision-System Audit</w:t>
      </w:r>
    </w:p>
    <w:p>
      <w:pPr>
        <w:keepNext w:val="0"/>
        <w:widowControl/>
        <w:spacing w:before="0" w:after="280" w:line="240" w:lineRule="auto"/>
      </w:pPr>
      <w:r>
        <w:rPr>
          <w:rFonts w:ascii="Arial" w:hAnsi="Arial" w:eastAsia="Arial"/>
          <w:color w:val="2E668E"/>
          <w:sz w:val="25"/>
        </w:rPr>
        <w:t>What is built, what is planned, where money is at risk, and what the assistant must learn next</w:t>
      </w:r>
    </w:p>
    <w:tbl>
      <w:tblPr>
        <w:tblW w:type="dxa" w:w="9259"/>
        <w:jc w:val="left"/>
        <w:tblLayout w:type="fixed"/>
        <w:tblLook w:firstColumn="1" w:firstRow="1" w:lastColumn="0" w:lastRow="0" w:noHBand="0" w:noVBand="1" w:val="04A0"/>
        <w:tblInd w:type="dxa" w:w="0"/>
      </w:tblPr>
      <w:tblGrid>
        <w:gridCol w:w="1555"/>
        <w:gridCol w:w="7704"/>
      </w:tblGrid>
      <w:tr>
        <w:tc>
          <w:tcPr>
            <w:tcW w:type="dxa" w:w="1555"/>
            <w:tcMar>
              <w:top w:w="75" w:type="dxa"/>
              <w:start w:w="0" w:type="dxa"/>
              <w:bottom w:w="75" w:type="dxa"/>
              <w:end w:w="90" w:type="dxa"/>
            </w:tcMar>
            <w:tcBorders>
              <w:bottom w:val="single" w:sz="3" w:color="E5E9EC"/>
            </w:tcBorders>
          </w:tcPr>
          <w:p>
            <w:pPr>
              <w:keepNext w:val="0"/>
              <w:widowControl/>
              <w:spacing w:before="0" w:after="0" w:line="240" w:lineRule="auto"/>
            </w:pPr>
            <w:r>
              <w:rPr>
                <w:rFonts w:ascii="Arial" w:hAnsi="Arial" w:eastAsia="Arial"/>
                <w:b/>
                <w:color w:val="61707C"/>
                <w:sz w:val="14"/>
              </w:rPr>
              <w:t>TO</w:t>
            </w:r>
          </w:p>
        </w:tc>
        <w:tc>
          <w:tcPr>
            <w:tcW w:type="dxa" w:w="7704"/>
            <w:tcMar>
              <w:top w:w="75" w:type="dxa"/>
              <w:start w:w="0" w:type="dxa"/>
              <w:bottom w:w="75" w:type="dxa"/>
              <w:end w:w="90" w:type="dxa"/>
            </w:tcMar>
            <w:tcBorders>
              <w:bottom w:val="single" w:sz="3" w:color="E5E9EC"/>
            </w:tcBorders>
          </w:tcPr>
          <w:p>
            <w:pPr>
              <w:keepNext w:val="0"/>
              <w:widowControl/>
              <w:spacing w:before="0" w:after="0" w:line="240" w:lineRule="auto"/>
            </w:pPr>
            <w:r>
              <w:rPr>
                <w:rFonts w:ascii="Arial" w:hAnsi="Arial" w:eastAsia="Arial"/>
                <w:color w:val="26313A"/>
                <w:sz w:val="17"/>
              </w:rPr>
              <w:t>Portfolio owner</w:t>
            </w:r>
          </w:p>
        </w:tc>
      </w:tr>
      <w:tr>
        <w:tc>
          <w:tcPr>
            <w:tcW w:type="dxa" w:w="1555"/>
            <w:tcMar>
              <w:top w:w="75" w:type="dxa"/>
              <w:start w:w="0" w:type="dxa"/>
              <w:bottom w:w="75" w:type="dxa"/>
              <w:end w:w="90" w:type="dxa"/>
            </w:tcMar>
            <w:tcBorders>
              <w:bottom w:val="single" w:sz="3" w:color="E5E9EC"/>
            </w:tcBorders>
          </w:tcPr>
          <w:p>
            <w:pPr>
              <w:keepNext w:val="0"/>
              <w:widowControl/>
              <w:spacing w:before="0" w:after="0" w:line="240" w:lineRule="auto"/>
            </w:pPr>
            <w:r>
              <w:rPr>
                <w:rFonts w:ascii="Arial" w:hAnsi="Arial" w:eastAsia="Arial"/>
                <w:b/>
                <w:color w:val="61707C"/>
                <w:sz w:val="14"/>
              </w:rPr>
              <w:t>DATE</w:t>
            </w:r>
          </w:p>
        </w:tc>
        <w:tc>
          <w:tcPr>
            <w:tcW w:type="dxa" w:w="7704"/>
            <w:tcMar>
              <w:top w:w="75" w:type="dxa"/>
              <w:start w:w="0" w:type="dxa"/>
              <w:bottom w:w="75" w:type="dxa"/>
              <w:end w:w="90" w:type="dxa"/>
            </w:tcMar>
            <w:tcBorders>
              <w:bottom w:val="single" w:sz="3" w:color="E5E9EC"/>
            </w:tcBorders>
          </w:tcPr>
          <w:p>
            <w:pPr>
              <w:keepNext w:val="0"/>
              <w:widowControl/>
              <w:spacing w:before="0" w:after="0" w:line="240" w:lineRule="auto"/>
            </w:pPr>
            <w:r>
              <w:rPr>
                <w:rFonts w:ascii="Arial" w:hAnsi="Arial" w:eastAsia="Arial"/>
                <w:color w:val="26313A"/>
                <w:sz w:val="17"/>
              </w:rPr>
              <w:t>29 July 2026</w:t>
            </w:r>
          </w:p>
        </w:tc>
      </w:tr>
      <w:tr>
        <w:tc>
          <w:tcPr>
            <w:tcW w:type="dxa" w:w="1555"/>
            <w:tcMar>
              <w:top w:w="75" w:type="dxa"/>
              <w:start w:w="0" w:type="dxa"/>
              <w:bottom w:w="75" w:type="dxa"/>
              <w:end w:w="90" w:type="dxa"/>
            </w:tcMar>
            <w:tcBorders>
              <w:bottom w:val="single" w:sz="3" w:color="E5E9EC"/>
            </w:tcBorders>
          </w:tcPr>
          <w:p>
            <w:pPr>
              <w:keepNext w:val="0"/>
              <w:widowControl/>
              <w:spacing w:before="0" w:after="0" w:line="240" w:lineRule="auto"/>
            </w:pPr>
            <w:r>
              <w:rPr>
                <w:rFonts w:ascii="Arial" w:hAnsi="Arial" w:eastAsia="Arial"/>
                <w:b/>
                <w:color w:val="61707C"/>
                <w:sz w:val="14"/>
              </w:rPr>
              <w:t>SCOPE</w:t>
            </w:r>
          </w:p>
        </w:tc>
        <w:tc>
          <w:tcPr>
            <w:tcW w:type="dxa" w:w="7704"/>
            <w:tcMar>
              <w:top w:w="75" w:type="dxa"/>
              <w:start w:w="0" w:type="dxa"/>
              <w:bottom w:w="75" w:type="dxa"/>
              <w:end w:w="90" w:type="dxa"/>
            </w:tcMar>
            <w:tcBorders>
              <w:bottom w:val="single" w:sz="3" w:color="E5E9EC"/>
            </w:tcBorders>
          </w:tcPr>
          <w:p>
            <w:pPr>
              <w:keepNext w:val="0"/>
              <w:widowControl/>
              <w:spacing w:before="0" w:after="0" w:line="240" w:lineRule="auto"/>
            </w:pPr>
            <w:r>
              <w:rPr>
                <w:rFonts w:ascii="Arial" w:hAnsi="Arial" w:eastAsia="Arial"/>
                <w:color w:val="26313A"/>
                <w:sz w:val="17"/>
              </w:rPr>
              <w:t>Branch Agent-Development, HEAD cacf72c; live database copied read-only for diagnostics</w:t>
            </w:r>
          </w:p>
        </w:tc>
      </w:tr>
      <w:tr>
        <w:tc>
          <w:tcPr>
            <w:tcW w:type="dxa" w:w="1555"/>
            <w:tcMar>
              <w:top w:w="75" w:type="dxa"/>
              <w:start w:w="0" w:type="dxa"/>
              <w:bottom w:w="75" w:type="dxa"/>
              <w:end w:w="90" w:type="dxa"/>
            </w:tcMar>
            <w:tcBorders>
              <w:bottom w:val="single" w:sz="3" w:color="E5E9EC"/>
            </w:tcBorders>
          </w:tcPr>
          <w:p>
            <w:pPr>
              <w:keepNext w:val="0"/>
              <w:widowControl/>
              <w:spacing w:before="0" w:after="0" w:line="240" w:lineRule="auto"/>
            </w:pPr>
            <w:r>
              <w:rPr>
                <w:rFonts w:ascii="Arial" w:hAnsi="Arial" w:eastAsia="Arial"/>
                <w:b/>
                <w:color w:val="61707C"/>
                <w:sz w:val="14"/>
              </w:rPr>
              <w:t>STATUS</w:t>
            </w:r>
          </w:p>
        </w:tc>
        <w:tc>
          <w:tcPr>
            <w:tcW w:type="dxa" w:w="7704"/>
            <w:tcMar>
              <w:top w:w="75" w:type="dxa"/>
              <w:start w:w="0" w:type="dxa"/>
              <w:bottom w:w="75" w:type="dxa"/>
              <w:end w:w="90" w:type="dxa"/>
            </w:tcMar>
            <w:tcBorders>
              <w:bottom w:val="single" w:sz="3" w:color="E5E9EC"/>
            </w:tcBorders>
          </w:tcPr>
          <w:p>
            <w:pPr>
              <w:keepNext w:val="0"/>
              <w:widowControl/>
              <w:spacing w:before="0" w:after="0" w:line="240" w:lineRule="auto"/>
            </w:pPr>
            <w:r>
              <w:rPr>
                <w:rFonts w:ascii="Arial" w:hAnsi="Arial" w:eastAsia="Arial"/>
                <w:color w:val="26313A"/>
                <w:sz w:val="17"/>
              </w:rPr>
              <w:t>Review and roadmap only — no source, configuration, database, or investment action implemented</w:t>
            </w:r>
          </w:p>
        </w:tc>
      </w:tr>
    </w:tbl>
    <w:p>
      <w:pPr>
        <w:keepNext w:val="0"/>
        <w:widowControl/>
        <w:spacing w:before="0" w:after="60" w:line="259" w:lineRule="auto"/>
      </w:pPr>
      <w:r>
        <w:rPr>
          <w:rFonts w:ascii="Arial" w:hAnsi="Arial" w:eastAsia="Arial"/>
          <w:b w:val="0"/>
          <w:i w:val="0"/>
          <w:color w:val="26313A"/>
          <w:sz w:val="19"/>
        </w:rPr>
      </w:r>
    </w:p>
    <w:tbl>
      <w:tblPr>
        <w:tblW w:type="dxa" w:w="9331"/>
        <w:jc w:val="center"/>
        <w:tblLayout w:type="fixed"/>
        <w:tblLook w:firstColumn="1" w:firstRow="1" w:lastColumn="0" w:lastRow="0" w:noHBand="0" w:noVBand="1" w:val="04A0"/>
        <w:tblInd w:type="dxa" w:w="0"/>
      </w:tblPr>
      <w:tblGrid>
        <w:gridCol w:w="144"/>
        <w:gridCol w:w="9187"/>
      </w:tblGrid>
      <w:tr>
        <w:tc>
          <w:tcPr>
            <w:tcW w:type="dxa" w:w="144"/>
            <w:shd w:fill="A66A16" w:val="clear"/>
            <w:tcMar>
              <w:top w:w="0" w:type="dxa"/>
              <w:start w:w="0" w:type="dxa"/>
              <w:bottom w:w="0" w:type="dxa"/>
              <w:end w:w="0" w:type="dxa"/>
            </w:tcMar>
            <w:tcBorders>
              <w:top w:val="nil"/>
              <w:left w:val="nil"/>
              <w:bottom w:val="nil"/>
              <w:right w:val="nil"/>
            </w:tcBorders>
          </w:tcPr>
          <w:p/>
        </w:tc>
        <w:tc>
          <w:tcPr>
            <w:tcW w:type="dxa" w:w="9187"/>
            <w:shd w:fill="FFF2D8" w:val="clear"/>
            <w:tcMar>
              <w:top w:w="0" w:type="dxa"/>
              <w:start w:w="0" w:type="dxa"/>
              <w:bottom w:w="0" w:type="dxa"/>
              <w:end w:w="0" w:type="dxa"/>
            </w:tcMar>
            <w:tcBorders>
              <w:top w:val="nil"/>
              <w:left w:val="nil"/>
              <w:bottom w:val="nil"/>
              <w:right w:val="nil"/>
            </w:tcBorders>
          </w:tcPr>
          <w:p>
            <w:pPr>
              <w:spacing w:after="40" w:before="120"/>
              <w:ind w:left="173" w:right="173"/>
            </w:pPr>
            <w:r>
              <w:rPr>
                <w:rFonts w:ascii="Arial" w:hAnsi="Arial" w:eastAsia="Arial"/>
                <w:b/>
                <w:color w:val="A66A16"/>
                <w:sz w:val="18"/>
              </w:rPr>
              <w:t>DECISION</w:t>
            </w:r>
          </w:p>
          <w:p>
            <w:pPr>
              <w:keepNext w:val="0"/>
              <w:widowControl/>
              <w:spacing w:before="0" w:after="120" w:line="254" w:lineRule="auto"/>
              <w:ind w:left="173" w:right="173"/>
            </w:pPr>
            <w:r>
              <w:rPr>
                <w:rFonts w:ascii="Arial" w:hAnsi="Arial" w:eastAsia="Arial"/>
                <w:color w:val="26313A"/>
                <w:sz w:val="18"/>
              </w:rPr>
              <w:t>Do not add technical indicators or more autonomous recommendations yet. First make the assistant's inputs, portfolio policy, and recommendation semantics trustworthy. The repository already has enough plumbing; the highest-return work is correcting decision integrity and closing the feedback loop.</w:t>
            </w:r>
          </w:p>
        </w:tc>
      </w:tr>
    </w:tbl>
    <w:p>
      <w:pPr>
        <w:spacing w:after="0"/>
      </w:pPr>
    </w:p>
    <w:p>
      <w:pPr>
        <w:pStyle w:val="Heading2"/>
        <w:keepNext/>
        <w:widowControl/>
        <w:spacing w:before="200" w:after="100" w:line="240" w:lineRule="auto"/>
      </w:pPr>
      <w:r>
        <w:rPr>
          <w:rFonts w:ascii="Arial" w:hAnsi="Arial" w:eastAsia="Arial"/>
          <w:b/>
          <w:color w:val="2E668E"/>
          <w:sz w:val="24"/>
        </w:rPr>
        <w:t>The five findings to act on first</w:t>
      </w:r>
    </w:p>
    <w:p>
      <w:pPr>
        <w:pStyle w:val="ListBullet"/>
        <w:keepNext w:val="0"/>
        <w:widowControl/>
        <w:spacing w:before="0" w:after="50" w:line="250" w:lineRule="auto"/>
        <w:ind w:left="360" w:hanging="202"/>
      </w:pPr>
      <w:r>
        <w:rPr>
          <w:rFonts w:ascii="Arial" w:hAnsi="Arial" w:eastAsia="Arial"/>
          <w:color w:val="26313A"/>
          <w:sz w:val="18"/>
        </w:rPr>
        <w:t>Portfolio weights used by the classifier mix CAD and USD. The decision layer can see a different position size from the analytics layer, so portfolio-fit scores and verdict bands can be wrong.</w:t>
      </w:r>
    </w:p>
    <w:p>
      <w:pPr>
        <w:pStyle w:val="ListBullet"/>
        <w:keepNext w:val="0"/>
        <w:widowControl/>
        <w:spacing w:before="0" w:after="50" w:line="250" w:lineRule="auto"/>
        <w:ind w:left="360" w:hanging="202"/>
      </w:pPr>
      <w:r>
        <w:rPr>
          <w:rFonts w:ascii="Arial" w:hAnsi="Arial" w:eastAsia="Arial"/>
          <w:color w:val="26313A"/>
          <w:sz w:val="18"/>
        </w:rPr>
        <w:t>The stated sleeve targets add to 105%. Every rebalance alert is therefore judged against a policy that cannot be satisfied.</w:t>
      </w:r>
    </w:p>
    <w:p>
      <w:pPr>
        <w:pStyle w:val="ListBullet"/>
        <w:keepNext w:val="0"/>
        <w:widowControl/>
        <w:spacing w:before="0" w:after="50" w:line="250" w:lineRule="auto"/>
        <w:ind w:left="360" w:hanging="202"/>
      </w:pPr>
      <w:r>
        <w:rPr>
          <w:rFonts w:ascii="Arial" w:hAnsi="Arial" w:eastAsia="Arial"/>
          <w:color w:val="26313A"/>
          <w:sz w:val="18"/>
        </w:rPr>
        <w:t>All 27 market prices in the audit snapshot were stale; the Knowledge Base was also behind the live database. A structurally valid memo can still be economically obsolete.</w:t>
      </w:r>
    </w:p>
    <w:p>
      <w:pPr>
        <w:pStyle w:val="ListBullet"/>
        <w:keepNext w:val="0"/>
        <w:widowControl/>
        <w:spacing w:before="0" w:after="50" w:line="250" w:lineRule="auto"/>
        <w:ind w:left="360" w:hanging="202"/>
      </w:pPr>
      <w:r>
        <w:rPr>
          <w:rFonts w:ascii="Arial" w:hAnsi="Arial" w:eastAsia="Arial"/>
          <w:color w:val="26313A"/>
          <w:sz w:val="18"/>
        </w:rPr>
        <w:t>The rubric's universal gates misread sector-specific accounting. In the real artifacts, analysts explicitly dissented from mechanical Sell decisions for BN and ENB.</w:t>
      </w:r>
    </w:p>
    <w:p>
      <w:pPr>
        <w:pStyle w:val="ListBullet"/>
        <w:keepNext w:val="0"/>
        <w:widowControl/>
        <w:spacing w:before="0" w:after="50" w:line="250" w:lineRule="auto"/>
        <w:ind w:left="360" w:hanging="202"/>
      </w:pPr>
      <w:r>
        <w:rPr>
          <w:rFonts w:ascii="Arial" w:hAnsi="Arial" w:eastAsia="Arial"/>
          <w:color w:val="26313A"/>
          <w:sz w:val="18"/>
        </w:rPr>
        <w:t>Direct cost drag is measurable (about CAD 43.45 of estimated FX fees), while MER, withholding-tax drag, and decision outcomes are not measured at all.</w:t>
      </w:r>
    </w:p>
    <w:p>
      <w:pPr>
        <w:keepNext w:val="0"/>
        <w:widowControl/>
        <w:spacing w:before="160" w:after="0" w:line="259" w:lineRule="auto"/>
      </w:pPr>
      <w:r>
        <w:rPr>
          <w:rFonts w:ascii="Arial" w:hAnsi="Arial" w:eastAsia="Arial"/>
          <w:b w:val="0"/>
          <w:i/>
          <w:color w:val="61707C"/>
          <w:sz w:val="16"/>
        </w:rPr>
        <w:t>This is not a security-level buy/sell recommendation. Market data is stale, the owner's goals and risk capacity are not encoded, and tax treatment requires account-specific professional confirmation.</w:t>
      </w:r>
    </w:p>
    <w:p>
      <w:r>
        <w:br w:type="page"/>
      </w:r>
    </w:p>
    <w:p>
      <w:pPr>
        <w:pStyle w:val="Heading1"/>
        <w:keepNext/>
        <w:widowControl/>
        <w:spacing w:before="0" w:after="160" w:line="240" w:lineRule="auto"/>
      </w:pPr>
      <w:r>
        <w:rPr>
          <w:rFonts w:ascii="Arial" w:hAnsi="Arial" w:eastAsia="Arial"/>
          <w:b/>
          <w:color w:val="18324A"/>
          <w:sz w:val="32"/>
        </w:rPr>
        <w:t>1. Executive assessment</w:t>
      </w:r>
    </w:p>
    <w:tbl>
      <w:tblPr>
        <w:tblW w:type="dxa" w:w="9332"/>
        <w:jc w:val="center"/>
        <w:tblLayout w:type="fixed"/>
        <w:tblLook w:firstColumn="1" w:firstRow="1" w:lastColumn="0" w:lastRow="0" w:noHBand="0" w:noVBand="1" w:val="04A0"/>
        <w:tblInd w:type="dxa" w:w="90"/>
      </w:tblPr>
      <w:tblGrid>
        <w:gridCol w:w="2333"/>
        <w:gridCol w:w="2333"/>
        <w:gridCol w:w="2333"/>
        <w:gridCol w:w="2333"/>
      </w:tblGrid>
      <w:tr>
        <w:tc>
          <w:tcPr>
            <w:tcW w:type="dxa" w:w="2333"/>
            <w:shd w:fill="EFF5F9" w:val="clear"/>
            <w:tcMar>
              <w:top w:w="125" w:type="dxa"/>
              <w:start w:w="90" w:type="dxa"/>
              <w:bottom w:w="125" w:type="dxa"/>
              <w:end w:w="90" w:type="dxa"/>
            </w:tcMar>
            <w:tcBorders>
              <w:top w:val="single" w:sz="3" w:color="FFFFFF"/>
              <w:left w:val="single" w:sz="3" w:color="FFFFFF"/>
              <w:bottom w:val="single" w:sz="3" w:color="FFFFFF"/>
              <w:right w:val="single" w:sz="3" w:color="FFFFFF"/>
            </w:tcBorders>
          </w:tcPr>
          <w:p>
            <w:pPr>
              <w:jc w:val="center"/>
            </w:pPr>
            <w:r>
              <w:rPr>
                <w:rFonts w:ascii="Arial" w:hAnsi="Arial" w:eastAsia="Arial"/>
                <w:b/>
                <w:color w:val="2E668E"/>
                <w:sz w:val="34"/>
              </w:rPr>
              <w:t>27</w:t>
            </w:r>
          </w:p>
          <w:p>
            <w:pPr>
              <w:keepNext w:val="0"/>
              <w:widowControl/>
              <w:spacing w:before="40" w:after="0" w:line="240" w:lineRule="auto"/>
              <w:jc w:val="center"/>
            </w:pPr>
            <w:r>
              <w:rPr>
                <w:rFonts w:ascii="Arial" w:hAnsi="Arial" w:eastAsia="Arial"/>
                <w:b/>
                <w:color w:val="61707C"/>
                <w:sz w:val="13"/>
              </w:rPr>
              <w:t>HOLDINGS</w:t>
            </w:r>
          </w:p>
        </w:tc>
        <w:tc>
          <w:tcPr>
            <w:tcW w:type="dxa" w:w="2333"/>
            <w:shd w:fill="EFF5F9" w:val="clear"/>
            <w:tcMar>
              <w:top w:w="125" w:type="dxa"/>
              <w:start w:w="90" w:type="dxa"/>
              <w:bottom w:w="125" w:type="dxa"/>
              <w:end w:w="90" w:type="dxa"/>
            </w:tcMar>
            <w:tcBorders>
              <w:top w:val="single" w:sz="3" w:color="FFFFFF"/>
              <w:left w:val="single" w:sz="3" w:color="FFFFFF"/>
              <w:bottom w:val="single" w:sz="3" w:color="FFFFFF"/>
              <w:right w:val="single" w:sz="3" w:color="FFFFFF"/>
            </w:tcBorders>
          </w:tcPr>
          <w:p>
            <w:pPr>
              <w:jc w:val="center"/>
            </w:pPr>
            <w:r>
              <w:rPr>
                <w:rFonts w:ascii="Arial" w:hAnsi="Arial" w:eastAsia="Arial"/>
                <w:b/>
                <w:color w:val="2E668E"/>
                <w:sz w:val="34"/>
              </w:rPr>
              <w:t>CAD 5,763</w:t>
            </w:r>
          </w:p>
          <w:p>
            <w:pPr>
              <w:keepNext w:val="0"/>
              <w:widowControl/>
              <w:spacing w:before="40" w:after="0" w:line="240" w:lineRule="auto"/>
              <w:jc w:val="center"/>
            </w:pPr>
            <w:r>
              <w:rPr>
                <w:rFonts w:ascii="Arial" w:hAnsi="Arial" w:eastAsia="Arial"/>
                <w:b/>
                <w:color w:val="61707C"/>
                <w:sz w:val="13"/>
              </w:rPr>
              <w:t>PORTFOLIO VALUE</w:t>
            </w:r>
          </w:p>
        </w:tc>
        <w:tc>
          <w:tcPr>
            <w:tcW w:type="dxa" w:w="2333"/>
            <w:shd w:fill="F8E5E3" w:val="clear"/>
            <w:tcMar>
              <w:top w:w="125" w:type="dxa"/>
              <w:start w:w="90" w:type="dxa"/>
              <w:bottom w:w="125" w:type="dxa"/>
              <w:end w:w="90" w:type="dxa"/>
            </w:tcMar>
            <w:tcBorders>
              <w:top w:val="single" w:sz="3" w:color="FFFFFF"/>
              <w:left w:val="single" w:sz="3" w:color="FFFFFF"/>
              <w:bottom w:val="single" w:sz="3" w:color="FFFFFF"/>
              <w:right w:val="single" w:sz="3" w:color="FFFFFF"/>
            </w:tcBorders>
          </w:tcPr>
          <w:p>
            <w:pPr>
              <w:jc w:val="center"/>
            </w:pPr>
            <w:r>
              <w:rPr>
                <w:rFonts w:ascii="Arial" w:hAnsi="Arial" w:eastAsia="Arial"/>
                <w:b/>
                <w:color w:val="A64040"/>
                <w:sz w:val="34"/>
              </w:rPr>
              <w:t>42.3%</w:t>
            </w:r>
          </w:p>
          <w:p>
            <w:pPr>
              <w:keepNext w:val="0"/>
              <w:widowControl/>
              <w:spacing w:before="40" w:after="0" w:line="240" w:lineRule="auto"/>
              <w:jc w:val="center"/>
            </w:pPr>
            <w:r>
              <w:rPr>
                <w:rFonts w:ascii="Arial" w:hAnsi="Arial" w:eastAsia="Arial"/>
                <w:b/>
                <w:color w:val="61707C"/>
                <w:sz w:val="13"/>
              </w:rPr>
              <w:t>TECHNOLOGY LOOK-THROUGH</w:t>
            </w:r>
          </w:p>
        </w:tc>
        <w:tc>
          <w:tcPr>
            <w:tcW w:type="dxa" w:w="2333"/>
            <w:shd w:fill="FFF2D8" w:val="clear"/>
            <w:tcMar>
              <w:top w:w="125" w:type="dxa"/>
              <w:start w:w="90" w:type="dxa"/>
              <w:bottom w:w="125" w:type="dxa"/>
              <w:end w:w="90" w:type="dxa"/>
            </w:tcMar>
            <w:tcBorders>
              <w:top w:val="single" w:sz="3" w:color="FFFFFF"/>
              <w:left w:val="single" w:sz="3" w:color="FFFFFF"/>
              <w:bottom w:val="single" w:sz="3" w:color="FFFFFF"/>
              <w:right w:val="single" w:sz="3" w:color="FFFFFF"/>
            </w:tcBorders>
          </w:tcPr>
          <w:p>
            <w:pPr>
              <w:jc w:val="center"/>
            </w:pPr>
            <w:r>
              <w:rPr>
                <w:rFonts w:ascii="Arial" w:hAnsi="Arial" w:eastAsia="Arial"/>
                <w:b/>
                <w:color w:val="A66A16"/>
                <w:sz w:val="34"/>
              </w:rPr>
              <w:t>53.1%</w:t>
            </w:r>
          </w:p>
          <w:p>
            <w:pPr>
              <w:keepNext w:val="0"/>
              <w:widowControl/>
              <w:spacing w:before="40" w:after="0" w:line="240" w:lineRule="auto"/>
              <w:jc w:val="center"/>
            </w:pPr>
            <w:r>
              <w:rPr>
                <w:rFonts w:ascii="Arial" w:hAnsi="Arial" w:eastAsia="Arial"/>
                <w:b/>
                <w:color w:val="61707C"/>
                <w:sz w:val="13"/>
              </w:rPr>
              <w:t>USD EXPOSURE</w:t>
            </w:r>
          </w:p>
        </w:tc>
      </w:tr>
    </w:tbl>
    <w:p>
      <w:pPr>
        <w:spacing w:after="20"/>
      </w:pPr>
    </w:p>
    <w:p>
      <w:pPr>
        <w:keepNext w:val="0"/>
        <w:widowControl/>
        <w:spacing w:before="0" w:after="100" w:line="259" w:lineRule="auto"/>
      </w:pPr>
      <w:r>
        <w:rPr>
          <w:rFonts w:ascii="Arial" w:hAnsi="Arial" w:eastAsia="Arial"/>
          <w:b w:val="0"/>
          <w:i w:val="0"/>
          <w:color w:val="26313A"/>
          <w:sz w:val="19"/>
        </w:rPr>
        <w:t>The repository is technically substantial. It ingests broker records, reconciles positions, stores a versioned local database, computes professional-grade performance and exposure analytics, enriches holdings, runs a deterministic research rubric, maintains a Markdown Knowledge Base, and serves a dashboard. The system is much closer to a portfolio operating platform than to a toy stock picker.</w:t>
      </w:r>
    </w:p>
    <w:p>
      <w:pPr>
        <w:keepNext w:val="0"/>
        <w:widowControl/>
        <w:spacing w:before="0" w:after="100" w:line="259" w:lineRule="auto"/>
      </w:pPr>
      <w:r>
        <w:rPr>
          <w:rFonts w:ascii="Arial" w:hAnsi="Arial" w:eastAsia="Arial"/>
          <w:b w:val="0"/>
          <w:i w:val="0"/>
          <w:color w:val="26313A"/>
          <w:sz w:val="19"/>
        </w:rPr>
        <w:t>Its weakest layer is the one that decides what to do. Several decision-critical facts are stale, internally inconsistent, or economically mis-specified. More research volume will amplify those defects unless the workflow first proves that the position, currency, policy, source date, and account context are correct.</w:t>
      </w:r>
    </w:p>
    <w:p>
      <w:pPr>
        <w:pStyle w:val="Heading2"/>
        <w:keepNext/>
        <w:widowControl/>
        <w:spacing w:before="200" w:after="100" w:line="240" w:lineRule="auto"/>
      </w:pPr>
      <w:r>
        <w:rPr>
          <w:rFonts w:ascii="Arial" w:hAnsi="Arial" w:eastAsia="Arial"/>
          <w:b/>
          <w:color w:val="2E668E"/>
          <w:sz w:val="24"/>
        </w:rPr>
        <w:t>Where money is actually at risk</w:t>
      </w:r>
    </w:p>
    <w:tbl>
      <w:tblPr>
        <w:tblW w:type="dxa" w:w="9331"/>
        <w:jc w:val="center"/>
        <w:tblLayout w:type="fixed"/>
        <w:tblLook w:firstColumn="1" w:firstRow="1" w:lastColumn="0" w:lastRow="0" w:noHBand="0" w:noVBand="1" w:val="04A0"/>
        <w:tblInd w:type="dxa" w:w="95"/>
      </w:tblPr>
      <w:tblGrid>
        <w:gridCol w:w="691"/>
        <w:gridCol w:w="1699"/>
        <w:gridCol w:w="3283"/>
        <w:gridCol w:w="3658"/>
      </w:tblGrid>
      <w:tr>
        <w:trPr>
          <w:tblHeader w:val="true"/>
          <w:cantSplit/>
        </w:trPr>
        <w:tc>
          <w:tcPr>
            <w:tcW w:type="dxa" w:w="691"/>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Priority</w:t>
            </w:r>
          </w:p>
        </w:tc>
        <w:tc>
          <w:tcPr>
            <w:tcW w:type="dxa" w:w="1699"/>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Leak / exposure</w:t>
            </w:r>
          </w:p>
        </w:tc>
        <w:tc>
          <w:tcPr>
            <w:tcW w:type="dxa" w:w="3283"/>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How it costs money</w:t>
            </w:r>
          </w:p>
        </w:tc>
        <w:tc>
          <w:tcPr>
            <w:tcW w:type="dxa" w:w="3658"/>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Evidence in this audit</w:t>
            </w:r>
          </w:p>
        </w:tc>
      </w:tr>
      <w:tr>
        <w:trPr>
          <w:cantSplit/>
        </w:trPr>
        <w:tc>
          <w:tcPr>
            <w:tcW w:type="dxa" w:w="691"/>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P0</w:t>
            </w:r>
          </w:p>
        </w:tc>
        <w:tc>
          <w:tcPr>
            <w:tcW w:type="dxa" w:w="1699"/>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Wrong position weights</w:t>
            </w:r>
          </w:p>
        </w:tc>
        <w:tc>
          <w:tcPr>
            <w:tcW w:type="dxa" w:w="3283"/>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Mis-sizes portfolio-fit and can cross action bands.</w:t>
            </w:r>
          </w:p>
        </w:tc>
        <w:tc>
          <w:tcPr>
            <w:tcW w:type="dxa" w:w="3658"/>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Classifier multiplies quantity × listing-currency price without FX; analytics correctly normalizes to CAD.</w:t>
            </w:r>
          </w:p>
        </w:tc>
      </w:tr>
      <w:tr>
        <w:trPr>
          <w:cantSplit/>
        </w:trPr>
        <w:tc>
          <w:tcPr>
            <w:tcW w:type="dxa" w:w="691"/>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P0</w:t>
            </w:r>
          </w:p>
        </w:tc>
        <w:tc>
          <w:tcPr>
            <w:tcW w:type="dxa" w:w="1699"/>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Stale decision state</w:t>
            </w:r>
          </w:p>
        </w:tc>
        <w:tc>
          <w:tcPr>
            <w:tcW w:type="dxa" w:w="3283"/>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Acts on prices, holdings, and theses that no longer match the portfolio.</w:t>
            </w:r>
          </w:p>
        </w:tc>
        <w:tc>
          <w:tcPr>
            <w:tcW w:type="dxa" w:w="3658"/>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All 27 price observations were dated 17 Jul; KB pages reflected an older 26-holding snapshot.</w:t>
            </w:r>
          </w:p>
        </w:tc>
      </w:tr>
      <w:tr>
        <w:trPr>
          <w:cantSplit/>
        </w:trPr>
        <w:tc>
          <w:tcPr>
            <w:tcW w:type="dxa" w:w="691"/>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P0</w:t>
            </w:r>
          </w:p>
        </w:tc>
        <w:tc>
          <w:tcPr>
            <w:tcW w:type="dxa" w:w="1699"/>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Impossible allocation policy</w:t>
            </w:r>
          </w:p>
        </w:tc>
        <w:tc>
          <w:tcPr>
            <w:tcW w:type="dxa" w:w="3283"/>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Produces permanent, noisy rebalance breaches; no action can satisfy it.</w:t>
            </w:r>
          </w:p>
        </w:tc>
        <w:tc>
          <w:tcPr>
            <w:tcW w:type="dxa" w:w="3658"/>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Target points total 105% before cash.</w:t>
            </w:r>
          </w:p>
        </w:tc>
      </w:tr>
      <w:tr>
        <w:trPr>
          <w:cantSplit/>
        </w:trPr>
        <w:tc>
          <w:tcPr>
            <w:tcW w:type="dxa" w:w="691"/>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P1</w:t>
            </w:r>
          </w:p>
        </w:tc>
        <w:tc>
          <w:tcPr>
            <w:tcW w:type="dxa" w:w="1699"/>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False precision in rubric gates</w:t>
            </w:r>
          </w:p>
        </w:tc>
        <w:tc>
          <w:tcPr>
            <w:tcW w:type="dxa" w:w="3283"/>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Can trigger unnecessary sales, taxes, spreads, or missed compounding.</w:t>
            </w:r>
          </w:p>
        </w:tc>
        <w:tc>
          <w:tcPr>
            <w:tcW w:type="dxa" w:w="3658"/>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Analyst artifacts dissent from generic solvency/dividend gates on BN and ENB.</w:t>
            </w:r>
          </w:p>
        </w:tc>
      </w:tr>
      <w:tr>
        <w:trPr>
          <w:cantSplit/>
        </w:trPr>
        <w:tc>
          <w:tcPr>
            <w:tcW w:type="dxa" w:w="691"/>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P1</w:t>
            </w:r>
          </w:p>
        </w:tc>
        <w:tc>
          <w:tcPr>
            <w:tcW w:type="dxa" w:w="1699"/>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Hidden total exposure</w:t>
            </w:r>
          </w:p>
        </w:tc>
        <w:tc>
          <w:tcPr>
            <w:tcW w:type="dxa" w:w="3283"/>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Understates single-issuer and factor crowding across ETFs and direct shares.</w:t>
            </w:r>
          </w:p>
        </w:tc>
        <w:tc>
          <w:tcPr>
            <w:tcW w:type="dxa" w:w="3658"/>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42.3% technology; current overlap covers ETF top-holding intersections, not direct-stock + nested-fund exposure.</w:t>
            </w:r>
          </w:p>
        </w:tc>
      </w:tr>
      <w:tr>
        <w:trPr>
          <w:cantSplit/>
        </w:trPr>
        <w:tc>
          <w:tcPr>
            <w:tcW w:type="dxa" w:w="691"/>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P1</w:t>
            </w:r>
          </w:p>
        </w:tc>
        <w:tc>
          <w:tcPr>
            <w:tcW w:type="dxa" w:w="1699"/>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Unmeasured ownership drag</w:t>
            </w:r>
          </w:p>
        </w:tc>
        <w:tc>
          <w:tcPr>
            <w:tcW w:type="dxa" w:w="3283"/>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Costs compound silently and cannot be optimized.</w:t>
            </w:r>
          </w:p>
        </w:tc>
        <w:tc>
          <w:tcPr>
            <w:tcW w:type="dxa" w:w="3658"/>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FX-fee estimate exists; MER fields are null and withholding drag is not account-aware.</w:t>
            </w:r>
          </w:p>
        </w:tc>
      </w:tr>
      <w:tr>
        <w:trPr>
          <w:cantSplit/>
        </w:trPr>
        <w:tc>
          <w:tcPr>
            <w:tcW w:type="dxa" w:w="691"/>
            <w:shd w:fill="EFF5F9"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P2</w:t>
            </w:r>
          </w:p>
        </w:tc>
        <w:tc>
          <w:tcPr>
            <w:tcW w:type="dxa" w:w="1699"/>
            <w:shd w:fill="EFF5F9"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No outcome feedback</w:t>
            </w:r>
          </w:p>
        </w:tc>
        <w:tc>
          <w:tcPr>
            <w:tcW w:type="dxa" w:w="3283"/>
            <w:shd w:fill="EFF5F9"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The rubric can change actions without learning whether prior forecasts were useful.</w:t>
            </w:r>
          </w:p>
        </w:tc>
        <w:tc>
          <w:tcPr>
            <w:tcW w:type="dxa" w:w="3658"/>
            <w:shd w:fill="EFF5F9"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Logs record proposed actions, not forecast accuracy, realized trades, or decision attribution.</w:t>
            </w:r>
          </w:p>
        </w:tc>
      </w:tr>
    </w:tbl>
    <w:p>
      <w:pPr>
        <w:spacing w:after="20"/>
      </w:pPr>
    </w:p>
    <w:tbl>
      <w:tblPr>
        <w:tblW w:type="dxa" w:w="9331"/>
        <w:jc w:val="center"/>
        <w:tblLayout w:type="fixed"/>
        <w:tblLook w:firstColumn="1" w:firstRow="1" w:lastColumn="0" w:lastRow="0" w:noHBand="0" w:noVBand="1" w:val="04A0"/>
        <w:tblInd w:type="dxa" w:w="0"/>
      </w:tblPr>
      <w:tblGrid>
        <w:gridCol w:w="144"/>
        <w:gridCol w:w="9187"/>
      </w:tblGrid>
      <w:tr>
        <w:tc>
          <w:tcPr>
            <w:tcW w:type="dxa" w:w="144"/>
            <w:shd w:fill="2E668E" w:val="clear"/>
            <w:tcMar>
              <w:top w:w="0" w:type="dxa"/>
              <w:start w:w="0" w:type="dxa"/>
              <w:bottom w:w="0" w:type="dxa"/>
              <w:end w:w="0" w:type="dxa"/>
            </w:tcMar>
            <w:tcBorders>
              <w:top w:val="nil"/>
              <w:left w:val="nil"/>
              <w:bottom w:val="nil"/>
              <w:right w:val="nil"/>
            </w:tcBorders>
          </w:tcPr>
          <w:p/>
        </w:tc>
        <w:tc>
          <w:tcPr>
            <w:tcW w:type="dxa" w:w="9187"/>
            <w:shd w:fill="EFF5F9" w:val="clear"/>
            <w:tcMar>
              <w:top w:w="0" w:type="dxa"/>
              <w:start w:w="0" w:type="dxa"/>
              <w:bottom w:w="0" w:type="dxa"/>
              <w:end w:w="0" w:type="dxa"/>
            </w:tcMar>
            <w:tcBorders>
              <w:top w:val="nil"/>
              <w:left w:val="nil"/>
              <w:bottom w:val="nil"/>
              <w:right w:val="nil"/>
            </w:tcBorders>
          </w:tcPr>
          <w:p>
            <w:pPr>
              <w:spacing w:after="40" w:before="120"/>
              <w:ind w:left="173" w:right="173"/>
            </w:pPr>
            <w:r>
              <w:rPr>
                <w:rFonts w:ascii="Arial" w:hAnsi="Arial" w:eastAsia="Arial"/>
                <w:b/>
                <w:color w:val="2E668E"/>
                <w:sz w:val="18"/>
              </w:rPr>
              <w:t>Portfolio-manager conclusion</w:t>
            </w:r>
          </w:p>
          <w:p>
            <w:pPr>
              <w:keepNext w:val="0"/>
              <w:widowControl/>
              <w:spacing w:before="0" w:after="120" w:line="254" w:lineRule="auto"/>
              <w:ind w:left="173" w:right="173"/>
            </w:pPr>
            <w:r>
              <w:rPr>
                <w:rFonts w:ascii="Arial" w:hAnsi="Arial" w:eastAsia="Arial"/>
                <w:color w:val="26313A"/>
                <w:sz w:val="18"/>
              </w:rPr>
              <w:t>The assistant should become a disciplined evidence and portfolio-construction co-pilot before it becomes more autonomous. The right next output is a decision packet with source dates, scenario returns, risk contribution, costs, and a no-trade alternative — not another single composite score.</w:t>
            </w:r>
          </w:p>
        </w:tc>
      </w:tr>
    </w:tbl>
    <w:p>
      <w:pPr>
        <w:spacing w:after="0"/>
      </w:pPr>
    </w:p>
    <w:p>
      <w:pPr>
        <w:pStyle w:val="Heading2"/>
        <w:keepNext/>
        <w:widowControl/>
        <w:spacing w:before="200" w:after="100" w:line="240" w:lineRule="auto"/>
      </w:pPr>
      <w:r>
        <w:rPr>
          <w:rFonts w:ascii="Arial" w:hAnsi="Arial" w:eastAsia="Arial"/>
          <w:b/>
          <w:color w:val="2E668E"/>
          <w:sz w:val="24"/>
        </w:rPr>
        <w:t>Audit method and limits</w:t>
      </w:r>
    </w:p>
    <w:p>
      <w:pPr>
        <w:pStyle w:val="ListBullet"/>
        <w:keepNext w:val="0"/>
        <w:widowControl/>
        <w:spacing w:before="0" w:after="50" w:line="250" w:lineRule="auto"/>
        <w:ind w:left="360" w:hanging="202"/>
      </w:pPr>
      <w:r>
        <w:rPr>
          <w:rFonts w:ascii="Arial" w:hAnsi="Arial" w:eastAsia="Arial"/>
          <w:color w:val="26313A"/>
          <w:sz w:val="18"/>
        </w:rPr>
        <w:t>Read repository guidance, architecture, roadmap, plans, TODOs, agent prompts, skills, decision rubric, Knowledge Base, dashboard/API, tests, recent git history, and recommendation artifacts.</w:t>
      </w:r>
    </w:p>
    <w:p>
      <w:pPr>
        <w:pStyle w:val="ListBullet"/>
        <w:keepNext w:val="0"/>
        <w:widowControl/>
        <w:spacing w:before="0" w:after="50" w:line="250" w:lineRule="auto"/>
        <w:ind w:left="360" w:hanging="202"/>
      </w:pPr>
      <w:r>
        <w:rPr>
          <w:rFonts w:ascii="Arial" w:hAnsi="Arial" w:eastAsia="Arial"/>
          <w:color w:val="26313A"/>
          <w:sz w:val="18"/>
        </w:rPr>
        <w:t>Copied the live DuckDB database and WAL to an ignored audit directory, then ran read-only analytics against the copy. The original database was not changed.</w:t>
      </w:r>
    </w:p>
    <w:p>
      <w:pPr>
        <w:pStyle w:val="ListBullet"/>
        <w:keepNext w:val="0"/>
        <w:widowControl/>
        <w:spacing w:before="0" w:after="50" w:line="250" w:lineRule="auto"/>
        <w:ind w:left="360" w:hanging="202"/>
      </w:pPr>
      <w:r>
        <w:rPr>
          <w:rFonts w:ascii="Arial" w:hAnsi="Arial" w:eastAsia="Arial"/>
          <w:color w:val="26313A"/>
          <w:sz w:val="18"/>
        </w:rPr>
        <w:t>Static inventory found 644 test functions. The full suite was not run because recent tracked test databases/WALs demonstrate that some tests leave workspace artifacts; structural KB validation did pass.</w:t>
      </w:r>
    </w:p>
    <w:p>
      <w:pPr>
        <w:pStyle w:val="ListBullet"/>
        <w:keepNext w:val="0"/>
        <w:widowControl/>
        <w:spacing w:before="0" w:after="50" w:line="250" w:lineRule="auto"/>
        <w:ind w:left="360" w:hanging="202"/>
      </w:pPr>
      <w:r>
        <w:rPr>
          <w:rFonts w:ascii="Arial" w:hAnsi="Arial" w:eastAsia="Arial"/>
          <w:color w:val="26313A"/>
          <w:sz w:val="18"/>
        </w:rPr>
        <w:t>Snapshot figures are diagnostic, not investable prices. Latest observed market date was 17 July 2026, twelve calendar days before this memo.</w:t>
      </w:r>
    </w:p>
    <w:p>
      <w:r>
        <w:br w:type="page"/>
      </w:r>
    </w:p>
    <w:p>
      <w:pPr>
        <w:pStyle w:val="Heading1"/>
        <w:keepNext/>
        <w:widowControl/>
        <w:spacing w:before="0" w:after="160" w:line="240" w:lineRule="auto"/>
      </w:pPr>
      <w:r>
        <w:rPr>
          <w:rFonts w:ascii="Arial" w:hAnsi="Arial" w:eastAsia="Arial"/>
          <w:b/>
          <w:color w:val="18324A"/>
          <w:sz w:val="32"/>
        </w:rPr>
        <w:t>2. What has been developed</w:t>
      </w:r>
    </w:p>
    <w:p>
      <w:pPr>
        <w:keepNext w:val="0"/>
        <w:widowControl/>
        <w:spacing w:before="0" w:after="100" w:line="259" w:lineRule="auto"/>
      </w:pPr>
      <w:r>
        <w:rPr>
          <w:rFonts w:ascii="Arial" w:hAnsi="Arial" w:eastAsia="Arial"/>
          <w:b w:val="0"/>
          <w:i w:val="0"/>
          <w:color w:val="26313A"/>
          <w:sz w:val="19"/>
        </w:rPr>
        <w:t>The implementation is broad and mostly reusable. The next design should sit on top of these strengths, not replace them.</w:t>
      </w:r>
    </w:p>
    <w:tbl>
      <w:tblPr>
        <w:tblW w:type="dxa" w:w="9360"/>
        <w:jc w:val="center"/>
        <w:tblLayout w:type="fixed"/>
        <w:tblLook w:firstColumn="1" w:firstRow="1" w:lastColumn="0" w:lastRow="0" w:noHBand="0" w:noVBand="1" w:val="04A0"/>
        <w:tblInd w:type="dxa" w:w="95"/>
      </w:tblPr>
      <w:tblGrid>
        <w:gridCol w:w="1512"/>
        <w:gridCol w:w="3024"/>
        <w:gridCol w:w="2664"/>
        <w:gridCol w:w="2160"/>
      </w:tblGrid>
      <w:tr>
        <w:trPr>
          <w:tblHeader w:val="true"/>
          <w:cantSplit/>
        </w:trPr>
        <w:tc>
          <w:tcPr>
            <w:tcW w:type="dxa" w:w="1512"/>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Capability</w:t>
            </w:r>
          </w:p>
        </w:tc>
        <w:tc>
          <w:tcPr>
            <w:tcW w:type="dxa" w:w="3024"/>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Developed state</w:t>
            </w:r>
          </w:p>
        </w:tc>
        <w:tc>
          <w:tcPr>
            <w:tcW w:type="dxa" w:w="2664"/>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Portfolio-manager value</w:t>
            </w:r>
          </w:p>
        </w:tc>
        <w:tc>
          <w:tcPr>
            <w:tcW w:type="dxa" w:w="2160"/>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Representative evidence</w:t>
            </w:r>
          </w:p>
        </w:tc>
      </w:tr>
      <w:tr>
        <w:trPr>
          <w:cantSplit/>
        </w:trPr>
        <w:tc>
          <w:tcPr>
            <w:tcW w:type="dxa" w:w="151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Data intake</w:t>
            </w:r>
          </w:p>
        </w:tc>
        <w:tc>
          <w:tcPr>
            <w:tcW w:type="dxa" w:w="302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CSV, PDF statement, and email ingestion; ticker mapping; idempotency and file handling.</w:t>
            </w:r>
          </w:p>
        </w:tc>
        <w:tc>
          <w:tcPr>
            <w:tcW w:type="dxa" w:w="266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Creates a local, auditable transaction history.</w:t>
            </w:r>
          </w:p>
        </w:tc>
        <w:tc>
          <w:tcPr>
            <w:tcW w:type="dxa" w:w="216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src/data_sorter.py; statement_extractor.py; email_extractor.py; ticker_mapping.py</w:t>
            </w:r>
          </w:p>
        </w:tc>
      </w:tr>
      <w:tr>
        <w:trPr>
          <w:cantSplit/>
        </w:trPr>
        <w:tc>
          <w:tcPr>
            <w:tcW w:type="dxa" w:w="151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Ledger &amp; storage</w:t>
            </w:r>
          </w:p>
        </w:tc>
        <w:tc>
          <w:tcPr>
            <w:tcW w:type="dxa" w:w="302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DuckDB schema v13, migrations, split-aware position engine, reconciliations, derived tables.</w:t>
            </w:r>
          </w:p>
        </w:tc>
        <w:tc>
          <w:tcPr>
            <w:tcW w:type="dxa" w:w="266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Produces repeatable holdings and cost basis.</w:t>
            </w:r>
          </w:p>
        </w:tc>
        <w:tc>
          <w:tcPr>
            <w:tcW w:type="dxa" w:w="216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src/database.py; position_engine.py</w:t>
            </w:r>
          </w:p>
        </w:tc>
      </w:tr>
      <w:tr>
        <w:trPr>
          <w:cantSplit/>
        </w:trPr>
        <w:tc>
          <w:tcPr>
            <w:tcW w:type="dxa" w:w="151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Market/fund data</w:t>
            </w:r>
          </w:p>
        </w:tc>
        <w:tc>
          <w:tcPr>
            <w:tcW w:type="dxa" w:w="302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Price history, security details, ETF sectors/top holdings, earnings, dividends, financial snapshots.</w:t>
            </w:r>
          </w:p>
        </w:tc>
        <w:tc>
          <w:tcPr>
            <w:tcW w:type="dxa" w:w="266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Supports exposure, income, and event analysis.</w:t>
            </w:r>
          </w:p>
        </w:tc>
        <w:tc>
          <w:tcPr>
            <w:tcW w:type="dxa" w:w="216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src/market_data.py; yfinance_extractor.py; financial_snapshots_extractor.py</w:t>
            </w:r>
          </w:p>
        </w:tc>
      </w:tr>
      <w:tr>
        <w:trPr>
          <w:cantSplit/>
        </w:trPr>
        <w:tc>
          <w:tcPr>
            <w:tcW w:type="dxa" w:w="151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Analytics</w:t>
            </w:r>
          </w:p>
        </w:tc>
        <w:tc>
          <w:tcPr>
            <w:tcW w:type="dxa" w:w="302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TWR, XIRR, drawdown, volatility, Sharpe/Sortino, benchmark statistics, concentration, turnover, fees/FX, income, overlap, sector look-through.</w:t>
            </w:r>
          </w:p>
        </w:tc>
        <w:tc>
          <w:tcPr>
            <w:tcW w:type="dxa" w:w="266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Most of the measurement foundation already exists.</w:t>
            </w:r>
          </w:p>
        </w:tc>
        <w:tc>
          <w:tcPr>
            <w:tcW w:type="dxa" w:w="216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src/analytics.py; portfolio_metrics.py</w:t>
            </w:r>
          </w:p>
        </w:tc>
      </w:tr>
      <w:tr>
        <w:trPr>
          <w:cantSplit/>
        </w:trPr>
        <w:tc>
          <w:tcPr>
            <w:tcW w:type="dxa" w:w="151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Classification</w:t>
            </w:r>
          </w:p>
        </w:tc>
        <w:tc>
          <w:tcPr>
            <w:tcW w:type="dxa" w:w="302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Deterministic YAML rules with yfinance enrichment, sync/export, review flags.</w:t>
            </w:r>
          </w:p>
        </w:tc>
        <w:tc>
          <w:tcPr>
            <w:tcW w:type="dxa" w:w="266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Adds role/sleeve labels to positions.</w:t>
            </w:r>
          </w:p>
        </w:tc>
        <w:tc>
          <w:tcPr>
            <w:tcW w:type="dxa" w:w="216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classification_agent.py; Knowledge-Base/taxonomy</w:t>
            </w:r>
          </w:p>
        </w:tc>
      </w:tr>
      <w:tr>
        <w:trPr>
          <w:cantSplit/>
        </w:trPr>
        <w:tc>
          <w:tcPr>
            <w:tcW w:type="dxa" w:w="151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Decision support</w:t>
            </w:r>
          </w:p>
        </w:tc>
        <w:tc>
          <w:tcPr>
            <w:tcW w:type="dxa" w:w="302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Data-prep agent, analyst agent, rubric worksheet, deterministic arithmetic validator, KB ingestion.</w:t>
            </w:r>
          </w:p>
        </w:tc>
        <w:tc>
          <w:tcPr>
            <w:tcW w:type="dxa" w:w="266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Separates data gathering, judgment, and validation — a sound architecture.</w:t>
            </w:r>
          </w:p>
        </w:tc>
        <w:tc>
          <w:tcPr>
            <w:tcW w:type="dxa" w:w="216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.claude/agents; .claude/skills/evaluate-stock-decision</w:t>
            </w:r>
          </w:p>
        </w:tc>
      </w:tr>
      <w:tr>
        <w:trPr>
          <w:cantSplit/>
        </w:trPr>
        <w:tc>
          <w:tcPr>
            <w:tcW w:type="dxa" w:w="151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Knowledge Base</w:t>
            </w:r>
          </w:p>
        </w:tc>
        <w:tc>
          <w:tcPr>
            <w:tcW w:type="dxa" w:w="302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Stock pages, thesis pages, portfolio pages, decision/research/update logs, staleness gate.</w:t>
            </w:r>
          </w:p>
        </w:tc>
        <w:tc>
          <w:tcPr>
            <w:tcW w:type="dxa" w:w="266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Preserves institutional memory in reviewable text.</w:t>
            </w:r>
          </w:p>
        </w:tc>
        <w:tc>
          <w:tcPr>
            <w:tcW w:type="dxa" w:w="216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Knowledge-Base; .claude/skills/kb-*</w:t>
            </w:r>
          </w:p>
        </w:tc>
      </w:tr>
      <w:tr>
        <w:trPr>
          <w:cantSplit/>
        </w:trPr>
        <w:tc>
          <w:tcPr>
            <w:tcW w:type="dxa" w:w="151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Presentation</w:t>
            </w:r>
          </w:p>
        </w:tc>
        <w:tc>
          <w:tcPr>
            <w:tcW w:type="dxa" w:w="302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FastAPI backend and Next.js dashboard with portfolio, ETF, stock, income, and data-quality views.</w:t>
            </w:r>
          </w:p>
        </w:tc>
        <w:tc>
          <w:tcPr>
            <w:tcW w:type="dxa" w:w="266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Makes current state accessible without querying the DB.</w:t>
            </w:r>
          </w:p>
        </w:tc>
        <w:tc>
          <w:tcPr>
            <w:tcW w:type="dxa" w:w="216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dashboard/api; dashboard/web</w:t>
            </w:r>
          </w:p>
        </w:tc>
      </w:tr>
      <w:tr>
        <w:trPr>
          <w:cantSplit/>
        </w:trPr>
        <w:tc>
          <w:tcPr>
            <w:tcW w:type="dxa" w:w="151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Verification</w:t>
            </w:r>
          </w:p>
        </w:tc>
        <w:tc>
          <w:tcPr>
            <w:tcW w:type="dxa" w:w="302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Large unit/integration test surface and KB structural validator.</w:t>
            </w:r>
          </w:p>
        </w:tc>
        <w:tc>
          <w:tcPr>
            <w:tcW w:type="dxa" w:w="266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Reduces arithmetic and schema regression risk.</w:t>
            </w:r>
          </w:p>
        </w:tc>
        <w:tc>
          <w:tcPr>
            <w:tcW w:type="dxa" w:w="216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tests; .claude/skills/validate-kb</w:t>
            </w:r>
          </w:p>
        </w:tc>
      </w:tr>
    </w:tbl>
    <w:p>
      <w:pPr>
        <w:spacing w:after="20"/>
      </w:pPr>
    </w:p>
    <w:p>
      <w:pPr>
        <w:pStyle w:val="Heading2"/>
        <w:keepNext/>
        <w:widowControl/>
        <w:spacing w:before="200" w:after="100" w:line="240" w:lineRule="auto"/>
      </w:pPr>
      <w:r>
        <w:rPr>
          <w:rFonts w:ascii="Arial" w:hAnsi="Arial" w:eastAsia="Arial"/>
          <w:b/>
          <w:color w:val="2E668E"/>
          <w:sz w:val="24"/>
        </w:rPr>
        <w:t>What is genuinely strong</w:t>
      </w:r>
    </w:p>
    <w:p>
      <w:pPr>
        <w:pStyle w:val="ListBullet"/>
        <w:keepNext w:val="0"/>
        <w:widowControl/>
        <w:spacing w:before="0" w:after="50" w:line="250" w:lineRule="auto"/>
        <w:ind w:left="360" w:hanging="202"/>
      </w:pPr>
      <w:r>
        <w:rPr>
          <w:rFonts w:ascii="Arial" w:hAnsi="Arial" w:eastAsia="Arial"/>
          <w:color w:val="26313A"/>
          <w:sz w:val="18"/>
        </w:rPr>
        <w:t>Local-first architecture keeps sensitive brokerage data under owner control.</w:t>
      </w:r>
    </w:p>
    <w:p>
      <w:pPr>
        <w:pStyle w:val="ListBullet"/>
        <w:keepNext w:val="0"/>
        <w:widowControl/>
        <w:spacing w:before="0" w:after="50" w:line="250" w:lineRule="auto"/>
        <w:ind w:left="360" w:hanging="202"/>
      </w:pPr>
      <w:r>
        <w:rPr>
          <w:rFonts w:ascii="Arial" w:hAnsi="Arial" w:eastAsia="Arial"/>
          <w:color w:val="26313A"/>
          <w:sz w:val="18"/>
        </w:rPr>
        <w:t>The deterministic validator prevents the language model from changing the rubric math after the fact.</w:t>
      </w:r>
    </w:p>
    <w:p>
      <w:pPr>
        <w:pStyle w:val="ListBullet"/>
        <w:keepNext w:val="0"/>
        <w:widowControl/>
        <w:spacing w:before="0" w:after="50" w:line="250" w:lineRule="auto"/>
        <w:ind w:left="360" w:hanging="202"/>
      </w:pPr>
      <w:r>
        <w:rPr>
          <w:rFonts w:ascii="Arial" w:hAnsi="Arial" w:eastAsia="Arial"/>
          <w:color w:val="26313A"/>
          <w:sz w:val="18"/>
        </w:rPr>
        <w:t>Cash-flow-aware performance, CAD normalization in analytics, drawdown, concentration, and look-through sector exposure are already beyond a typical personal dashboard.</w:t>
      </w:r>
    </w:p>
    <w:p>
      <w:pPr>
        <w:pStyle w:val="ListBullet"/>
        <w:keepNext w:val="0"/>
        <w:widowControl/>
        <w:spacing w:before="0" w:after="50" w:line="250" w:lineRule="auto"/>
        <w:ind w:left="360" w:hanging="202"/>
      </w:pPr>
      <w:r>
        <w:rPr>
          <w:rFonts w:ascii="Arial" w:hAnsi="Arial" w:eastAsia="Arial"/>
          <w:color w:val="26313A"/>
          <w:sz w:val="18"/>
        </w:rPr>
        <w:t>The staleness gate and append-only logs are the beginnings of good research governance.</w:t>
      </w:r>
    </w:p>
    <w:p>
      <w:pPr>
        <w:pStyle w:val="ListBullet"/>
        <w:keepNext w:val="0"/>
        <w:widowControl/>
        <w:spacing w:before="0" w:after="50" w:line="250" w:lineRule="auto"/>
        <w:ind w:left="360" w:hanging="202"/>
      </w:pPr>
      <w:r>
        <w:rPr>
          <w:rFonts w:ascii="Arial" w:hAnsi="Arial" w:eastAsia="Arial"/>
          <w:color w:val="26313A"/>
          <w:sz w:val="18"/>
        </w:rPr>
        <w:t>Recent work added earnings, dividend, and financial-snapshot persistence, which is a better foundation than repeated ephemeral web summaries.</w:t>
      </w:r>
    </w:p>
    <w:p>
      <w:pPr>
        <w:pStyle w:val="Heading2"/>
        <w:keepNext/>
        <w:widowControl/>
        <w:spacing w:before="200" w:after="100" w:line="240" w:lineRule="auto"/>
      </w:pPr>
      <w:r>
        <w:rPr>
          <w:rFonts w:ascii="Arial" w:hAnsi="Arial" w:eastAsia="Arial"/>
          <w:b/>
          <w:color w:val="2E668E"/>
          <w:sz w:val="24"/>
        </w:rPr>
        <w:t>Repository governance concerns</w:t>
      </w:r>
    </w:p>
    <w:p>
      <w:pPr>
        <w:keepNext w:val="0"/>
        <w:widowControl/>
        <w:spacing w:before="0" w:after="100" w:line="259" w:lineRule="auto"/>
      </w:pPr>
      <w:r>
        <w:rPr>
          <w:rFonts w:ascii="Arial" w:hAnsi="Arial" w:eastAsia="Arial"/>
          <w:b w:val="0"/>
          <w:i w:val="0"/>
          <w:color w:val="26313A"/>
          <w:sz w:val="19"/>
        </w:rPr>
        <w:t>Recent commits also include local settings, generated package metadata, and many temporary DuckDB/WAL test files. This does not directly change a holding, but it creates privacy, reproducibility, and review noise. More importantly, plan status has not kept pace with implementation, so the repo's written roadmap can send the next contributor toward work that is already done.</w:t>
      </w:r>
    </w:p>
    <w:p>
      <w:r>
        <w:br w:type="page"/>
      </w:r>
    </w:p>
    <w:p>
      <w:pPr>
        <w:pStyle w:val="Heading1"/>
        <w:keepNext/>
        <w:widowControl/>
        <w:spacing w:before="0" w:after="160" w:line="240" w:lineRule="auto"/>
      </w:pPr>
      <w:r>
        <w:rPr>
          <w:rFonts w:ascii="Arial" w:hAnsi="Arial" w:eastAsia="Arial"/>
          <w:b/>
          <w:color w:val="18324A"/>
          <w:sz w:val="32"/>
        </w:rPr>
        <w:t>3. What has been planned — and what changed</w:t>
      </w:r>
    </w:p>
    <w:tbl>
      <w:tblPr>
        <w:tblW w:type="dxa" w:w="9331"/>
        <w:jc w:val="center"/>
        <w:tblLayout w:type="fixed"/>
        <w:tblLook w:firstColumn="1" w:firstRow="1" w:lastColumn="0" w:lastRow="0" w:noHBand="0" w:noVBand="1" w:val="04A0"/>
        <w:tblInd w:type="dxa" w:w="95"/>
      </w:tblPr>
      <w:tblGrid>
        <w:gridCol w:w="1944"/>
        <w:gridCol w:w="2376"/>
        <w:gridCol w:w="2520"/>
        <w:gridCol w:w="2491"/>
      </w:tblGrid>
      <w:tr>
        <w:trPr>
          <w:tblHeader w:val="true"/>
          <w:cantSplit/>
        </w:trPr>
        <w:tc>
          <w:tcPr>
            <w:tcW w:type="dxa" w:w="1944"/>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Planned item</w:t>
            </w:r>
          </w:p>
        </w:tc>
        <w:tc>
          <w:tcPr>
            <w:tcW w:type="dxa" w:w="2376"/>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Written status</w:t>
            </w:r>
          </w:p>
        </w:tc>
        <w:tc>
          <w:tcPr>
            <w:tcW w:type="dxa" w:w="2520"/>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Observed status</w:t>
            </w:r>
          </w:p>
        </w:tc>
        <w:tc>
          <w:tcPr>
            <w:tcW w:type="dxa" w:w="2491"/>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Assessment</w:t>
            </w:r>
          </w:p>
        </w:tc>
      </w:tr>
      <w:tr>
        <w:trPr>
          <w:cantSplit/>
        </w:trPr>
        <w:tc>
          <w:tcPr>
            <w:tcW w:type="dxa" w:w="194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KB population agents</w:t>
            </w:r>
          </w:p>
        </w:tc>
        <w:tc>
          <w:tcPr>
            <w:tcW w:type="dxa" w:w="237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Rebuild plan still marked proposed with unchecked steps.</w:t>
            </w:r>
          </w:p>
        </w:tc>
        <w:tc>
          <w:tcPr>
            <w:tcW w:type="dxa" w:w="252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Agents, gates, section_updated handling, and ingestion are present at HEAD.</w:t>
            </w:r>
          </w:p>
        </w:tc>
        <w:tc>
          <w:tcPr>
            <w:tcW w:type="dxa" w:w="2491"/>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Documentation drift; verify live runs, then update status.</w:t>
            </w:r>
          </w:p>
        </w:tc>
      </w:tr>
      <w:tr>
        <w:trPr>
          <w:cantSplit/>
        </w:trPr>
        <w:tc>
          <w:tcPr>
            <w:tcW w:type="dxa" w:w="194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Earnings/dividend pipeline</w:t>
            </w:r>
          </w:p>
        </w:tc>
        <w:tc>
          <w:tcPr>
            <w:tcW w:type="dxa" w:w="237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Plan says proposed/awaiting approval.</w:t>
            </w:r>
          </w:p>
        </w:tc>
        <w:tc>
          <w:tcPr>
            <w:tcW w:type="dxa" w:w="252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Tables, extractors, and 577 earnings / 2,602 dividend rows exist.</w:t>
            </w:r>
          </w:p>
        </w:tc>
        <w:tc>
          <w:tcPr>
            <w:tcW w:type="dxa" w:w="2491"/>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Implemented foundation; dashboard/operational validation still incomplete.</w:t>
            </w:r>
          </w:p>
        </w:tc>
      </w:tr>
      <w:tr>
        <w:trPr>
          <w:cantSplit/>
        </w:trPr>
        <w:tc>
          <w:tcPr>
            <w:tcW w:type="dxa" w:w="194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Financial snapshots</w:t>
            </w:r>
          </w:p>
        </w:tc>
        <w:tc>
          <w:tcPr>
            <w:tcW w:type="dxa" w:w="237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Plan retains an unresolved decision.</w:t>
            </w:r>
          </w:p>
        </w:tc>
        <w:tc>
          <w:tcPr>
            <w:tcW w:type="dxa" w:w="252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154 snapshots exist through 30 Apr 2026.</w:t>
            </w:r>
          </w:p>
        </w:tc>
        <w:tc>
          <w:tcPr>
            <w:tcW w:type="dxa" w:w="2491"/>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Code landed; freshness and filing-source quality remain.</w:t>
            </w:r>
          </w:p>
        </w:tc>
      </w:tr>
      <w:tr>
        <w:trPr>
          <w:cantSplit/>
        </w:trPr>
        <w:tc>
          <w:tcPr>
            <w:tcW w:type="dxa" w:w="194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Holdings ↔ KB coverage</w:t>
            </w:r>
          </w:p>
        </w:tc>
        <w:tc>
          <w:tcPr>
            <w:tcW w:type="dxa" w:w="237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Priority TODO.</w:t>
            </w:r>
          </w:p>
        </w:tc>
        <w:tc>
          <w:tcPr>
            <w:tcW w:type="dxa" w:w="252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25 pages for 27 live holdings; SOFI and ZETA absent; all 27 due by staleness gate.</w:t>
            </w:r>
          </w:p>
        </w:tc>
        <w:tc>
          <w:tcPr>
            <w:tcW w:type="dxa" w:w="2491"/>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Still urgent and decision-critical.</w:t>
            </w:r>
          </w:p>
        </w:tc>
      </w:tr>
      <w:tr>
        <w:trPr>
          <w:cantSplit/>
        </w:trPr>
        <w:tc>
          <w:tcPr>
            <w:tcW w:type="dxa" w:w="194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Technical analysis</w:t>
            </w:r>
          </w:p>
        </w:tc>
        <w:tc>
          <w:tcPr>
            <w:tcW w:type="dxa" w:w="237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Fully proposed, not approved.</w:t>
            </w:r>
          </w:p>
        </w:tc>
        <w:tc>
          <w:tcPr>
            <w:tcW w:type="dxa" w:w="252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Not implemented; thesis sections are empty.</w:t>
            </w:r>
          </w:p>
        </w:tc>
        <w:tc>
          <w:tcPr>
            <w:tcW w:type="dxa" w:w="2491"/>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Correctly deferred; should remain behind data/policy fixes.</w:t>
            </w:r>
          </w:p>
        </w:tc>
      </w:tr>
      <w:tr>
        <w:trPr>
          <w:cantSplit/>
        </w:trPr>
        <w:tc>
          <w:tcPr>
            <w:tcW w:type="dxa" w:w="194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Insider history</w:t>
            </w:r>
          </w:p>
        </w:tc>
        <w:tc>
          <w:tcPr>
            <w:tcW w:type="dxa" w:w="237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Deferred.</w:t>
            </w:r>
          </w:p>
        </w:tc>
        <w:tc>
          <w:tcPr>
            <w:tcW w:type="dxa" w:w="252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Current-snapshot data only; no durable event history in the decision loop.</w:t>
            </w:r>
          </w:p>
        </w:tc>
        <w:tc>
          <w:tcPr>
            <w:tcW w:type="dxa" w:w="2491"/>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Worth adding after primary filing sources and identity mapping.</w:t>
            </w:r>
          </w:p>
        </w:tc>
      </w:tr>
      <w:tr>
        <w:trPr>
          <w:cantSplit/>
        </w:trPr>
        <w:tc>
          <w:tcPr>
            <w:tcW w:type="dxa" w:w="194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Dashboard earnings/financial views</w:t>
            </w:r>
          </w:p>
        </w:tc>
        <w:tc>
          <w:tcPr>
            <w:tcW w:type="dxa" w:w="237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Planned.</w:t>
            </w:r>
          </w:p>
        </w:tc>
        <w:tc>
          <w:tcPr>
            <w:tcW w:type="dxa" w:w="252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Backend/data foundations exist; decision-ready views incomplete.</w:t>
            </w:r>
          </w:p>
        </w:tc>
        <w:tc>
          <w:tcPr>
            <w:tcW w:type="dxa" w:w="2491"/>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Useful after source/freshness semantics are fixed.</w:t>
            </w:r>
          </w:p>
        </w:tc>
      </w:tr>
      <w:tr>
        <w:trPr>
          <w:cantSplit/>
        </w:trPr>
        <w:tc>
          <w:tcPr>
            <w:tcW w:type="dxa" w:w="194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Automation, hosting, auth, backup</w:t>
            </w:r>
          </w:p>
        </w:tc>
        <w:tc>
          <w:tcPr>
            <w:tcW w:type="dxa" w:w="237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Later phases / TODO.</w:t>
            </w:r>
          </w:p>
        </w:tc>
        <w:tc>
          <w:tcPr>
            <w:tcW w:type="dxa" w:w="252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Not production-complete.</w:t>
            </w:r>
          </w:p>
        </w:tc>
        <w:tc>
          <w:tcPr>
            <w:tcW w:type="dxa" w:w="2491"/>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Operationally necessary before unattended use.</w:t>
            </w:r>
          </w:p>
        </w:tc>
      </w:tr>
    </w:tbl>
    <w:p>
      <w:pPr>
        <w:spacing w:after="20"/>
      </w:pPr>
    </w:p>
    <w:p>
      <w:pPr>
        <w:pStyle w:val="Heading2"/>
        <w:keepNext/>
        <w:widowControl/>
        <w:spacing w:before="200" w:after="100" w:line="240" w:lineRule="auto"/>
      </w:pPr>
      <w:r>
        <w:rPr>
          <w:rFonts w:ascii="Arial" w:hAnsi="Arial" w:eastAsia="Arial"/>
          <w:b/>
          <w:color w:val="2E668E"/>
          <w:sz w:val="24"/>
        </w:rPr>
        <w:t>Comparison with the existing gap-analysis draft</w:t>
      </w:r>
    </w:p>
    <w:p>
      <w:pPr>
        <w:keepNext w:val="0"/>
        <w:widowControl/>
        <w:spacing w:before="0" w:after="100" w:line="259" w:lineRule="auto"/>
      </w:pPr>
      <w:r>
        <w:rPr>
          <w:rFonts w:ascii="Arial" w:hAnsi="Arial" w:eastAsia="Arial"/>
          <w:b w:val="0"/>
          <w:i w:val="0"/>
          <w:color w:val="26313A"/>
          <w:sz w:val="19"/>
        </w:rPr>
        <w:t>The untracked docs/project/portfolio-manager-gap-analysis.md is directionally useful: it correctly emphasizes gate semantics, costs/tax, hysteresis, portfolio context, and outcome tracking. It should not be treated as the current system record. It describes a roughly CAD 4.1K portfolio, schema v11, archived decision agents, negative WN/ZEQT positions, and missing cross-currency normalization. The present audit found schema v13, restored agents, a CAD 5.76K / 27-holding live snapshot, no negative positions, and CAD-normalized analytics. Its durable reasoning should be retained; its state claims need re-baselining.</w:t>
      </w:r>
    </w:p>
    <w:tbl>
      <w:tblPr>
        <w:tblW w:type="dxa" w:w="9331"/>
        <w:jc w:val="center"/>
        <w:tblLayout w:type="fixed"/>
        <w:tblLook w:firstColumn="1" w:firstRow="1" w:lastColumn="0" w:lastRow="0" w:noHBand="0" w:noVBand="1" w:val="04A0"/>
        <w:tblInd w:type="dxa" w:w="0"/>
      </w:tblPr>
      <w:tblGrid>
        <w:gridCol w:w="144"/>
        <w:gridCol w:w="9187"/>
      </w:tblGrid>
      <w:tr>
        <w:tc>
          <w:tcPr>
            <w:tcW w:type="dxa" w:w="144"/>
            <w:shd w:fill="2F6B4F" w:val="clear"/>
            <w:tcMar>
              <w:top w:w="0" w:type="dxa"/>
              <w:start w:w="0" w:type="dxa"/>
              <w:bottom w:w="0" w:type="dxa"/>
              <w:end w:w="0" w:type="dxa"/>
            </w:tcMar>
            <w:tcBorders>
              <w:top w:val="nil"/>
              <w:left w:val="nil"/>
              <w:bottom w:val="nil"/>
              <w:right w:val="nil"/>
            </w:tcBorders>
          </w:tcPr>
          <w:p/>
        </w:tc>
        <w:tc>
          <w:tcPr>
            <w:tcW w:type="dxa" w:w="9187"/>
            <w:shd w:fill="E7F1EA" w:val="clear"/>
            <w:tcMar>
              <w:top w:w="0" w:type="dxa"/>
              <w:start w:w="0" w:type="dxa"/>
              <w:bottom w:w="0" w:type="dxa"/>
              <w:end w:w="0" w:type="dxa"/>
            </w:tcMar>
            <w:tcBorders>
              <w:top w:val="nil"/>
              <w:left w:val="nil"/>
              <w:bottom w:val="nil"/>
              <w:right w:val="nil"/>
            </w:tcBorders>
          </w:tcPr>
          <w:p>
            <w:pPr>
              <w:spacing w:after="40" w:before="120"/>
              <w:ind w:left="173" w:right="173"/>
            </w:pPr>
            <w:r>
              <w:rPr>
                <w:rFonts w:ascii="Arial" w:hAnsi="Arial" w:eastAsia="Arial"/>
                <w:b/>
                <w:color w:val="2F6B4F"/>
                <w:sz w:val="18"/>
              </w:rPr>
              <w:t>Fit judgment</w:t>
            </w:r>
          </w:p>
          <w:p>
            <w:pPr>
              <w:keepNext w:val="0"/>
              <w:widowControl/>
              <w:spacing w:before="0" w:after="120" w:line="254" w:lineRule="auto"/>
              <w:ind w:left="173" w:right="173"/>
            </w:pPr>
            <w:r>
              <w:rPr>
                <w:rFonts w:ascii="Arial" w:hAnsi="Arial" w:eastAsia="Arial"/>
                <w:color w:val="26313A"/>
                <w:sz w:val="18"/>
              </w:rPr>
              <w:t>About two-thirds of the proposed portfolio-manager capabilities can reuse existing data, analytics, storage, and KB structures. The missing third is disproportionately important: policy validity, account-aware costs, risk contribution, scenario valuation, source authority, and feedback on actual decisions.</w:t>
            </w:r>
          </w:p>
        </w:tc>
      </w:tr>
    </w:tbl>
    <w:p>
      <w:pPr>
        <w:spacing w:after="0"/>
      </w:pPr>
    </w:p>
    <w:p>
      <w:r>
        <w:br w:type="page"/>
      </w:r>
    </w:p>
    <w:p>
      <w:pPr>
        <w:pStyle w:val="Heading1"/>
        <w:keepNext/>
        <w:widowControl/>
        <w:spacing w:before="0" w:after="160" w:line="240" w:lineRule="auto"/>
      </w:pPr>
      <w:r>
        <w:rPr>
          <w:rFonts w:ascii="Arial" w:hAnsi="Arial" w:eastAsia="Arial"/>
          <w:b/>
          <w:color w:val="18324A"/>
          <w:sz w:val="32"/>
        </w:rPr>
        <w:t>4. Live portfolio snapshot and immediate controls</w:t>
      </w:r>
    </w:p>
    <w:p>
      <w:pPr>
        <w:keepNext w:val="0"/>
        <w:widowControl/>
        <w:spacing w:before="0" w:after="100" w:line="259" w:lineRule="auto"/>
      </w:pPr>
      <w:r>
        <w:rPr>
          <w:rFonts w:ascii="Arial" w:hAnsi="Arial" w:eastAsia="Arial"/>
          <w:b w:val="0"/>
          <w:i/>
          <w:color w:val="61707C"/>
          <w:sz w:val="16"/>
        </w:rPr>
        <w:t>Read-only audit snapshot generated 29 July 2026 from a copy of the local database. Values are CAD unless stated. Price-based figures use observations no later than 17 July 2026.</w:t>
      </w:r>
    </w:p>
    <w:tbl>
      <w:tblPr>
        <w:tblW w:type="dxa" w:w="9332"/>
        <w:jc w:val="center"/>
        <w:tblLayout w:type="fixed"/>
        <w:tblLook w:firstColumn="1" w:firstRow="1" w:lastColumn="0" w:lastRow="0" w:noHBand="0" w:noVBand="1" w:val="04A0"/>
        <w:tblInd w:type="dxa" w:w="90"/>
      </w:tblPr>
      <w:tblGrid>
        <w:gridCol w:w="2333"/>
        <w:gridCol w:w="2333"/>
        <w:gridCol w:w="2333"/>
        <w:gridCol w:w="2333"/>
      </w:tblGrid>
      <w:tr>
        <w:tc>
          <w:tcPr>
            <w:tcW w:type="dxa" w:w="2333"/>
            <w:shd w:fill="EFF5F9" w:val="clear"/>
            <w:tcMar>
              <w:top w:w="125" w:type="dxa"/>
              <w:start w:w="90" w:type="dxa"/>
              <w:bottom w:w="125" w:type="dxa"/>
              <w:end w:w="90" w:type="dxa"/>
            </w:tcMar>
            <w:tcBorders>
              <w:top w:val="single" w:sz="3" w:color="FFFFFF"/>
              <w:left w:val="single" w:sz="3" w:color="FFFFFF"/>
              <w:bottom w:val="single" w:sz="3" w:color="FFFFFF"/>
              <w:right w:val="single" w:sz="3" w:color="FFFFFF"/>
            </w:tcBorders>
          </w:tcPr>
          <w:p>
            <w:pPr>
              <w:jc w:val="center"/>
            </w:pPr>
            <w:r>
              <w:rPr>
                <w:rFonts w:ascii="Arial" w:hAnsi="Arial" w:eastAsia="Arial"/>
                <w:b/>
                <w:color w:val="2E668E"/>
                <w:sz w:val="34"/>
              </w:rPr>
              <w:t>CAD 5,762.68</w:t>
            </w:r>
          </w:p>
          <w:p>
            <w:pPr>
              <w:keepNext w:val="0"/>
              <w:widowControl/>
              <w:spacing w:before="40" w:after="0" w:line="240" w:lineRule="auto"/>
              <w:jc w:val="center"/>
            </w:pPr>
            <w:r>
              <w:rPr>
                <w:rFonts w:ascii="Arial" w:hAnsi="Arial" w:eastAsia="Arial"/>
                <w:b/>
                <w:color w:val="61707C"/>
                <w:sz w:val="13"/>
              </w:rPr>
              <w:t>MARKET VALUE</w:t>
            </w:r>
          </w:p>
        </w:tc>
        <w:tc>
          <w:tcPr>
            <w:tcW w:type="dxa" w:w="2333"/>
            <w:shd w:fill="EFF5F9" w:val="clear"/>
            <w:tcMar>
              <w:top w:w="125" w:type="dxa"/>
              <w:start w:w="90" w:type="dxa"/>
              <w:bottom w:w="125" w:type="dxa"/>
              <w:end w:w="90" w:type="dxa"/>
            </w:tcMar>
            <w:tcBorders>
              <w:top w:val="single" w:sz="3" w:color="FFFFFF"/>
              <w:left w:val="single" w:sz="3" w:color="FFFFFF"/>
              <w:bottom w:val="single" w:sz="3" w:color="FFFFFF"/>
              <w:right w:val="single" w:sz="3" w:color="FFFFFF"/>
            </w:tcBorders>
          </w:tcPr>
          <w:p>
            <w:pPr>
              <w:jc w:val="center"/>
            </w:pPr>
            <w:r>
              <w:rPr>
                <w:rFonts w:ascii="Arial" w:hAnsi="Arial" w:eastAsia="Arial"/>
                <w:b/>
                <w:color w:val="2E668E"/>
                <w:sz w:val="34"/>
              </w:rPr>
              <w:t>+20.67%</w:t>
            </w:r>
          </w:p>
          <w:p>
            <w:pPr>
              <w:keepNext w:val="0"/>
              <w:widowControl/>
              <w:spacing w:before="40" w:after="0" w:line="240" w:lineRule="auto"/>
              <w:jc w:val="center"/>
            </w:pPr>
            <w:r>
              <w:rPr>
                <w:rFonts w:ascii="Arial" w:hAnsi="Arial" w:eastAsia="Arial"/>
                <w:b/>
                <w:color w:val="61707C"/>
                <w:sz w:val="13"/>
              </w:rPr>
              <w:t>UNREALIZED GAIN</w:t>
            </w:r>
          </w:p>
        </w:tc>
        <w:tc>
          <w:tcPr>
            <w:tcW w:type="dxa" w:w="2333"/>
            <w:shd w:fill="F8E5E3" w:val="clear"/>
            <w:tcMar>
              <w:top w:w="125" w:type="dxa"/>
              <w:start w:w="90" w:type="dxa"/>
              <w:bottom w:w="125" w:type="dxa"/>
              <w:end w:w="90" w:type="dxa"/>
            </w:tcMar>
            <w:tcBorders>
              <w:top w:val="single" w:sz="3" w:color="FFFFFF"/>
              <w:left w:val="single" w:sz="3" w:color="FFFFFF"/>
              <w:bottom w:val="single" w:sz="3" w:color="FFFFFF"/>
              <w:right w:val="single" w:sz="3" w:color="FFFFFF"/>
            </w:tcBorders>
          </w:tcPr>
          <w:p>
            <w:pPr>
              <w:jc w:val="center"/>
            </w:pPr>
            <w:r>
              <w:rPr>
                <w:rFonts w:ascii="Arial" w:hAnsi="Arial" w:eastAsia="Arial"/>
                <w:b/>
                <w:color w:val="A64040"/>
                <w:sz w:val="34"/>
              </w:rPr>
              <w:t>38.76%</w:t>
            </w:r>
          </w:p>
          <w:p>
            <w:pPr>
              <w:keepNext w:val="0"/>
              <w:widowControl/>
              <w:spacing w:before="40" w:after="0" w:line="240" w:lineRule="auto"/>
              <w:jc w:val="center"/>
            </w:pPr>
            <w:r>
              <w:rPr>
                <w:rFonts w:ascii="Arial" w:hAnsi="Arial" w:eastAsia="Arial"/>
                <w:b/>
                <w:color w:val="61707C"/>
                <w:sz w:val="13"/>
              </w:rPr>
              <w:t>ANNUALIZED VOLATILITY</w:t>
            </w:r>
          </w:p>
        </w:tc>
        <w:tc>
          <w:tcPr>
            <w:tcW w:type="dxa" w:w="2333"/>
            <w:shd w:fill="F8E5E3" w:val="clear"/>
            <w:tcMar>
              <w:top w:w="125" w:type="dxa"/>
              <w:start w:w="90" w:type="dxa"/>
              <w:bottom w:w="125" w:type="dxa"/>
              <w:end w:w="90" w:type="dxa"/>
            </w:tcMar>
            <w:tcBorders>
              <w:top w:val="single" w:sz="3" w:color="FFFFFF"/>
              <w:left w:val="single" w:sz="3" w:color="FFFFFF"/>
              <w:bottom w:val="single" w:sz="3" w:color="FFFFFF"/>
              <w:right w:val="single" w:sz="3" w:color="FFFFFF"/>
            </w:tcBorders>
          </w:tcPr>
          <w:p>
            <w:pPr>
              <w:jc w:val="center"/>
            </w:pPr>
            <w:r>
              <w:rPr>
                <w:rFonts w:ascii="Arial" w:hAnsi="Arial" w:eastAsia="Arial"/>
                <w:b/>
                <w:color w:val="A64040"/>
                <w:sz w:val="34"/>
              </w:rPr>
              <w:t>−42.39%</w:t>
            </w:r>
          </w:p>
          <w:p>
            <w:pPr>
              <w:keepNext w:val="0"/>
              <w:widowControl/>
              <w:spacing w:before="40" w:after="0" w:line="240" w:lineRule="auto"/>
              <w:jc w:val="center"/>
            </w:pPr>
            <w:r>
              <w:rPr>
                <w:rFonts w:ascii="Arial" w:hAnsi="Arial" w:eastAsia="Arial"/>
                <w:b/>
                <w:color w:val="61707C"/>
                <w:sz w:val="13"/>
              </w:rPr>
              <w:t>MAX DRAWDOWN</w:t>
            </w:r>
          </w:p>
        </w:tc>
      </w:tr>
    </w:tbl>
    <w:p>
      <w:pPr>
        <w:spacing w:after="20"/>
      </w:pPr>
    </w:p>
    <w:tbl>
      <w:tblPr>
        <w:tblW w:type="dxa" w:w="9331"/>
        <w:jc w:val="center"/>
        <w:tblLayout w:type="fixed"/>
        <w:tblLook w:firstColumn="1" w:firstRow="1" w:lastColumn="0" w:lastRow="0" w:noHBand="0" w:noVBand="1" w:val="04A0"/>
        <w:tblInd w:type="dxa" w:w="95"/>
      </w:tblPr>
      <w:tblGrid>
        <w:gridCol w:w="1800"/>
        <w:gridCol w:w="3096"/>
        <w:gridCol w:w="4435"/>
      </w:tblGrid>
      <w:tr>
        <w:trPr>
          <w:tblHeader w:val="true"/>
          <w:cantSplit/>
        </w:trPr>
        <w:tc>
          <w:tcPr>
            <w:tcW w:type="dxa" w:w="1800"/>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Measure</w:t>
            </w:r>
          </w:p>
        </w:tc>
        <w:tc>
          <w:tcPr>
            <w:tcW w:type="dxa" w:w="3096"/>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Observed</w:t>
            </w:r>
          </w:p>
        </w:tc>
        <w:tc>
          <w:tcPr>
            <w:tcW w:type="dxa" w:w="4435"/>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Interpretation</w:t>
            </w:r>
          </w:p>
        </w:tc>
      </w:tr>
      <w:tr>
        <w:trPr>
          <w:cantSplit/>
        </w:trPr>
        <w:tc>
          <w:tcPr>
            <w:tcW w:type="dxa" w:w="180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Portfolio</w:t>
            </w:r>
          </w:p>
        </w:tc>
        <w:tc>
          <w:tcPr>
            <w:tcW w:type="dxa" w:w="309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27 holdings; CAD 0.31 cash; book cost CAD 4,775.15</w:t>
            </w:r>
          </w:p>
        </w:tc>
        <w:tc>
          <w:tcPr>
            <w:tcW w:type="dxa" w:w="443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Operationally fully invested; no encoded liquidity floor.</w:t>
            </w:r>
          </w:p>
        </w:tc>
      </w:tr>
      <w:tr>
        <w:trPr>
          <w:cantSplit/>
        </w:trPr>
        <w:tc>
          <w:tcPr>
            <w:tcW w:type="dxa" w:w="180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Concentration</w:t>
            </w:r>
          </w:p>
        </w:tc>
        <w:tc>
          <w:tcPr>
            <w:tcW w:type="dxa" w:w="309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Top 5 = 50.83%; top 10 = 72.24%; HHI 0.0861; effective holdings 11.61</w:t>
            </w:r>
          </w:p>
        </w:tc>
        <w:tc>
          <w:tcPr>
            <w:tcW w:type="dxa" w:w="443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Nominal holding count overstates diversification.</w:t>
            </w:r>
          </w:p>
        </w:tc>
      </w:tr>
      <w:tr>
        <w:trPr>
          <w:cantSplit/>
        </w:trPr>
        <w:tc>
          <w:tcPr>
            <w:tcW w:type="dxa" w:w="180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Largest active names</w:t>
            </w:r>
          </w:p>
        </w:tc>
        <w:tc>
          <w:tcPr>
            <w:tcW w:type="dxa" w:w="309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L 9.09%; SMH 8.96%; PLTR 5.62%; ZGLD 5.24%; NOW 5.02%</w:t>
            </w:r>
          </w:p>
        </w:tc>
        <w:tc>
          <w:tcPr>
            <w:tcW w:type="dxa" w:w="443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Single-name cap is not enough when funds and factors overlap.</w:t>
            </w:r>
          </w:p>
        </w:tc>
      </w:tr>
      <w:tr>
        <w:trPr>
          <w:cantSplit/>
        </w:trPr>
        <w:tc>
          <w:tcPr>
            <w:tcW w:type="dxa" w:w="180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Currency</w:t>
            </w:r>
          </w:p>
        </w:tc>
        <w:tc>
          <w:tcPr>
            <w:tcW w:type="dxa" w:w="309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USD 53.09%; CAD 46.91%</w:t>
            </w:r>
          </w:p>
        </w:tc>
        <w:tc>
          <w:tcPr>
            <w:tcW w:type="dxa" w:w="443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FX is a return driver and a transaction-cost source.</w:t>
            </w:r>
          </w:p>
        </w:tc>
      </w:tr>
      <w:tr>
        <w:trPr>
          <w:cantSplit/>
        </w:trPr>
        <w:tc>
          <w:tcPr>
            <w:tcW w:type="dxa" w:w="1800"/>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Look-through sectors</w:t>
            </w:r>
          </w:p>
        </w:tc>
        <w:tc>
          <w:tcPr>
            <w:tcW w:type="dxa" w:w="3096"/>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Technology 42.28%; Financials 14.03%; Consumer Defensive 11.68%</w:t>
            </w:r>
          </w:p>
        </w:tc>
        <w:tc>
          <w:tcPr>
            <w:tcW w:type="dxa" w:w="4435"/>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Strong factor/industry crowding; suitability cannot be judged without goals.</w:t>
            </w:r>
          </w:p>
        </w:tc>
      </w:tr>
      <w:tr>
        <w:trPr>
          <w:cantSplit/>
        </w:trPr>
        <w:tc>
          <w:tcPr>
            <w:tcW w:type="dxa" w:w="1800"/>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Performance</w:t>
            </w:r>
          </w:p>
        </w:tc>
        <w:tc>
          <w:tcPr>
            <w:tcW w:type="dxa" w:w="3096"/>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TWR 36.13% total; XIRR 20.97%; current drawdown −3.98%</w:t>
            </w:r>
          </w:p>
        </w:tc>
        <w:tc>
          <w:tcPr>
            <w:tcW w:type="dxa" w:w="4435"/>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Useful history, but risk-adjusted metrics use a zero risk-free assumption.</w:t>
            </w:r>
          </w:p>
        </w:tc>
      </w:tr>
      <w:tr>
        <w:trPr>
          <w:cantSplit/>
        </w:trPr>
        <w:tc>
          <w:tcPr>
            <w:tcW w:type="dxa" w:w="1800"/>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Costs / income</w:t>
            </w:r>
          </w:p>
        </w:tc>
        <w:tc>
          <w:tcPr>
            <w:tcW w:type="dxa" w:w="3096"/>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Estimated FX fees CAD 43.45; portfolio yield 0.764%; MER unavailable</w:t>
            </w:r>
          </w:p>
        </w:tc>
        <w:tc>
          <w:tcPr>
            <w:tcW w:type="dxa" w:w="4435"/>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The only quantified controllable drag is FX; ownership cost is incomplete.</w:t>
            </w:r>
          </w:p>
        </w:tc>
      </w:tr>
      <w:tr>
        <w:trPr>
          <w:cantSplit/>
        </w:trPr>
        <w:tc>
          <w:tcPr>
            <w:tcW w:type="dxa" w:w="1800"/>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Data quality</w:t>
            </w:r>
          </w:p>
        </w:tc>
        <w:tc>
          <w:tcPr>
            <w:tcW w:type="dxa" w:w="3096"/>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27 stale prices; BN classification review; ZEB suspicious gain flag</w:t>
            </w:r>
          </w:p>
        </w:tc>
        <w:tc>
          <w:tcPr>
            <w:tcW w:type="dxa" w:w="4435"/>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The decision workflow should stop before scoring.</w:t>
            </w:r>
          </w:p>
        </w:tc>
      </w:tr>
    </w:tbl>
    <w:p>
      <w:pPr>
        <w:spacing w:after="20"/>
      </w:pPr>
    </w:p>
    <w:p>
      <w:r>
        <w:drawing>
          <wp:inline xmlns:a="http://schemas.openxmlformats.org/drawingml/2006/main" xmlns:pic="http://schemas.openxmlformats.org/drawingml/2006/picture">
            <wp:extent cx="5897880" cy="3133249"/>
            <wp:docPr id="1" name="Picture 1" title="Current allocation compared with policy bands" descr="Horizontal bands show policy ranges for Core, Income, Quality, Growth, and Alternatives; dots show current weights. Core, Quality, Growth, and Alternatives are out of band, and target points sum to 105 percent."/>
            <wp:cNvGraphicFramePr>
              <a:graphicFrameLocks noChangeAspect="1"/>
            </wp:cNvGraphicFramePr>
            <a:graphic>
              <a:graphicData uri="http://schemas.openxmlformats.org/drawingml/2006/picture">
                <pic:pic>
                  <pic:nvPicPr>
                    <pic:cNvPr id="0" name="allocation-policy-gap.png"/>
                    <pic:cNvPicPr/>
                  </pic:nvPicPr>
                  <pic:blipFill>
                    <a:blip r:embed="rId11"/>
                    <a:stretch>
                      <a:fillRect/>
                    </a:stretch>
                  </pic:blipFill>
                  <pic:spPr>
                    <a:xfrm>
                      <a:off x="0" y="0"/>
                      <a:ext cx="5897880" cy="3133249"/>
                    </a:xfrm>
                    <a:prstGeom prst="rect"/>
                  </pic:spPr>
                </pic:pic>
              </a:graphicData>
            </a:graphic>
          </wp:inline>
        </w:drawing>
      </w:r>
    </w:p>
    <w:p>
      <w:pPr>
        <w:pStyle w:val="CaptionSmall"/>
        <w:keepNext w:val="0"/>
        <w:widowControl/>
        <w:spacing w:before="0" w:after="100" w:line="240" w:lineRule="auto"/>
        <w:jc w:val="center"/>
      </w:pPr>
      <w:r>
        <w:rPr>
          <w:rFonts w:ascii="Arial" w:hAnsi="Arial" w:eastAsia="Arial"/>
          <w:i/>
          <w:color w:val="61707C"/>
          <w:sz w:val="15"/>
        </w:rPr>
        <w:t>Figure 1. Current sleeve weights versus stated policy bands. Source: read-only audit analytics.</w:t>
      </w:r>
    </w:p>
    <w:p>
      <w:pPr>
        <w:pStyle w:val="Heading2"/>
        <w:keepNext/>
        <w:widowControl/>
        <w:spacing w:before="200" w:after="100" w:line="240" w:lineRule="auto"/>
      </w:pPr>
      <w:r>
        <w:rPr>
          <w:rFonts w:ascii="Arial" w:hAnsi="Arial" w:eastAsia="Arial"/>
          <w:b/>
          <w:color w:val="2E668E"/>
          <w:sz w:val="24"/>
        </w:rPr>
        <w:t>What the snapshot does — and does not — say</w:t>
      </w:r>
    </w:p>
    <w:p>
      <w:pPr>
        <w:keepNext w:val="0"/>
        <w:widowControl/>
        <w:spacing w:before="0" w:after="100" w:line="259" w:lineRule="auto"/>
      </w:pPr>
      <w:r>
        <w:rPr>
          <w:rFonts w:ascii="Arial" w:hAnsi="Arial" w:eastAsia="Arial"/>
          <w:b w:val="0"/>
          <w:i w:val="0"/>
          <w:color w:val="26313A"/>
          <w:sz w:val="19"/>
        </w:rPr>
        <w:t>The portfolio is deliberately tilted away from the stated Core allocation and toward Growth/Quality, technology, and USD assets. That may be suitable for a long horizon and high risk capacity, or it may be an unintended concentration. The repo cannot tell because it does not encode goals, liabilities, required return, drawdown tolerance, liquidity needs, or a policy benchmark. No trade should be inferred from these numbers alone.</w:t>
      </w:r>
    </w:p>
    <w:p>
      <w:r>
        <w:br w:type="page"/>
      </w:r>
    </w:p>
    <w:p>
      <w:pPr>
        <w:pStyle w:val="Heading1"/>
        <w:keepNext/>
        <w:widowControl/>
        <w:spacing w:before="0" w:after="160" w:line="240" w:lineRule="auto"/>
      </w:pPr>
      <w:r>
        <w:rPr>
          <w:rFonts w:ascii="Arial" w:hAnsi="Arial" w:eastAsia="Arial"/>
          <w:b/>
          <w:color w:val="18324A"/>
          <w:sz w:val="32"/>
        </w:rPr>
        <w:t>5. Decision-integrity gaps</w:t>
      </w:r>
    </w:p>
    <w:p>
      <w:pPr>
        <w:pStyle w:val="Heading2"/>
        <w:keepNext/>
        <w:widowControl/>
        <w:spacing w:before="200" w:after="100" w:line="240" w:lineRule="auto"/>
      </w:pPr>
      <w:r>
        <w:rPr>
          <w:rFonts w:ascii="Arial" w:hAnsi="Arial" w:eastAsia="Arial"/>
          <w:b/>
          <w:color w:val="2E668E"/>
          <w:sz w:val="24"/>
        </w:rPr>
        <w:t>5.1 Currency error in classifier weights — P0</w:t>
      </w:r>
    </w:p>
    <w:p>
      <w:pPr>
        <w:keepNext w:val="0"/>
        <w:widowControl/>
        <w:spacing w:before="0" w:after="100" w:line="259" w:lineRule="auto"/>
      </w:pPr>
      <w:r>
        <w:rPr>
          <w:rFonts w:ascii="Arial" w:hAnsi="Arial" w:eastAsia="Arial"/>
          <w:b w:val="0"/>
          <w:i w:val="0"/>
          <w:color w:val="26313A"/>
          <w:sz w:val="19"/>
        </w:rPr>
        <w:t>The classifier computes position market value as quantity × latest price and then divides by the sum of those values. It does not translate USD quotes to CAD. Cost basis is CAD, so the same path can also compare a USD market value with a CAD cost basis. The analytics layer does normalize to CAD. This creates two conflicting portfolio truths.</w:t>
      </w:r>
    </w:p>
    <w:tbl>
      <w:tblPr>
        <w:tblW w:type="dxa" w:w="9331"/>
        <w:jc w:val="center"/>
        <w:tblLayout w:type="fixed"/>
        <w:tblLook w:firstColumn="1" w:firstRow="1" w:lastColumn="0" w:lastRow="0" w:noHBand="0" w:noVBand="1" w:val="04A0"/>
        <w:tblInd w:type="dxa" w:w="95"/>
      </w:tblPr>
      <w:tblGrid>
        <w:gridCol w:w="1656"/>
        <w:gridCol w:w="1944"/>
        <w:gridCol w:w="2088"/>
        <w:gridCol w:w="3643"/>
      </w:tblGrid>
      <w:tr>
        <w:trPr>
          <w:tblHeader w:val="true"/>
          <w:cantSplit/>
        </w:trPr>
        <w:tc>
          <w:tcPr>
            <w:tcW w:type="dxa" w:w="1656"/>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6"/>
              </w:rPr>
              <w:t>Holding</w:t>
            </w:r>
          </w:p>
        </w:tc>
        <w:tc>
          <w:tcPr>
            <w:tcW w:type="dxa" w:w="1944"/>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6"/>
              </w:rPr>
              <w:t>Classifier weight</w:t>
            </w:r>
          </w:p>
        </w:tc>
        <w:tc>
          <w:tcPr>
            <w:tcW w:type="dxa" w:w="2088"/>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6"/>
              </w:rPr>
              <w:t>CAD analytics weight</w:t>
            </w:r>
          </w:p>
        </w:tc>
        <w:tc>
          <w:tcPr>
            <w:tcW w:type="dxa" w:w="3643"/>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6"/>
              </w:rPr>
              <w:t>Difference / consequence</w:t>
            </w:r>
          </w:p>
        </w:tc>
      </w:tr>
      <w:tr>
        <w:trPr>
          <w:cantSplit/>
        </w:trPr>
        <w:tc>
          <w:tcPr>
            <w:tcW w:type="dxa" w:w="1656"/>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6"/>
              </w:rPr>
              <w:t>XEQT</w:t>
            </w:r>
          </w:p>
        </w:tc>
        <w:tc>
          <w:tcPr>
            <w:tcW w:type="dxa" w:w="1944"/>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25.85%</w:t>
            </w:r>
          </w:p>
        </w:tc>
        <w:tc>
          <w:tcPr>
            <w:tcW w:type="dxa" w:w="2088"/>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21.92%</w:t>
            </w:r>
          </w:p>
        </w:tc>
        <w:tc>
          <w:tcPr>
            <w:tcW w:type="dxa" w:w="3643"/>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+3.93 pp; overstates Core.</w:t>
            </w:r>
          </w:p>
        </w:tc>
      </w:tr>
      <w:tr>
        <w:trPr>
          <w:cantSplit/>
        </w:trPr>
        <w:tc>
          <w:tcPr>
            <w:tcW w:type="dxa" w:w="1656"/>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6"/>
              </w:rPr>
              <w:t>L</w:t>
            </w:r>
          </w:p>
        </w:tc>
        <w:tc>
          <w:tcPr>
            <w:tcW w:type="dxa" w:w="1944"/>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10.73%</w:t>
            </w:r>
          </w:p>
        </w:tc>
        <w:tc>
          <w:tcPr>
            <w:tcW w:type="dxa" w:w="2088"/>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9.09%</w:t>
            </w:r>
          </w:p>
        </w:tc>
        <w:tc>
          <w:tcPr>
            <w:tcW w:type="dxa" w:w="3643"/>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+1.64 pp; falsely appears above a 10% cap.</w:t>
            </w:r>
          </w:p>
        </w:tc>
      </w:tr>
      <w:tr>
        <w:trPr>
          <w:cantSplit/>
        </w:trPr>
        <w:tc>
          <w:tcPr>
            <w:tcW w:type="dxa" w:w="1656"/>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6"/>
              </w:rPr>
              <w:t>SMH</w:t>
            </w:r>
          </w:p>
        </w:tc>
        <w:tc>
          <w:tcPr>
            <w:tcW w:type="dxa" w:w="1944"/>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7.54%</w:t>
            </w:r>
          </w:p>
        </w:tc>
        <w:tc>
          <w:tcPr>
            <w:tcW w:type="dxa" w:w="2088"/>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8.96%</w:t>
            </w:r>
          </w:p>
        </w:tc>
        <w:tc>
          <w:tcPr>
            <w:tcW w:type="dxa" w:w="3643"/>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−1.42 pp; understates semiconductor exposure.</w:t>
            </w:r>
          </w:p>
        </w:tc>
      </w:tr>
    </w:tbl>
    <w:p>
      <w:pPr>
        <w:spacing w:after="20"/>
      </w:pPr>
    </w:p>
    <w:tbl>
      <w:tblPr>
        <w:tblW w:type="dxa" w:w="9331"/>
        <w:jc w:val="center"/>
        <w:tblLayout w:type="fixed"/>
        <w:tblLook w:firstColumn="1" w:firstRow="1" w:lastColumn="0" w:lastRow="0" w:noHBand="0" w:noVBand="1" w:val="04A0"/>
        <w:tblInd w:type="dxa" w:w="0"/>
      </w:tblPr>
      <w:tblGrid>
        <w:gridCol w:w="144"/>
        <w:gridCol w:w="9187"/>
      </w:tblGrid>
      <w:tr>
        <w:tc>
          <w:tcPr>
            <w:tcW w:type="dxa" w:w="144"/>
            <w:shd w:fill="A64040" w:val="clear"/>
            <w:tcMar>
              <w:top w:w="0" w:type="dxa"/>
              <w:start w:w="0" w:type="dxa"/>
              <w:bottom w:w="0" w:type="dxa"/>
              <w:end w:w="0" w:type="dxa"/>
            </w:tcMar>
            <w:tcBorders>
              <w:top w:val="nil"/>
              <w:left w:val="nil"/>
              <w:bottom w:val="nil"/>
              <w:right w:val="nil"/>
            </w:tcBorders>
          </w:tcPr>
          <w:p/>
        </w:tc>
        <w:tc>
          <w:tcPr>
            <w:tcW w:type="dxa" w:w="9187"/>
            <w:shd w:fill="F8E5E3" w:val="clear"/>
            <w:tcMar>
              <w:top w:w="0" w:type="dxa"/>
              <w:start w:w="0" w:type="dxa"/>
              <w:bottom w:w="0" w:type="dxa"/>
              <w:end w:w="0" w:type="dxa"/>
            </w:tcMar>
            <w:tcBorders>
              <w:top w:val="nil"/>
              <w:left w:val="nil"/>
              <w:bottom w:val="nil"/>
              <w:right w:val="nil"/>
            </w:tcBorders>
          </w:tcPr>
          <w:p>
            <w:pPr>
              <w:spacing w:after="40" w:before="120"/>
              <w:ind w:left="173" w:right="173"/>
            </w:pPr>
            <w:r>
              <w:rPr>
                <w:rFonts w:ascii="Arial" w:hAnsi="Arial" w:eastAsia="Arial"/>
                <w:b/>
                <w:color w:val="A64040"/>
                <w:sz w:val="18"/>
              </w:rPr>
              <w:t>Control required before any new recommendation</w:t>
            </w:r>
          </w:p>
          <w:p>
            <w:pPr>
              <w:keepNext w:val="0"/>
              <w:widowControl/>
              <w:spacing w:before="0" w:after="120" w:line="254" w:lineRule="auto"/>
              <w:ind w:left="173" w:right="173"/>
            </w:pPr>
            <w:r>
              <w:rPr>
                <w:rFonts w:ascii="Arial" w:hAnsi="Arial" w:eastAsia="Arial"/>
                <w:color w:val="26313A"/>
                <w:sz w:val="18"/>
              </w:rPr>
              <w:t>One canonical position snapshot, one base currency, one as-of timestamp, one account identifier. Classification, scoring, dashboard, and analytics must consume the same signed snapshot.</w:t>
            </w:r>
          </w:p>
        </w:tc>
      </w:tr>
    </w:tbl>
    <w:p>
      <w:pPr>
        <w:spacing w:after="0"/>
      </w:pPr>
    </w:p>
    <w:p>
      <w:pPr>
        <w:pStyle w:val="Heading2"/>
        <w:keepNext/>
        <w:widowControl/>
        <w:spacing w:before="200" w:after="100" w:line="240" w:lineRule="auto"/>
      </w:pPr>
      <w:r>
        <w:rPr>
          <w:rFonts w:ascii="Arial" w:hAnsi="Arial" w:eastAsia="Arial"/>
          <w:b/>
          <w:color w:val="2E668E"/>
          <w:sz w:val="24"/>
        </w:rPr>
        <w:t>5.2 Staleness is detected but not enforced end to end — P0</w:t>
      </w:r>
    </w:p>
    <w:p>
      <w:pPr>
        <w:pStyle w:val="ListBullet"/>
        <w:keepNext w:val="0"/>
        <w:widowControl/>
        <w:spacing w:before="0" w:after="50" w:line="250" w:lineRule="auto"/>
        <w:ind w:left="360" w:hanging="202"/>
      </w:pPr>
      <w:r>
        <w:rPr>
          <w:rFonts w:ascii="Arial" w:hAnsi="Arial" w:eastAsia="Arial"/>
          <w:color w:val="26313A"/>
          <w:sz w:val="18"/>
        </w:rPr>
        <w:t>All 27 prices were stale relative to the seven-day operating threshold.</w:t>
      </w:r>
    </w:p>
    <w:p>
      <w:pPr>
        <w:pStyle w:val="ListBullet"/>
        <w:keepNext w:val="0"/>
        <w:widowControl/>
        <w:spacing w:before="0" w:after="50" w:line="250" w:lineRule="auto"/>
        <w:ind w:left="360" w:hanging="202"/>
      </w:pPr>
      <w:r>
        <w:rPr>
          <w:rFonts w:ascii="Arial" w:hAnsi="Arial" w:eastAsia="Arial"/>
          <w:color w:val="26313A"/>
          <w:sz w:val="18"/>
        </w:rPr>
        <w:t>The generated KB portfolio pages reflected an older 26-holding snapshot and a materially different market value.</w:t>
      </w:r>
    </w:p>
    <w:p>
      <w:pPr>
        <w:pStyle w:val="ListBullet"/>
        <w:keepNext w:val="0"/>
        <w:widowControl/>
        <w:spacing w:before="0" w:after="50" w:line="250" w:lineRule="auto"/>
        <w:ind w:left="360" w:hanging="202"/>
      </w:pPr>
      <w:r>
        <w:rPr>
          <w:rFonts w:ascii="Arial" w:hAnsi="Arial" w:eastAsia="Arial"/>
          <w:color w:val="26313A"/>
          <w:sz w:val="18"/>
        </w:rPr>
        <w:t>SOFI and ZETA had no stock pages, while the staleness gate marked every live holding due; two were first-run.</w:t>
      </w:r>
    </w:p>
    <w:p>
      <w:pPr>
        <w:pStyle w:val="ListBullet"/>
        <w:keepNext w:val="0"/>
        <w:widowControl/>
        <w:spacing w:before="0" w:after="50" w:line="250" w:lineRule="auto"/>
        <w:ind w:left="360" w:hanging="202"/>
      </w:pPr>
      <w:r>
        <w:rPr>
          <w:rFonts w:ascii="Arial" w:hAnsi="Arial" w:eastAsia="Arial"/>
          <w:color w:val="26313A"/>
          <w:sz w:val="18"/>
        </w:rPr>
        <w:t>The classification export that feeds the gate was itself nine days old, yet the gate did not reject it as a portfolio snapshot.</w:t>
      </w:r>
    </w:p>
    <w:p>
      <w:pPr>
        <w:pStyle w:val="ListBullet"/>
        <w:keepNext w:val="0"/>
        <w:widowControl/>
        <w:spacing w:before="0" w:after="50" w:line="250" w:lineRule="auto"/>
        <w:ind w:left="360" w:hanging="202"/>
      </w:pPr>
      <w:r>
        <w:rPr>
          <w:rFonts w:ascii="Arial" w:hAnsi="Arial" w:eastAsia="Arial"/>
          <w:color w:val="26313A"/>
          <w:sz w:val="18"/>
        </w:rPr>
        <w:t>The portfolio risk log was empty despite material technology, USD, policy-drift, and data-freshness risks.</w:t>
      </w:r>
    </w:p>
    <w:p>
      <w:pPr>
        <w:pStyle w:val="Heading2"/>
        <w:keepNext/>
        <w:widowControl/>
        <w:spacing w:before="200" w:after="100" w:line="240" w:lineRule="auto"/>
      </w:pPr>
      <w:r>
        <w:rPr>
          <w:rFonts w:ascii="Arial" w:hAnsi="Arial" w:eastAsia="Arial"/>
          <w:b/>
          <w:color w:val="2E668E"/>
          <w:sz w:val="24"/>
        </w:rPr>
        <w:t>5.3 Policy arithmetic and semantics — P0</w:t>
      </w:r>
    </w:p>
    <w:p>
      <w:pPr>
        <w:keepNext w:val="0"/>
        <w:widowControl/>
        <w:spacing w:before="0" w:after="100" w:line="259" w:lineRule="auto"/>
      </w:pPr>
      <w:r>
        <w:rPr>
          <w:rFonts w:ascii="Arial" w:hAnsi="Arial" w:eastAsia="Arial"/>
          <w:b w:val="0"/>
          <w:i w:val="0"/>
          <w:color w:val="26313A"/>
          <w:sz w:val="19"/>
        </w:rPr>
        <w:t>Target points are Core 60%, Income 15%, Quality 15%, Growth 10%, and Alternatives 5%: 105% before cash. Min/max bands can overlap coherently, but target points used for drift cannot. Cash is marked flexible and has no minimum. The system therefore cannot distinguish a purposeful tactical tilt from an impossible policy breach.</w:t>
      </w:r>
    </w:p>
    <w:p>
      <w:pPr>
        <w:pStyle w:val="Heading2"/>
        <w:keepNext/>
        <w:widowControl/>
        <w:spacing w:before="200" w:after="100" w:line="240" w:lineRule="auto"/>
      </w:pPr>
      <w:r>
        <w:rPr>
          <w:rFonts w:ascii="Arial" w:hAnsi="Arial" w:eastAsia="Arial"/>
          <w:b/>
          <w:color w:val="2E668E"/>
          <w:sz w:val="24"/>
        </w:rPr>
        <w:t>5.4 Risk-adjusted performance uses a zero hurdle — P1</w:t>
      </w:r>
    </w:p>
    <w:p>
      <w:pPr>
        <w:keepNext w:val="0"/>
        <w:widowControl/>
        <w:spacing w:before="0" w:after="100" w:line="259" w:lineRule="auto"/>
      </w:pPr>
      <w:r>
        <w:rPr>
          <w:rFonts w:ascii="Arial" w:hAnsi="Arial" w:eastAsia="Arial"/>
          <w:b w:val="0"/>
          <w:i w:val="0"/>
          <w:color w:val="26313A"/>
          <w:sz w:val="19"/>
        </w:rPr>
        <w:t>src/config.py sets DEFAULT_RISK_FREE_RATE = 0.0. As of 22 July 2026, the Bank of Canada reported a 3-month Treasury-bill secondary-market yield of 2.26%; the policy rate was 2.25% on 15 July. A zero hurdle overstates Sharpe/Sortino and makes alpha less interpretable. The correct proxy should be dated, currency-consistent, and reproducible. [S1–S3]</w:t>
      </w:r>
    </w:p>
    <w:p>
      <w:r>
        <w:br w:type="page"/>
      </w:r>
    </w:p>
    <w:p>
      <w:pPr>
        <w:pStyle w:val="Heading1"/>
        <w:keepNext/>
        <w:widowControl/>
        <w:spacing w:before="0" w:after="160" w:line="240" w:lineRule="auto"/>
      </w:pPr>
      <w:r>
        <w:rPr>
          <w:rFonts w:ascii="Arial" w:hAnsi="Arial" w:eastAsia="Arial"/>
          <w:b/>
          <w:color w:val="18324A"/>
          <w:sz w:val="32"/>
        </w:rPr>
        <w:t>6. Why the current rubric can make expensive mistakes</w:t>
      </w:r>
    </w:p>
    <w:p>
      <w:pPr>
        <w:keepNext w:val="0"/>
        <w:widowControl/>
        <w:spacing w:before="0" w:after="100" w:line="259" w:lineRule="auto"/>
      </w:pPr>
      <w:r>
        <w:rPr>
          <w:rFonts w:ascii="Arial" w:hAnsi="Arial" w:eastAsia="Arial"/>
          <w:b w:val="0"/>
          <w:i w:val="0"/>
          <w:color w:val="26313A"/>
          <w:sz w:val="19"/>
        </w:rPr>
        <w:t>The v1.3 rubric is deterministic and auditable, but its economic model is too generic. Mathematical consistency is not the same as investment validity.</w:t>
      </w:r>
    </w:p>
    <w:tbl>
      <w:tblPr>
        <w:tblW w:type="dxa" w:w="9331"/>
        <w:jc w:val="center"/>
        <w:tblLayout w:type="fixed"/>
        <w:tblLook w:firstColumn="1" w:firstRow="1" w:lastColumn="0" w:lastRow="0" w:noHBand="0" w:noVBand="1" w:val="04A0"/>
        <w:tblInd w:type="dxa" w:w="95"/>
      </w:tblPr>
      <w:tblGrid>
        <w:gridCol w:w="1757"/>
        <w:gridCol w:w="2678"/>
        <w:gridCol w:w="2246"/>
        <w:gridCol w:w="2650"/>
      </w:tblGrid>
      <w:tr>
        <w:trPr>
          <w:tblHeader w:val="true"/>
          <w:cantSplit/>
        </w:trPr>
        <w:tc>
          <w:tcPr>
            <w:tcW w:type="dxa" w:w="1757"/>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Issue</w:t>
            </w:r>
          </w:p>
        </w:tc>
        <w:tc>
          <w:tcPr>
            <w:tcW w:type="dxa" w:w="2678"/>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Observed evidence</w:t>
            </w:r>
          </w:p>
        </w:tc>
        <w:tc>
          <w:tcPr>
            <w:tcW w:type="dxa" w:w="2246"/>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Financial consequence</w:t>
            </w:r>
          </w:p>
        </w:tc>
        <w:tc>
          <w:tcPr>
            <w:tcW w:type="dxa" w:w="2650"/>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Better design</w:t>
            </w:r>
          </w:p>
        </w:tc>
      </w:tr>
      <w:tr>
        <w:trPr>
          <w:cantSplit/>
        </w:trPr>
        <w:tc>
          <w:tcPr>
            <w:tcW w:type="dxa" w:w="1757"/>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Universal hard gates</w:t>
            </w:r>
          </w:p>
        </w:tc>
        <w:tc>
          <w:tcPr>
            <w:tcW w:type="dxa" w:w="267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BN solvency and ENB dividend-integrity gates forced Sell; analysts explicitly disputed the metrics.</w:t>
            </w:r>
          </w:p>
        </w:tc>
        <w:tc>
          <w:tcPr>
            <w:tcW w:type="dxa" w:w="224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Unnecessary exits, tax/spread cost, and lost compounding.</w:t>
            </w:r>
          </w:p>
        </w:tc>
        <w:tc>
          <w:tcPr>
            <w:tcW w:type="dxa" w:w="265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Sector/structure-specific gates; unknown ≠ fail; failed gate prompts review unless it matches a pre-committed thesis breaker.</w:t>
            </w:r>
          </w:p>
        </w:tc>
      </w:tr>
      <w:tr>
        <w:trPr>
          <w:cantSplit/>
        </w:trPr>
        <w:tc>
          <w:tcPr>
            <w:tcW w:type="dxa" w:w="1757"/>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Confidence conflation</w:t>
            </w:r>
          </w:p>
        </w:tc>
        <w:tc>
          <w:tcPr>
            <w:tcW w:type="dxa" w:w="2678"/>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High confidence can mean data groups were populated, not that the thesis is robust.</w:t>
            </w:r>
          </w:p>
        </w:tc>
        <w:tc>
          <w:tcPr>
            <w:tcW w:type="dxa" w:w="224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False certainty around weak providers or unstable estimates.</w:t>
            </w:r>
          </w:p>
        </w:tc>
        <w:tc>
          <w:tcPr>
            <w:tcW w:type="dxa" w:w="265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Separate completeness, source quality, model confidence, and outcome probability.</w:t>
            </w:r>
          </w:p>
        </w:tc>
      </w:tr>
      <w:tr>
        <w:trPr>
          <w:cantSplit/>
        </w:trPr>
        <w:tc>
          <w:tcPr>
            <w:tcW w:type="dxa" w:w="1757"/>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Noisy band boundaries</w:t>
            </w:r>
          </w:p>
        </w:tc>
        <w:tc>
          <w:tcPr>
            <w:tcW w:type="dxa" w:w="267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Actions changed across rubric versions; ZETA Add sat at 4.02 and several names were within 0.1 of a boundary.</w:t>
            </w:r>
          </w:p>
        </w:tc>
        <w:tc>
          <w:tcPr>
            <w:tcW w:type="dxa" w:w="224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Churn and recommendation whiplash.</w:t>
            </w:r>
          </w:p>
        </w:tc>
        <w:tc>
          <w:tcPr>
            <w:tcW w:type="dxa" w:w="265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Dead bands, minimum evidence change, and explicit no-trade state.</w:t>
            </w:r>
          </w:p>
        </w:tc>
      </w:tr>
      <w:tr>
        <w:trPr>
          <w:cantSplit/>
        </w:trPr>
        <w:tc>
          <w:tcPr>
            <w:tcW w:type="dxa" w:w="1757"/>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Missing business-quality layer</w:t>
            </w:r>
          </w:p>
        </w:tc>
        <w:tc>
          <w:tcPr>
            <w:tcW w:type="dxa" w:w="2678"/>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Composite score emphasizes valuation, sentiment, analysts, options, and momentum.</w:t>
            </w:r>
          </w:p>
        </w:tc>
        <w:tc>
          <w:tcPr>
            <w:tcW w:type="dxa" w:w="224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May reward noisy consensus data while missing moat, capital allocation, accounting quality, and dilution.</w:t>
            </w:r>
          </w:p>
        </w:tc>
        <w:tc>
          <w:tcPr>
            <w:tcW w:type="dxa" w:w="265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Company-specific KPI tree plus management, reinvestment, ROIC, and earnings-quality analysis.</w:t>
            </w:r>
          </w:p>
        </w:tc>
      </w:tr>
      <w:tr>
        <w:trPr>
          <w:cantSplit/>
        </w:trPr>
        <w:tc>
          <w:tcPr>
            <w:tcW w:type="dxa" w:w="1757"/>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No expected-return scenario</w:t>
            </w:r>
          </w:p>
        </w:tc>
        <w:tc>
          <w:tcPr>
            <w:tcW w:type="dxa" w:w="267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No base/bull/bear forecast or probability-weighted CAGR/IRR.</w:t>
            </w:r>
          </w:p>
        </w:tc>
        <w:tc>
          <w:tcPr>
            <w:tcW w:type="dxa" w:w="224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Cannot compare upside, downside, and opportunity cost.</w:t>
            </w:r>
          </w:p>
        </w:tc>
        <w:tc>
          <w:tcPr>
            <w:tcW w:type="dxa" w:w="265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Forecast revenue, margins, FCF, dilution, and exit valuation over a stated horizon.</w:t>
            </w:r>
          </w:p>
        </w:tc>
      </w:tr>
      <w:tr>
        <w:trPr>
          <w:cantSplit/>
        </w:trPr>
        <w:tc>
          <w:tcPr>
            <w:tcW w:type="dxa" w:w="1757"/>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Portfolio fit is static</w:t>
            </w:r>
          </w:p>
        </w:tc>
        <w:tc>
          <w:tcPr>
            <w:tcW w:type="dxa" w:w="2678"/>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Uses current sleeve/weight; does not model the after-trade portfolio.</w:t>
            </w:r>
          </w:p>
        </w:tc>
        <w:tc>
          <w:tcPr>
            <w:tcW w:type="dxa" w:w="224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 good security can be a bad trade because it worsens concentration or costs too much.</w:t>
            </w:r>
          </w:p>
        </w:tc>
        <w:tc>
          <w:tcPr>
            <w:tcW w:type="dxa" w:w="2650"/>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Evaluate current → proposed weights, marginal risk, overlap, costs, tax, and funding source.</w:t>
            </w:r>
          </w:p>
        </w:tc>
      </w:tr>
      <w:tr>
        <w:trPr>
          <w:cantSplit/>
        </w:trPr>
        <w:tc>
          <w:tcPr>
            <w:tcW w:type="dxa" w:w="1757"/>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Unknown-data renormalization</w:t>
            </w:r>
          </w:p>
        </w:tc>
        <w:tc>
          <w:tcPr>
            <w:tcW w:type="dxa" w:w="267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Missing dimensions can be reweighted away.</w:t>
            </w:r>
          </w:p>
        </w:tc>
        <w:tc>
          <w:tcPr>
            <w:tcW w:type="dxa" w:w="224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Critical uncertainty can disappear rather than reduce conviction.</w:t>
            </w:r>
          </w:p>
        </w:tc>
        <w:tc>
          <w:tcPr>
            <w:tcW w:type="dxa" w:w="2650"/>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Penalize missing decision-critical fields and retain an uncertainty budget.</w:t>
            </w:r>
          </w:p>
        </w:tc>
      </w:tr>
    </w:tbl>
    <w:p>
      <w:pPr>
        <w:spacing w:after="20"/>
      </w:pPr>
    </w:p>
    <w:p>
      <w:pPr>
        <w:pStyle w:val="Heading2"/>
        <w:keepNext/>
        <w:widowControl/>
        <w:spacing w:before="200" w:after="100" w:line="240" w:lineRule="auto"/>
      </w:pPr>
      <w:r>
        <w:rPr>
          <w:rFonts w:ascii="Arial" w:hAnsi="Arial" w:eastAsia="Arial"/>
          <w:b/>
          <w:color w:val="2E668E"/>
          <w:sz w:val="24"/>
        </w:rPr>
        <w:t>Recommendation evidence from real artifacts</w:t>
      </w:r>
    </w:p>
    <w:p>
      <w:pPr>
        <w:pStyle w:val="ListBullet"/>
        <w:keepNext w:val="0"/>
        <w:widowControl/>
        <w:spacing w:before="0" w:after="50" w:line="250" w:lineRule="auto"/>
        <w:ind w:left="360" w:hanging="202"/>
      </w:pPr>
      <w:r>
        <w:rPr>
          <w:rFonts w:ascii="Arial" w:hAnsi="Arial" w:eastAsia="Arial"/>
          <w:color w:val="26313A"/>
          <w:sz w:val="18"/>
        </w:rPr>
        <w:t>58 final recommendation artifacts cover 27 latest tickers. Many action changes occurred after rubric revisions rather than new fundamentals (for example DGRO, DRAM, META, NVDA, SMH, and ZEB).</w:t>
      </w:r>
    </w:p>
    <w:p>
      <w:pPr>
        <w:pStyle w:val="ListBullet"/>
        <w:keepNext w:val="0"/>
        <w:widowControl/>
        <w:spacing w:before="0" w:after="50" w:line="250" w:lineRule="auto"/>
        <w:ind w:left="360" w:hanging="202"/>
      </w:pPr>
      <w:r>
        <w:rPr>
          <w:rFonts w:ascii="Arial" w:hAnsi="Arial" w:eastAsia="Arial"/>
          <w:color w:val="26313A"/>
          <w:sz w:val="18"/>
        </w:rPr>
        <w:t>A review heuristic flagged explicit dissent, metric misapplication, boundary sensitivity, or data concerns in roughly 56% of latest analyst views. That does not prove each action is wrong; it proves the mechanical verdict is routinely missing economically important context.</w:t>
      </w:r>
    </w:p>
    <w:p>
      <w:pPr>
        <w:pStyle w:val="ListBullet"/>
        <w:keepNext w:val="0"/>
        <w:widowControl/>
        <w:spacing w:before="0" w:after="50" w:line="250" w:lineRule="auto"/>
        <w:ind w:left="360" w:hanging="202"/>
      </w:pPr>
      <w:r>
        <w:rPr>
          <w:rFonts w:ascii="Arial" w:hAnsi="Arial" w:eastAsia="Arial"/>
          <w:color w:val="26313A"/>
          <w:sz w:val="18"/>
        </w:rPr>
        <w:t>BN: consolidated asset-manager/holding-company statements make generic FCF, current-ratio, and debt/equity gates unreliable.</w:t>
      </w:r>
    </w:p>
    <w:p>
      <w:pPr>
        <w:pStyle w:val="ListBullet"/>
        <w:keepNext w:val="0"/>
        <w:widowControl/>
        <w:spacing w:before="0" w:after="50" w:line="250" w:lineRule="auto"/>
        <w:ind w:left="360" w:hanging="202"/>
      </w:pPr>
      <w:r>
        <w:rPr>
          <w:rFonts w:ascii="Arial" w:hAnsi="Arial" w:eastAsia="Arial"/>
          <w:color w:val="26313A"/>
          <w:sz w:val="18"/>
        </w:rPr>
        <w:t>ENB: GAAP payout ratio is not the primary dividend-coverage lens for a midstream operator; distributable cash flow / AFFO-style coverage is more decision-relevant.</w:t>
      </w:r>
    </w:p>
    <w:p>
      <w:pPr>
        <w:pStyle w:val="ListBullet"/>
        <w:keepNext w:val="0"/>
        <w:widowControl/>
        <w:spacing w:before="0" w:after="50" w:line="250" w:lineRule="auto"/>
        <w:ind w:left="360" w:hanging="202"/>
      </w:pPr>
      <w:r>
        <w:rPr>
          <w:rFonts w:ascii="Arial" w:hAnsi="Arial" w:eastAsia="Arial"/>
          <w:color w:val="26313A"/>
          <w:sz w:val="18"/>
        </w:rPr>
        <w:t>ZGLD: an operating-company rubric is not the right decision track for a gold ETF. AAPL, RTX, PZA, and other names also expose sector- or structure-specific metric problems.</w:t>
      </w:r>
    </w:p>
    <w:p>
      <w:pPr>
        <w:pStyle w:val="ListBullet"/>
        <w:keepNext w:val="0"/>
        <w:widowControl/>
        <w:spacing w:before="0" w:after="50" w:line="250" w:lineRule="auto"/>
        <w:ind w:left="360" w:hanging="202"/>
      </w:pPr>
      <w:r>
        <w:rPr>
          <w:rFonts w:ascii="Arial" w:hAnsi="Arial" w:eastAsia="Arial"/>
          <w:color w:val="26313A"/>
          <w:sz w:val="18"/>
        </w:rPr>
        <w:t>Logs preserve proposals but not a stable decision ID, source as-of set, supersession link, actual order/trade, forecast, or realized outcome.</w:t>
      </w:r>
    </w:p>
    <w:tbl>
      <w:tblPr>
        <w:tblW w:type="dxa" w:w="9331"/>
        <w:jc w:val="center"/>
        <w:tblLayout w:type="fixed"/>
        <w:tblLook w:firstColumn="1" w:firstRow="1" w:lastColumn="0" w:lastRow="0" w:noHBand="0" w:noVBand="1" w:val="04A0"/>
        <w:tblInd w:type="dxa" w:w="0"/>
      </w:tblPr>
      <w:tblGrid>
        <w:gridCol w:w="144"/>
        <w:gridCol w:w="9187"/>
      </w:tblGrid>
      <w:tr>
        <w:tc>
          <w:tcPr>
            <w:tcW w:type="dxa" w:w="144"/>
            <w:shd w:fill="A66A16" w:val="clear"/>
            <w:tcMar>
              <w:top w:w="0" w:type="dxa"/>
              <w:start w:w="0" w:type="dxa"/>
              <w:bottom w:w="0" w:type="dxa"/>
              <w:end w:w="0" w:type="dxa"/>
            </w:tcMar>
            <w:tcBorders>
              <w:top w:val="nil"/>
              <w:left w:val="nil"/>
              <w:bottom w:val="nil"/>
              <w:right w:val="nil"/>
            </w:tcBorders>
          </w:tcPr>
          <w:p/>
        </w:tc>
        <w:tc>
          <w:tcPr>
            <w:tcW w:type="dxa" w:w="9187"/>
            <w:shd w:fill="FFF2D8" w:val="clear"/>
            <w:tcMar>
              <w:top w:w="0" w:type="dxa"/>
              <w:start w:w="0" w:type="dxa"/>
              <w:bottom w:w="0" w:type="dxa"/>
              <w:end w:w="0" w:type="dxa"/>
            </w:tcMar>
            <w:tcBorders>
              <w:top w:val="nil"/>
              <w:left w:val="nil"/>
              <w:bottom w:val="nil"/>
              <w:right w:val="nil"/>
            </w:tcBorders>
          </w:tcPr>
          <w:p>
            <w:pPr>
              <w:spacing w:after="40" w:before="120"/>
              <w:ind w:left="173" w:right="173"/>
            </w:pPr>
            <w:r>
              <w:rPr>
                <w:rFonts w:ascii="Arial" w:hAnsi="Arial" w:eastAsia="Arial"/>
                <w:b/>
                <w:color w:val="A66A16"/>
                <w:sz w:val="18"/>
              </w:rPr>
              <w:t>Most important semantic change</w:t>
            </w:r>
          </w:p>
          <w:p>
            <w:pPr>
              <w:keepNext w:val="0"/>
              <w:widowControl/>
              <w:spacing w:before="0" w:after="120" w:line="254" w:lineRule="auto"/>
              <w:ind w:left="173" w:right="173"/>
            </w:pPr>
            <w:r>
              <w:rPr>
                <w:rFonts w:ascii="Arial" w:hAnsi="Arial" w:eastAsia="Arial"/>
                <w:color w:val="26313A"/>
                <w:sz w:val="18"/>
              </w:rPr>
              <w:t>A mechanical score may rank evidence; it should not be the portfolio action. The action is a separate, constrained decision that includes sizing, costs, risk, account, and a credible no-trade alternative.</w:t>
            </w:r>
          </w:p>
        </w:tc>
      </w:tr>
    </w:tbl>
    <w:p>
      <w:pPr>
        <w:spacing w:after="0"/>
      </w:pPr>
    </w:p>
    <w:p>
      <w:r>
        <w:br w:type="page"/>
      </w:r>
    </w:p>
    <w:p>
      <w:pPr>
        <w:pStyle w:val="Heading1"/>
        <w:keepNext/>
        <w:widowControl/>
        <w:spacing w:before="0" w:after="160" w:line="240" w:lineRule="auto"/>
      </w:pPr>
      <w:r>
        <w:rPr>
          <w:rFonts w:ascii="Arial" w:hAnsi="Arial" w:eastAsia="Arial"/>
          <w:b/>
          <w:color w:val="18324A"/>
          <w:sz w:val="32"/>
        </w:rPr>
        <w:t>7. Portfolio-construction gaps</w:t>
      </w:r>
    </w:p>
    <w:p>
      <w:pPr>
        <w:keepNext w:val="0"/>
        <w:widowControl/>
        <w:spacing w:before="0" w:after="100" w:line="259" w:lineRule="auto"/>
      </w:pPr>
      <w:r>
        <w:rPr>
          <w:rFonts w:ascii="Arial" w:hAnsi="Arial" w:eastAsia="Arial"/>
          <w:b w:val="0"/>
          <w:i w:val="0"/>
          <w:color w:val="26313A"/>
          <w:sz w:val="19"/>
        </w:rPr>
        <w:t>The repo measures historical volatility and concentration, but it does not yet answer the portfolio manager's central question: what changes if this position is added, reduced, or left alone?</w:t>
      </w:r>
    </w:p>
    <w:tbl>
      <w:tblPr>
        <w:tblW w:type="dxa" w:w="9332"/>
        <w:jc w:val="center"/>
        <w:tblLayout w:type="fixed"/>
        <w:tblLook w:firstColumn="1" w:firstRow="1" w:lastColumn="0" w:lastRow="0" w:noHBand="0" w:noVBand="1" w:val="04A0"/>
        <w:tblInd w:type="dxa" w:w="95"/>
      </w:tblPr>
      <w:tblGrid>
        <w:gridCol w:w="2045"/>
        <w:gridCol w:w="3082"/>
        <w:gridCol w:w="4205"/>
      </w:tblGrid>
      <w:tr>
        <w:trPr>
          <w:tblHeader w:val="true"/>
          <w:cantSplit/>
        </w:trPr>
        <w:tc>
          <w:tcPr>
            <w:tcW w:type="dxa" w:w="2045"/>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Missing capability</w:t>
            </w:r>
          </w:p>
        </w:tc>
        <w:tc>
          <w:tcPr>
            <w:tcW w:type="dxa" w:w="3082"/>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Why it matters here</w:t>
            </w:r>
          </w:p>
        </w:tc>
        <w:tc>
          <w:tcPr>
            <w:tcW w:type="dxa" w:w="4205"/>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Minimum useful output</w:t>
            </w:r>
          </w:p>
        </w:tc>
      </w:tr>
      <w:tr>
        <w:trPr>
          <w:cantSplit/>
        </w:trPr>
        <w:tc>
          <w:tcPr>
            <w:tcW w:type="dxa" w:w="204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Goals and risk capacity</w:t>
            </w:r>
          </w:p>
        </w:tc>
        <w:tc>
          <w:tcPr>
            <w:tcW w:type="dxa" w:w="308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 42.4% historical drawdown and 38.8% volatility may or may not be acceptable.</w:t>
            </w:r>
          </w:p>
        </w:tc>
        <w:tc>
          <w:tcPr>
            <w:tcW w:type="dxa" w:w="420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Time horizon, required return, max tolerable loss, liquidity reserve, contribution schedule, and major liabilities.</w:t>
            </w:r>
          </w:p>
        </w:tc>
      </w:tr>
      <w:tr>
        <w:trPr>
          <w:cantSplit/>
        </w:trPr>
        <w:tc>
          <w:tcPr>
            <w:tcW w:type="dxa" w:w="204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Policy benchmark</w:t>
            </w:r>
          </w:p>
        </w:tc>
        <w:tc>
          <w:tcPr>
            <w:tcW w:type="dxa" w:w="308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XEQT is both the largest holding and a possible benchmark; the sleeve targets do not describe XEQT alone.</w:t>
            </w:r>
          </w:p>
        </w:tc>
        <w:tc>
          <w:tcPr>
            <w:tcW w:type="dxa" w:w="420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CAD total-return composite weighted to feasible policy sleeves, with active return and tracking error.</w:t>
            </w:r>
          </w:p>
        </w:tc>
      </w:tr>
      <w:tr>
        <w:trPr>
          <w:cantSplit/>
        </w:trPr>
        <w:tc>
          <w:tcPr>
            <w:tcW w:type="dxa" w:w="204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Full issuer look-through</w:t>
            </w:r>
          </w:p>
        </w:tc>
        <w:tc>
          <w:tcPr>
            <w:tcW w:type="dxa" w:w="308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Direct NVDA plus SMH alone is &gt;6.5% before XEQT/other funds; current overlap misses direct-vs-fund and nested funds.</w:t>
            </w:r>
          </w:p>
        </w:tc>
        <w:tc>
          <w:tcPr>
            <w:tcW w:type="dxa" w:w="420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Underlying issuer exposure across all direct stocks and every fund layer, with coverage percentage.</w:t>
            </w:r>
          </w:p>
        </w:tc>
      </w:tr>
      <w:tr>
        <w:trPr>
          <w:cantSplit/>
        </w:trPr>
        <w:tc>
          <w:tcPr>
            <w:tcW w:type="dxa" w:w="204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Risk contribution</w:t>
            </w:r>
          </w:p>
        </w:tc>
        <w:tc>
          <w:tcPr>
            <w:tcW w:type="dxa" w:w="308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Top weights do not reveal which names drive portfolio loss.</w:t>
            </w:r>
          </w:p>
        </w:tc>
        <w:tc>
          <w:tcPr>
            <w:tcW w:type="dxa" w:w="420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Covariance matrix; marginal and percentage contribution to volatility and expected shortfall.</w:t>
            </w:r>
          </w:p>
        </w:tc>
      </w:tr>
      <w:tr>
        <w:trPr>
          <w:cantSplit/>
        </w:trPr>
        <w:tc>
          <w:tcPr>
            <w:tcW w:type="dxa" w:w="204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Factor and scenario risk</w:t>
            </w:r>
          </w:p>
        </w:tc>
        <w:tc>
          <w:tcPr>
            <w:tcW w:type="dxa" w:w="308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Technology 42.3% and USD 53.1% create common drivers.</w:t>
            </w:r>
          </w:p>
        </w:tc>
        <w:tc>
          <w:tcPr>
            <w:tcW w:type="dxa" w:w="420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Market/size/value/momentum/quality/beta exposures plus CAD shock, tech drawdown, rate, recession, and inflation scenarios.</w:t>
            </w:r>
          </w:p>
        </w:tc>
      </w:tr>
      <w:tr>
        <w:trPr>
          <w:cantSplit/>
        </w:trPr>
        <w:tc>
          <w:tcPr>
            <w:tcW w:type="dxa" w:w="204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Liquidity and execution</w:t>
            </w:r>
          </w:p>
        </w:tc>
        <w:tc>
          <w:tcPr>
            <w:tcW w:type="dxa" w:w="308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Small positions and cross-currency trades can have costs disproportionate to expected benefit.</w:t>
            </w:r>
          </w:p>
        </w:tc>
        <w:tc>
          <w:tcPr>
            <w:tcW w:type="dxa" w:w="420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Spread, ADV/volume, days-to-liquidate, FX, commissions, staged execution, and no-trade buffer.</w:t>
            </w:r>
          </w:p>
        </w:tc>
      </w:tr>
      <w:tr>
        <w:trPr>
          <w:cantSplit/>
        </w:trPr>
        <w:tc>
          <w:tcPr>
            <w:tcW w:type="dxa" w:w="204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Account-aware return</w:t>
            </w:r>
          </w:p>
        </w:tc>
        <w:tc>
          <w:tcPr>
            <w:tcW w:type="dxa" w:w="308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All observed classification records were TFSA, but tax and withholding are absent from scoring.</w:t>
            </w:r>
          </w:p>
        </w:tc>
        <w:tc>
          <w:tcPr>
            <w:tcW w:type="dxa" w:w="420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After-withholding income and after-cost expected return by account; flag items for tax-professional validation.</w:t>
            </w:r>
          </w:p>
        </w:tc>
      </w:tr>
      <w:tr>
        <w:trPr>
          <w:cantSplit/>
        </w:trPr>
        <w:tc>
          <w:tcPr>
            <w:tcW w:type="dxa" w:w="204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Rebalance rule</w:t>
            </w:r>
          </w:p>
        </w:tc>
        <w:tc>
          <w:tcPr>
            <w:tcW w:type="dxa" w:w="308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Current sleeve breaches are noisy and policy is infeasible.</w:t>
            </w:r>
          </w:p>
        </w:tc>
        <w:tc>
          <w:tcPr>
            <w:tcW w:type="dxa" w:w="420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Contribution-first bands, explicit trigger threshold, cooldown/hysteresis, and post-trade policy check.</w:t>
            </w:r>
          </w:p>
        </w:tc>
      </w:tr>
    </w:tbl>
    <w:p>
      <w:pPr>
        <w:spacing w:after="20"/>
      </w:pPr>
    </w:p>
    <w:p>
      <w:pPr>
        <w:pStyle w:val="Heading2"/>
        <w:keepNext/>
        <w:widowControl/>
        <w:spacing w:before="200" w:after="100" w:line="240" w:lineRule="auto"/>
      </w:pPr>
      <w:r>
        <w:rPr>
          <w:rFonts w:ascii="Arial" w:hAnsi="Arial" w:eastAsia="Arial"/>
          <w:b/>
          <w:color w:val="2E668E"/>
          <w:sz w:val="24"/>
        </w:rPr>
        <w:t>What can already be reused</w:t>
      </w:r>
    </w:p>
    <w:p>
      <w:pPr>
        <w:keepNext w:val="0"/>
        <w:widowControl/>
        <w:spacing w:before="0" w:after="100" w:line="259" w:lineRule="auto"/>
      </w:pPr>
      <w:r>
        <w:rPr>
          <w:rFonts w:ascii="Arial" w:hAnsi="Arial" w:eastAsia="Arial"/>
          <w:b w:val="0"/>
          <w:i w:val="0"/>
          <w:color w:val="26313A"/>
          <w:sz w:val="19"/>
        </w:rPr>
        <w:t>The price history, CAD value series, benchmark fetcher, ETF top holdings, sector look-through, concentration, fee estimate, transaction ledger, account type, and portfolio policy files are all usable inputs. The missing work is mainly canonicalization, new portfolio-level calculations, and decision semantics — not a new ingestion platform.</w:t>
      </w:r>
    </w:p>
    <w:p>
      <w:pPr>
        <w:pStyle w:val="Heading2"/>
        <w:keepNext/>
        <w:widowControl/>
        <w:spacing w:before="200" w:after="100" w:line="240" w:lineRule="auto"/>
      </w:pPr>
      <w:r>
        <w:rPr>
          <w:rFonts w:ascii="Arial" w:hAnsi="Arial" w:eastAsia="Arial"/>
          <w:b/>
          <w:color w:val="2E668E"/>
          <w:sz w:val="24"/>
        </w:rPr>
        <w:t>Interpret the current exposure carefully</w:t>
      </w:r>
    </w:p>
    <w:p>
      <w:pPr>
        <w:pStyle w:val="ListBullet"/>
        <w:keepNext w:val="0"/>
        <w:widowControl/>
        <w:spacing w:before="0" w:after="50" w:line="250" w:lineRule="auto"/>
        <w:ind w:left="360" w:hanging="202"/>
      </w:pPr>
      <w:r>
        <w:rPr>
          <w:rFonts w:ascii="Arial" w:hAnsi="Arial" w:eastAsia="Arial"/>
          <w:color w:val="26313A"/>
          <w:sz w:val="18"/>
        </w:rPr>
        <w:t>Technology at 42.28% is a factor bet, not just a sector statistic. SMH, DRAM, NVDA, PLTR, NOW, AAPL, and broad ETFs create correlated upside and downside.</w:t>
      </w:r>
    </w:p>
    <w:p>
      <w:pPr>
        <w:pStyle w:val="ListBullet"/>
        <w:keepNext w:val="0"/>
        <w:widowControl/>
        <w:spacing w:before="0" w:after="50" w:line="250" w:lineRule="auto"/>
        <w:ind w:left="360" w:hanging="202"/>
      </w:pPr>
      <w:r>
        <w:rPr>
          <w:rFonts w:ascii="Arial" w:hAnsi="Arial" w:eastAsia="Arial"/>
          <w:color w:val="26313A"/>
          <w:sz w:val="18"/>
        </w:rPr>
        <w:t>USD at 53.09% can diversify CAD purchasing power but also changes return, drawdown, and rebalancing costs. Currency exposure should be separated into listing currency, economic revenue currency, and transaction currency.</w:t>
      </w:r>
    </w:p>
    <w:p>
      <w:pPr>
        <w:pStyle w:val="ListBullet"/>
        <w:keepNext w:val="0"/>
        <w:widowControl/>
        <w:spacing w:before="0" w:after="50" w:line="250" w:lineRule="auto"/>
        <w:ind w:left="360" w:hanging="202"/>
      </w:pPr>
      <w:r>
        <w:rPr>
          <w:rFonts w:ascii="Arial" w:hAnsi="Arial" w:eastAsia="Arial"/>
          <w:color w:val="26313A"/>
          <w:sz w:val="18"/>
        </w:rPr>
        <w:t>Top 10 at 72.24% and effective holdings of 11.61 show that 27 line items do not equal 27 independent bets.</w:t>
      </w:r>
    </w:p>
    <w:p>
      <w:pPr>
        <w:pStyle w:val="ListBullet"/>
        <w:keepNext w:val="0"/>
        <w:widowControl/>
        <w:spacing w:before="0" w:after="50" w:line="250" w:lineRule="auto"/>
        <w:ind w:left="360" w:hanging="202"/>
      </w:pPr>
      <w:r>
        <w:rPr>
          <w:rFonts w:ascii="Arial" w:hAnsi="Arial" w:eastAsia="Arial"/>
          <w:color w:val="26313A"/>
          <w:sz w:val="18"/>
        </w:rPr>
        <w:t>The Core sleeve at 21.92% versus a stated 55–70% band may be a deliberate core-satellite design failure, a stale policy, or an allocation failure. The system needs the owner's intent before labeling it.</w:t>
      </w:r>
    </w:p>
    <w:p>
      <w:r>
        <w:br w:type="page"/>
      </w:r>
    </w:p>
    <w:p>
      <w:pPr>
        <w:pStyle w:val="Heading1"/>
        <w:keepNext/>
        <w:widowControl/>
        <w:spacing w:before="0" w:after="160" w:line="240" w:lineRule="auto"/>
      </w:pPr>
      <w:r>
        <w:rPr>
          <w:rFonts w:ascii="Arial" w:hAnsi="Arial" w:eastAsia="Arial"/>
          <w:b/>
          <w:color w:val="18324A"/>
          <w:sz w:val="32"/>
        </w:rPr>
        <w:t>8. Research expansion: pull less noise, more authority</w:t>
      </w:r>
    </w:p>
    <w:p>
      <w:pPr>
        <w:keepNext w:val="0"/>
        <w:widowControl/>
        <w:spacing w:before="0" w:after="100" w:line="259" w:lineRule="auto"/>
      </w:pPr>
      <w:r>
        <w:rPr>
          <w:rFonts w:ascii="Arial" w:hAnsi="Arial" w:eastAsia="Arial"/>
          <w:b w:val="0"/>
          <w:i w:val="0"/>
          <w:color w:val="26313A"/>
          <w:sz w:val="19"/>
        </w:rPr>
        <w:t>The current fetcher is broad but relies heavily on yfinance. Use it as a convenience and screening layer, not the source of record for financial statements, capital structure, insider activity, or fund costs.</w:t>
      </w:r>
    </w:p>
    <w:tbl>
      <w:tblPr>
        <w:tblW w:type="dxa" w:w="9331"/>
        <w:jc w:val="center"/>
        <w:tblLayout w:type="fixed"/>
        <w:tblLook w:firstColumn="1" w:firstRow="1" w:lastColumn="0" w:lastRow="0" w:noHBand="0" w:noVBand="1" w:val="04A0"/>
        <w:tblInd w:type="dxa" w:w="95"/>
      </w:tblPr>
      <w:tblGrid>
        <w:gridCol w:w="806"/>
        <w:gridCol w:w="2074"/>
        <w:gridCol w:w="3773"/>
        <w:gridCol w:w="2678"/>
      </w:tblGrid>
      <w:tr>
        <w:trPr>
          <w:tblHeader w:val="true"/>
          <w:cantSplit/>
        </w:trPr>
        <w:tc>
          <w:tcPr>
            <w:tcW w:type="dxa" w:w="806"/>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Priority</w:t>
            </w:r>
          </w:p>
        </w:tc>
        <w:tc>
          <w:tcPr>
            <w:tcW w:type="dxa" w:w="2074"/>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Source/data</w:t>
            </w:r>
          </w:p>
        </w:tc>
        <w:tc>
          <w:tcPr>
            <w:tcW w:type="dxa" w:w="3773"/>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Fields to capture</w:t>
            </w:r>
          </w:p>
        </w:tc>
        <w:tc>
          <w:tcPr>
            <w:tcW w:type="dxa" w:w="2678"/>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Decision use</w:t>
            </w:r>
          </w:p>
        </w:tc>
      </w:tr>
      <w:tr>
        <w:trPr>
          <w:cantSplit/>
        </w:trPr>
        <w:tc>
          <w:tcPr>
            <w:tcW w:type="dxa" w:w="80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Tier 0</w:t>
            </w:r>
          </w:p>
        </w:tc>
        <w:tc>
          <w:tcPr>
            <w:tcW w:type="dxa" w:w="207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Canonical portfolio snapshot</w:t>
            </w:r>
          </w:p>
        </w:tc>
        <w:tc>
          <w:tcPr>
            <w:tcW w:type="dxa" w:w="3773"/>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Account, base/listing currency, FX rate/source, quantity, price/as-of, CAD value, cost basis, pending corporate actions.</w:t>
            </w:r>
          </w:p>
        </w:tc>
        <w:tc>
          <w:tcPr>
            <w:tcW w:type="dxa" w:w="267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Everything else must refuse to run if this fails.</w:t>
            </w:r>
          </w:p>
        </w:tc>
      </w:tr>
      <w:tr>
        <w:trPr>
          <w:cantSplit/>
        </w:trPr>
        <w:tc>
          <w:tcPr>
            <w:tcW w:type="dxa" w:w="80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Tier 1</w:t>
            </w:r>
          </w:p>
        </w:tc>
        <w:tc>
          <w:tcPr>
            <w:tcW w:type="dxa" w:w="207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Company filings: SEC EDGAR and SEDAR+</w:t>
            </w:r>
          </w:p>
        </w:tc>
        <w:tc>
          <w:tcPr>
            <w:tcW w:type="dxa" w:w="3773"/>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Audited statements, XBRL facts, segment/revenue geography, debt maturities, shares/SBC, buybacks, guidance, risks, auditor changes.</w:t>
            </w:r>
          </w:p>
        </w:tc>
        <w:tc>
          <w:tcPr>
            <w:tcW w:type="dxa" w:w="2678"/>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Authoritative fundamentals and thesis falsifiers. [S4–S6]</w:t>
            </w:r>
          </w:p>
        </w:tc>
      </w:tr>
      <w:tr>
        <w:trPr>
          <w:cantSplit/>
        </w:trPr>
        <w:tc>
          <w:tcPr>
            <w:tcW w:type="dxa" w:w="80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Tier 1</w:t>
            </w:r>
          </w:p>
        </w:tc>
        <w:tc>
          <w:tcPr>
            <w:tcW w:type="dxa" w:w="207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Company IR / earnings materials</w:t>
            </w:r>
          </w:p>
        </w:tc>
        <w:tc>
          <w:tcPr>
            <w:tcW w:type="dxa" w:w="3773"/>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Prepared remarks, transcript, KPI definitions, guidance bridge, capital-allocation commentary.</w:t>
            </w:r>
          </w:p>
        </w:tc>
        <w:tc>
          <w:tcPr>
            <w:tcW w:type="dxa" w:w="267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What changed versus the underwriting thesis.</w:t>
            </w:r>
          </w:p>
        </w:tc>
      </w:tr>
      <w:tr>
        <w:trPr>
          <w:cantSplit/>
        </w:trPr>
        <w:tc>
          <w:tcPr>
            <w:tcW w:type="dxa" w:w="80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Tier 1</w:t>
            </w:r>
          </w:p>
        </w:tc>
        <w:tc>
          <w:tcPr>
            <w:tcW w:type="dxa" w:w="207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ETF provider factsheets/holdings</w:t>
            </w:r>
          </w:p>
        </w:tc>
        <w:tc>
          <w:tcPr>
            <w:tcW w:type="dxa" w:w="3773"/>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MER, AUM, index, replication, distributions, tracking difference, full holdings, lending, currency hedge, fund-of-funds structure.</w:t>
            </w:r>
          </w:p>
        </w:tc>
        <w:tc>
          <w:tcPr>
            <w:tcW w:type="dxa" w:w="2678"/>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True ownership cost and underlying exposure.</w:t>
            </w:r>
          </w:p>
        </w:tc>
      </w:tr>
      <w:tr>
        <w:trPr>
          <w:cantSplit/>
        </w:trPr>
        <w:tc>
          <w:tcPr>
            <w:tcW w:type="dxa" w:w="80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Tier 1</w:t>
            </w:r>
          </w:p>
        </w:tc>
        <w:tc>
          <w:tcPr>
            <w:tcW w:type="dxa" w:w="207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Bank of Canada</w:t>
            </w:r>
          </w:p>
        </w:tc>
        <w:tc>
          <w:tcPr>
            <w:tcW w:type="dxa" w:w="3773"/>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Daily FX, 3-month T-bill/CORRA, dated series ID and observation.</w:t>
            </w:r>
          </w:p>
        </w:tc>
        <w:tc>
          <w:tcPr>
            <w:tcW w:type="dxa" w:w="267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Currency translation and risk-free hurdle. [S1–S3]</w:t>
            </w:r>
          </w:p>
        </w:tc>
      </w:tr>
      <w:tr>
        <w:trPr>
          <w:cantSplit/>
        </w:trPr>
        <w:tc>
          <w:tcPr>
            <w:tcW w:type="dxa" w:w="80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Tier 2</w:t>
            </w:r>
          </w:p>
        </w:tc>
        <w:tc>
          <w:tcPr>
            <w:tcW w:type="dxa" w:w="207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Insider filings</w:t>
            </w:r>
          </w:p>
        </w:tc>
        <w:tc>
          <w:tcPr>
            <w:tcW w:type="dxa" w:w="3773"/>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Transaction type, beneficial ownership, price, grant vs open-market, filing lag, 10b5-1/plan context where available.</w:t>
            </w:r>
          </w:p>
        </w:tc>
        <w:tc>
          <w:tcPr>
            <w:tcW w:type="dxa" w:w="2678"/>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Alignment signal, not a naive buy/sell count. [S7]</w:t>
            </w:r>
          </w:p>
        </w:tc>
      </w:tr>
      <w:tr>
        <w:trPr>
          <w:cantSplit/>
        </w:trPr>
        <w:tc>
          <w:tcPr>
            <w:tcW w:type="dxa" w:w="80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Tier 2</w:t>
            </w:r>
          </w:p>
        </w:tc>
        <w:tc>
          <w:tcPr>
            <w:tcW w:type="dxa" w:w="207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Consensus revisions</w:t>
            </w:r>
          </w:p>
        </w:tc>
        <w:tc>
          <w:tcPr>
            <w:tcW w:type="dxa" w:w="3773"/>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EPS/revenue estimate level, breadth, magnitude, dispersion, timestamp, contributor count.</w:t>
            </w:r>
          </w:p>
        </w:tc>
        <w:tc>
          <w:tcPr>
            <w:tcW w:type="dxa" w:w="267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Change in expectations; separate from target-price popularity.</w:t>
            </w:r>
          </w:p>
        </w:tc>
      </w:tr>
      <w:tr>
        <w:trPr>
          <w:cantSplit/>
        </w:trPr>
        <w:tc>
          <w:tcPr>
            <w:tcW w:type="dxa" w:w="80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Tier 2</w:t>
            </w:r>
          </w:p>
        </w:tc>
        <w:tc>
          <w:tcPr>
            <w:tcW w:type="dxa" w:w="207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Credit / capital structure</w:t>
            </w:r>
          </w:p>
        </w:tc>
        <w:tc>
          <w:tcPr>
            <w:tcW w:type="dxa" w:w="3773"/>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Net debt, interest coverage, covenants, maturity wall, ratings/outlook, preferred/convertible claims.</w:t>
            </w:r>
          </w:p>
        </w:tc>
        <w:tc>
          <w:tcPr>
            <w:tcW w:type="dxa" w:w="2678"/>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Downside and refinancing risk.</w:t>
            </w:r>
          </w:p>
        </w:tc>
      </w:tr>
      <w:tr>
        <w:trPr>
          <w:cantSplit/>
        </w:trPr>
        <w:tc>
          <w:tcPr>
            <w:tcW w:type="dxa" w:w="80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Tier 3</w:t>
            </w:r>
          </w:p>
        </w:tc>
        <w:tc>
          <w:tcPr>
            <w:tcW w:type="dxa" w:w="207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Industry KPI datasets</w:t>
            </w:r>
          </w:p>
        </w:tc>
        <w:tc>
          <w:tcPr>
            <w:tcW w:type="dxa" w:w="3773"/>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Company-specific drivers: ARR/NRR, bookings, utilization, reserves, throughput, same-store sales, AUM flows, loss ratios, etc.</w:t>
            </w:r>
          </w:p>
        </w:tc>
        <w:tc>
          <w:tcPr>
            <w:tcW w:type="dxa" w:w="267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Makes the thesis economic rather than generic.</w:t>
            </w:r>
          </w:p>
        </w:tc>
      </w:tr>
    </w:tbl>
    <w:p>
      <w:pPr>
        <w:spacing w:after="20"/>
      </w:pPr>
    </w:p>
    <w:p>
      <w:pPr>
        <w:pStyle w:val="Heading2"/>
        <w:keepNext/>
        <w:widowControl/>
        <w:spacing w:before="200" w:after="100" w:line="240" w:lineRule="auto"/>
      </w:pPr>
      <w:r>
        <w:rPr>
          <w:rFonts w:ascii="Arial" w:hAnsi="Arial" w:eastAsia="Arial"/>
          <w:b/>
          <w:color w:val="2E668E"/>
          <w:sz w:val="24"/>
        </w:rPr>
        <w:t>Source hierarchy and evidence rules</w:t>
      </w:r>
    </w:p>
    <w:p>
      <w:pPr>
        <w:pStyle w:val="ListBullet"/>
        <w:keepNext w:val="0"/>
        <w:widowControl/>
        <w:spacing w:before="0" w:after="50" w:line="250" w:lineRule="auto"/>
        <w:ind w:left="360" w:hanging="202"/>
      </w:pPr>
      <w:r>
        <w:rPr>
          <w:rFonts w:ascii="Arial" w:hAnsi="Arial" w:eastAsia="Arial"/>
          <w:color w:val="26313A"/>
          <w:sz w:val="18"/>
        </w:rPr>
        <w:t>Primary filing / regulator / fund provider &gt; company investor relations &gt; licensed consensus or exchange data &gt; reputable secondary research &gt; convenience aggregators &gt; unsourced narrative.</w:t>
      </w:r>
    </w:p>
    <w:p>
      <w:pPr>
        <w:pStyle w:val="ListBullet"/>
        <w:keepNext w:val="0"/>
        <w:widowControl/>
        <w:spacing w:before="0" w:after="50" w:line="250" w:lineRule="auto"/>
        <w:ind w:left="360" w:hanging="202"/>
      </w:pPr>
      <w:r>
        <w:rPr>
          <w:rFonts w:ascii="Arial" w:hAnsi="Arial" w:eastAsia="Arial"/>
          <w:color w:val="26313A"/>
          <w:sz w:val="18"/>
        </w:rPr>
        <w:t>Store source URL, publication timestamp, period end, retrieval timestamp, currency/unit, restatement status, and parser version beside every decision-critical fact.</w:t>
      </w:r>
    </w:p>
    <w:p>
      <w:pPr>
        <w:pStyle w:val="ListBullet"/>
        <w:keepNext w:val="0"/>
        <w:widowControl/>
        <w:spacing w:before="0" w:after="50" w:line="250" w:lineRule="auto"/>
        <w:ind w:left="360" w:hanging="202"/>
      </w:pPr>
      <w:r>
        <w:rPr>
          <w:rFonts w:ascii="Arial" w:hAnsi="Arial" w:eastAsia="Arial"/>
          <w:color w:val="26313A"/>
          <w:sz w:val="18"/>
        </w:rPr>
        <w:t>When two sources disagree, preserve both values and explain the reconciliation; do not silently overwrite.</w:t>
      </w:r>
    </w:p>
    <w:p>
      <w:pPr>
        <w:pStyle w:val="ListBullet"/>
        <w:keepNext w:val="0"/>
        <w:widowControl/>
        <w:spacing w:before="0" w:after="50" w:line="250" w:lineRule="auto"/>
        <w:ind w:left="360" w:hanging="202"/>
      </w:pPr>
      <w:r>
        <w:rPr>
          <w:rFonts w:ascii="Arial" w:hAnsi="Arial" w:eastAsia="Arial"/>
          <w:color w:val="26313A"/>
          <w:sz w:val="18"/>
        </w:rPr>
        <w:t>Separate reported facts, management guidance, consensus estimates, and analyst assumptions. Never average them into one unlabeled number.</w:t>
      </w:r>
    </w:p>
    <w:p>
      <w:pPr>
        <w:pStyle w:val="ListBullet"/>
        <w:keepNext w:val="0"/>
        <w:widowControl/>
        <w:spacing w:before="0" w:after="50" w:line="250" w:lineRule="auto"/>
        <w:ind w:left="360" w:hanging="202"/>
      </w:pPr>
      <w:r>
        <w:rPr>
          <w:rFonts w:ascii="Arial" w:hAnsi="Arial" w:eastAsia="Arial"/>
          <w:color w:val="26313A"/>
          <w:sz w:val="18"/>
        </w:rPr>
        <w:t>News and options sentiment should be context, not a large standalone vote. Their value must be proven through calibration before receiving weight.</w:t>
      </w:r>
    </w:p>
    <w:p>
      <w:pPr>
        <w:pStyle w:val="Heading2"/>
        <w:keepNext/>
        <w:widowControl/>
        <w:spacing w:before="200" w:after="100" w:line="240" w:lineRule="auto"/>
      </w:pPr>
      <w:r>
        <w:rPr>
          <w:rFonts w:ascii="Arial" w:hAnsi="Arial" w:eastAsia="Arial"/>
          <w:b/>
          <w:color w:val="2E668E"/>
          <w:sz w:val="24"/>
        </w:rPr>
        <w:t>Account-aware tax caveat</w:t>
      </w:r>
    </w:p>
    <w:p>
      <w:pPr>
        <w:keepNext w:val="0"/>
        <w:widowControl/>
        <w:spacing w:before="0" w:after="100" w:line="259" w:lineRule="auto"/>
      </w:pPr>
      <w:r>
        <w:rPr>
          <w:rFonts w:ascii="Arial" w:hAnsi="Arial" w:eastAsia="Arial"/>
          <w:b w:val="0"/>
          <w:i w:val="0"/>
          <w:color w:val="26313A"/>
          <w:sz w:val="19"/>
        </w:rPr>
        <w:t>The CRA's current foreign-tax-credit folio says foreign taxes paid on TFSA and RRSP holdings, and the related foreign income, are excluded from the foreign-tax-credit calculation. That makes account-level withholding a real return input, not a footnote. The assistant should estimate and flag it, while leaving legal/tax conclusions to a qualified professional. [S8]</w:t>
      </w:r>
    </w:p>
    <w:p>
      <w:r>
        <w:br w:type="page"/>
      </w:r>
    </w:p>
    <w:p>
      <w:pPr>
        <w:pStyle w:val="Heading1"/>
        <w:keepNext/>
        <w:widowControl/>
        <w:spacing w:before="0" w:after="160" w:line="240" w:lineRule="auto"/>
      </w:pPr>
      <w:r>
        <w:rPr>
          <w:rFonts w:ascii="Arial" w:hAnsi="Arial" w:eastAsia="Arial"/>
          <w:b/>
          <w:color w:val="18324A"/>
          <w:sz w:val="32"/>
        </w:rPr>
        <w:t>9. Metrics the assistant should introduce</w:t>
      </w:r>
    </w:p>
    <w:p>
      <w:pPr>
        <w:pStyle w:val="Heading2"/>
        <w:keepNext/>
        <w:widowControl/>
        <w:spacing w:before="200" w:after="100" w:line="240" w:lineRule="auto"/>
      </w:pPr>
      <w:r>
        <w:rPr>
          <w:rFonts w:ascii="Arial" w:hAnsi="Arial" w:eastAsia="Arial"/>
          <w:b/>
          <w:color w:val="2E668E"/>
          <w:sz w:val="24"/>
        </w:rPr>
        <w:t>9.1 Data and research quality</w:t>
      </w:r>
    </w:p>
    <w:tbl>
      <w:tblPr>
        <w:tblW w:type="dxa" w:w="9331"/>
        <w:jc w:val="center"/>
        <w:tblLayout w:type="fixed"/>
        <w:tblLook w:firstColumn="1" w:firstRow="1" w:lastColumn="0" w:lastRow="0" w:noHBand="0" w:noVBand="1" w:val="04A0"/>
        <w:tblInd w:type="dxa" w:w="95"/>
      </w:tblPr>
      <w:tblGrid>
        <w:gridCol w:w="2088"/>
        <w:gridCol w:w="4536"/>
        <w:gridCol w:w="2707"/>
      </w:tblGrid>
      <w:tr>
        <w:trPr>
          <w:tblHeader w:val="true"/>
          <w:cantSplit/>
        </w:trPr>
        <w:tc>
          <w:tcPr>
            <w:tcW w:type="dxa" w:w="2088"/>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Metric</w:t>
            </w:r>
          </w:p>
        </w:tc>
        <w:tc>
          <w:tcPr>
            <w:tcW w:type="dxa" w:w="4536"/>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Definition / use</w:t>
            </w:r>
          </w:p>
        </w:tc>
        <w:tc>
          <w:tcPr>
            <w:tcW w:type="dxa" w:w="2707"/>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Required decision rule</w:t>
            </w:r>
          </w:p>
        </w:tc>
      </w:tr>
      <w:tr>
        <w:trPr>
          <w:cantSplit/>
        </w:trPr>
        <w:tc>
          <w:tcPr>
            <w:tcW w:type="dxa" w:w="208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Portfolio snapshot age</w:t>
            </w:r>
          </w:p>
        </w:tc>
        <w:tc>
          <w:tcPr>
            <w:tcW w:type="dxa" w:w="453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Hours since holdings, FX, and price snapshot; show oldest component.</w:t>
            </w:r>
          </w:p>
        </w:tc>
        <w:tc>
          <w:tcPr>
            <w:tcW w:type="dxa" w:w="2707"/>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Stop scoring when any decision-critical component exceeds its SLA.</w:t>
            </w:r>
          </w:p>
        </w:tc>
      </w:tr>
      <w:tr>
        <w:trPr>
          <w:cantSplit/>
        </w:trPr>
        <w:tc>
          <w:tcPr>
            <w:tcW w:type="dxa" w:w="2088"/>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Evidence coverage</w:t>
            </w:r>
          </w:p>
        </w:tc>
        <w:tc>
          <w:tcPr>
            <w:tcW w:type="dxa" w:w="453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 of mandatory fields populated by source tier and recency.</w:t>
            </w:r>
          </w:p>
        </w:tc>
        <w:tc>
          <w:tcPr>
            <w:tcW w:type="dxa" w:w="2707"/>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Do not convert coverage into confidence; show missing critical fields explicitly.</w:t>
            </w:r>
          </w:p>
        </w:tc>
      </w:tr>
      <w:tr>
        <w:trPr>
          <w:cantSplit/>
        </w:trPr>
        <w:tc>
          <w:tcPr>
            <w:tcW w:type="dxa" w:w="208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Source disagreement</w:t>
            </w:r>
          </w:p>
        </w:tc>
        <w:tc>
          <w:tcPr>
            <w:tcW w:type="dxa" w:w="453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Count and materiality of conflicting values after unit/currency normalization.</w:t>
            </w:r>
          </w:p>
        </w:tc>
        <w:tc>
          <w:tcPr>
            <w:tcW w:type="dxa" w:w="2707"/>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Escalate material conflicts to review.</w:t>
            </w:r>
          </w:p>
        </w:tc>
      </w:tr>
      <w:tr>
        <w:trPr>
          <w:cantSplit/>
        </w:trPr>
        <w:tc>
          <w:tcPr>
            <w:tcW w:type="dxa" w:w="2088"/>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Thesis freshness</w:t>
            </w:r>
          </w:p>
        </w:tc>
        <w:tc>
          <w:tcPr>
            <w:tcW w:type="dxa" w:w="453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Days since each KPI, catalyst, risk, valuation, and portfolio-fit section was reviewed.</w:t>
            </w:r>
          </w:p>
        </w:tc>
        <w:tc>
          <w:tcPr>
            <w:tcW w:type="dxa" w:w="2707"/>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Event-driven refresh plus maximum calendar age.</w:t>
            </w:r>
          </w:p>
        </w:tc>
      </w:tr>
      <w:tr>
        <w:trPr>
          <w:cantSplit/>
        </w:trPr>
        <w:tc>
          <w:tcPr>
            <w:tcW w:type="dxa" w:w="2088"/>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Restatement / corporate-action flag</w:t>
            </w:r>
          </w:p>
        </w:tc>
        <w:tc>
          <w:tcPr>
            <w:tcW w:type="dxa" w:w="453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Whether a split, spin-off, restatement, or mapping change affects history.</w:t>
            </w:r>
          </w:p>
        </w:tc>
        <w:tc>
          <w:tcPr>
            <w:tcW w:type="dxa" w:w="2707"/>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Recompute ledger and invalidate dependent recommendations.</w:t>
            </w:r>
          </w:p>
        </w:tc>
      </w:tr>
    </w:tbl>
    <w:p>
      <w:pPr>
        <w:spacing w:after="20"/>
      </w:pPr>
    </w:p>
    <w:p>
      <w:pPr>
        <w:pStyle w:val="Heading2"/>
        <w:keepNext/>
        <w:widowControl/>
        <w:spacing w:before="200" w:after="100" w:line="240" w:lineRule="auto"/>
      </w:pPr>
      <w:r>
        <w:rPr>
          <w:rFonts w:ascii="Arial" w:hAnsi="Arial" w:eastAsia="Arial"/>
          <w:b/>
          <w:color w:val="2E668E"/>
          <w:sz w:val="24"/>
        </w:rPr>
        <w:t>9.2 Business quality and valuation</w:t>
      </w:r>
    </w:p>
    <w:p>
      <w:pPr>
        <w:pStyle w:val="ListBullet"/>
        <w:keepNext w:val="0"/>
        <w:widowControl/>
        <w:spacing w:before="0" w:after="50" w:line="250" w:lineRule="auto"/>
        <w:ind w:left="360" w:hanging="202"/>
      </w:pPr>
      <w:r>
        <w:rPr>
          <w:rFonts w:ascii="Arial" w:hAnsi="Arial" w:eastAsia="Arial"/>
          <w:color w:val="26313A"/>
          <w:sz w:val="18"/>
        </w:rPr>
        <w:t>ROIC versus WACC; incremental ROIC; gross/operating/FCF margin and stability; FCF conversion; accruals; working-capital quality.</w:t>
      </w:r>
    </w:p>
    <w:p>
      <w:pPr>
        <w:pStyle w:val="ListBullet"/>
        <w:keepNext w:val="0"/>
        <w:widowControl/>
        <w:spacing w:before="0" w:after="50" w:line="250" w:lineRule="auto"/>
        <w:ind w:left="360" w:hanging="202"/>
      </w:pPr>
      <w:r>
        <w:rPr>
          <w:rFonts w:ascii="Arial" w:hAnsi="Arial" w:eastAsia="Arial"/>
          <w:color w:val="26313A"/>
          <w:sz w:val="18"/>
        </w:rPr>
        <w:t>Revenue and customer concentration; recurring revenue / retention where relevant; segment mix; geographic and economic-currency exposure.</w:t>
      </w:r>
    </w:p>
    <w:p>
      <w:pPr>
        <w:pStyle w:val="ListBullet"/>
        <w:keepNext w:val="0"/>
        <w:widowControl/>
        <w:spacing w:before="0" w:after="50" w:line="250" w:lineRule="auto"/>
        <w:ind w:left="360" w:hanging="202"/>
      </w:pPr>
      <w:r>
        <w:rPr>
          <w:rFonts w:ascii="Arial" w:hAnsi="Arial" w:eastAsia="Arial"/>
          <w:color w:val="26313A"/>
          <w:sz w:val="18"/>
        </w:rPr>
        <w:t>Share-count growth, SBC/revenue, dilution-adjusted per-share growth, buyback yield, net debt/EBITDA, interest coverage, and maturity wall.</w:t>
      </w:r>
    </w:p>
    <w:p>
      <w:pPr>
        <w:pStyle w:val="ListBullet"/>
        <w:keepNext w:val="0"/>
        <w:widowControl/>
        <w:spacing w:before="0" w:after="50" w:line="250" w:lineRule="auto"/>
        <w:ind w:left="360" w:hanging="202"/>
      </w:pPr>
      <w:r>
        <w:rPr>
          <w:rFonts w:ascii="Arial" w:hAnsi="Arial" w:eastAsia="Arial"/>
          <w:color w:val="26313A"/>
          <w:sz w:val="18"/>
        </w:rPr>
        <w:t>Valuation versus history and peers, but also reverse DCF and base/bull/bear expected CAGR/IRR after dilution and ownership cost.</w:t>
      </w:r>
    </w:p>
    <w:p>
      <w:pPr>
        <w:pStyle w:val="ListBullet"/>
        <w:keepNext w:val="0"/>
        <w:widowControl/>
        <w:spacing w:before="0" w:after="50" w:line="250" w:lineRule="auto"/>
        <w:ind w:left="360" w:hanging="202"/>
      </w:pPr>
      <w:r>
        <w:rPr>
          <w:rFonts w:ascii="Arial" w:hAnsi="Arial" w:eastAsia="Arial"/>
          <w:color w:val="26313A"/>
          <w:sz w:val="18"/>
        </w:rPr>
        <w:t>Estimate-revision breadth, magnitude, and dispersion — not just mean analyst target price.</w:t>
      </w:r>
    </w:p>
    <w:p>
      <w:pPr>
        <w:pStyle w:val="Heading2"/>
        <w:keepNext/>
        <w:widowControl/>
        <w:spacing w:before="200" w:after="100" w:line="240" w:lineRule="auto"/>
      </w:pPr>
      <w:r>
        <w:rPr>
          <w:rFonts w:ascii="Arial" w:hAnsi="Arial" w:eastAsia="Arial"/>
          <w:b/>
          <w:color w:val="2E668E"/>
          <w:sz w:val="24"/>
        </w:rPr>
        <w:t>9.3 Portfolio and cost metrics</w:t>
      </w:r>
    </w:p>
    <w:tbl>
      <w:tblPr>
        <w:tblW w:type="dxa" w:w="9331"/>
        <w:jc w:val="center"/>
        <w:tblLayout w:type="fixed"/>
        <w:tblLook w:firstColumn="1" w:firstRow="1" w:lastColumn="0" w:lastRow="0" w:noHBand="0" w:noVBand="1" w:val="04A0"/>
        <w:tblInd w:type="dxa" w:w="95"/>
      </w:tblPr>
      <w:tblGrid>
        <w:gridCol w:w="1987"/>
        <w:gridCol w:w="7344"/>
      </w:tblGrid>
      <w:tr>
        <w:trPr>
          <w:tblHeader w:val="true"/>
          <w:cantSplit/>
        </w:trPr>
        <w:tc>
          <w:tcPr>
            <w:tcW w:type="dxa" w:w="1987"/>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6"/>
              </w:rPr>
              <w:t>Metric family</w:t>
            </w:r>
          </w:p>
        </w:tc>
        <w:tc>
          <w:tcPr>
            <w:tcW w:type="dxa" w:w="7344"/>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6"/>
              </w:rPr>
              <w:t>Metrics</w:t>
            </w:r>
          </w:p>
        </w:tc>
      </w:tr>
      <w:tr>
        <w:trPr>
          <w:cantSplit/>
        </w:trPr>
        <w:tc>
          <w:tcPr>
            <w:tcW w:type="dxa" w:w="1987"/>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6"/>
              </w:rPr>
              <w:t>Return</w:t>
            </w:r>
          </w:p>
        </w:tc>
        <w:tc>
          <w:tcPr>
            <w:tcW w:type="dxa" w:w="734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CAD total return; TWR and XIRR; active return; rolling returns; up/down capture; contribution by security, sleeve, sector, FX, and income.</w:t>
            </w:r>
          </w:p>
        </w:tc>
      </w:tr>
      <w:tr>
        <w:trPr>
          <w:cantSplit/>
        </w:trPr>
        <w:tc>
          <w:tcPr>
            <w:tcW w:type="dxa" w:w="1987"/>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6"/>
              </w:rPr>
              <w:t>Risk</w:t>
            </w:r>
          </w:p>
        </w:tc>
        <w:tc>
          <w:tcPr>
            <w:tcW w:type="dxa" w:w="734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Rolling volatility/beta; covariance; marginal and % contribution to risk; expected shortfall/CVaR; drawdown budget; stress loss; liquidity risk.</w:t>
            </w:r>
          </w:p>
        </w:tc>
      </w:tr>
      <w:tr>
        <w:trPr>
          <w:cantSplit/>
        </w:trPr>
        <w:tc>
          <w:tcPr>
            <w:tcW w:type="dxa" w:w="1987"/>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6"/>
              </w:rPr>
              <w:t>Diversification</w:t>
            </w:r>
          </w:p>
        </w:tc>
        <w:tc>
          <w:tcPr>
            <w:tcW w:type="dxa" w:w="734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Full underlying-issuer exposure; fund nesting; correlation clusters; factor exposures; revenue geography/currency; concentration with coverage.</w:t>
            </w:r>
          </w:p>
        </w:tc>
      </w:tr>
      <w:tr>
        <w:trPr>
          <w:cantSplit/>
        </w:trPr>
        <w:tc>
          <w:tcPr>
            <w:tcW w:type="dxa" w:w="1987"/>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6"/>
              </w:rPr>
              <w:t>Costs</w:t>
            </w:r>
          </w:p>
        </w:tc>
        <w:tc>
          <w:tcPr>
            <w:tcW w:type="dxa" w:w="7344"/>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MER and tracking difference; FX; commissions; spreads; withholding; turnover; tax-lot impact where applicable; cost-to-expected-benefit.</w:t>
            </w:r>
          </w:p>
        </w:tc>
      </w:tr>
      <w:tr>
        <w:trPr>
          <w:cantSplit/>
        </w:trPr>
        <w:tc>
          <w:tcPr>
            <w:tcW w:type="dxa" w:w="1987"/>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6"/>
              </w:rPr>
              <w:t>Decision quality</w:t>
            </w:r>
          </w:p>
        </w:tc>
        <w:tc>
          <w:tcPr>
            <w:tcW w:type="dxa" w:w="7344"/>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6"/>
              </w:rPr>
              <w:t>Forecast error; probability calibration/Brier score; thesis KPI hit rate; action stability; process exceptions; avoidable turnover; decision attribution.</w:t>
            </w:r>
          </w:p>
        </w:tc>
      </w:tr>
    </w:tbl>
    <w:p>
      <w:pPr>
        <w:spacing w:after="20"/>
      </w:pPr>
    </w:p>
    <w:tbl>
      <w:tblPr>
        <w:tblW w:type="dxa" w:w="9331"/>
        <w:jc w:val="center"/>
        <w:tblLayout w:type="fixed"/>
        <w:tblLook w:firstColumn="1" w:firstRow="1" w:lastColumn="0" w:lastRow="0" w:noHBand="0" w:noVBand="1" w:val="04A0"/>
        <w:tblInd w:type="dxa" w:w="0"/>
      </w:tblPr>
      <w:tblGrid>
        <w:gridCol w:w="144"/>
        <w:gridCol w:w="9187"/>
      </w:tblGrid>
      <w:tr>
        <w:tc>
          <w:tcPr>
            <w:tcW w:type="dxa" w:w="144"/>
            <w:shd w:fill="2E668E" w:val="clear"/>
            <w:tcMar>
              <w:top w:w="0" w:type="dxa"/>
              <w:start w:w="0" w:type="dxa"/>
              <w:bottom w:w="0" w:type="dxa"/>
              <w:end w:w="0" w:type="dxa"/>
            </w:tcMar>
            <w:tcBorders>
              <w:top w:val="nil"/>
              <w:left w:val="nil"/>
              <w:bottom w:val="nil"/>
              <w:right w:val="nil"/>
            </w:tcBorders>
          </w:tcPr>
          <w:p/>
        </w:tc>
        <w:tc>
          <w:tcPr>
            <w:tcW w:type="dxa" w:w="9187"/>
            <w:shd w:fill="EFF5F9" w:val="clear"/>
            <w:tcMar>
              <w:top w:w="0" w:type="dxa"/>
              <w:start w:w="0" w:type="dxa"/>
              <w:bottom w:w="0" w:type="dxa"/>
              <w:end w:w="0" w:type="dxa"/>
            </w:tcMar>
            <w:tcBorders>
              <w:top w:val="nil"/>
              <w:left w:val="nil"/>
              <w:bottom w:val="nil"/>
              <w:right w:val="nil"/>
            </w:tcBorders>
          </w:tcPr>
          <w:p>
            <w:pPr>
              <w:spacing w:after="40" w:before="120"/>
              <w:ind w:left="173" w:right="173"/>
            </w:pPr>
            <w:r>
              <w:rPr>
                <w:rFonts w:ascii="Arial" w:hAnsi="Arial" w:eastAsia="Arial"/>
                <w:b/>
                <w:color w:val="2E668E"/>
                <w:sz w:val="18"/>
              </w:rPr>
              <w:t>Metric principle</w:t>
            </w:r>
          </w:p>
          <w:p>
            <w:pPr>
              <w:keepNext w:val="0"/>
              <w:widowControl/>
              <w:spacing w:before="0" w:after="120" w:line="254" w:lineRule="auto"/>
              <w:ind w:left="173" w:right="173"/>
            </w:pPr>
            <w:r>
              <w:rPr>
                <w:rFonts w:ascii="Arial" w:hAnsi="Arial" w:eastAsia="Arial"/>
                <w:color w:val="26313A"/>
                <w:sz w:val="18"/>
              </w:rPr>
              <w:t>Every metric needs a decision owner, as-of date, source, acceptable range, and action when breached. A dashboard number with no policy response is decoration.</w:t>
            </w:r>
          </w:p>
        </w:tc>
      </w:tr>
    </w:tbl>
    <w:p>
      <w:pPr>
        <w:spacing w:after="0"/>
      </w:pPr>
    </w:p>
    <w:p>
      <w:r>
        <w:br w:type="page"/>
      </w:r>
    </w:p>
    <w:p>
      <w:pPr>
        <w:pStyle w:val="Heading1"/>
        <w:keepNext/>
        <w:widowControl/>
        <w:spacing w:before="0" w:after="160" w:line="240" w:lineRule="auto"/>
      </w:pPr>
      <w:r>
        <w:rPr>
          <w:rFonts w:ascii="Arial" w:hAnsi="Arial" w:eastAsia="Arial"/>
          <w:b/>
          <w:color w:val="18324A"/>
          <w:sz w:val="32"/>
        </w:rPr>
        <w:t>10. A better reasoning process</w:t>
      </w:r>
    </w:p>
    <w:p>
      <w:pPr>
        <w:keepNext w:val="0"/>
        <w:widowControl/>
        <w:spacing w:before="0" w:after="100" w:line="259" w:lineRule="auto"/>
      </w:pPr>
      <w:r>
        <w:rPr>
          <w:rFonts w:ascii="Arial" w:hAnsi="Arial" w:eastAsia="Arial"/>
          <w:b w:val="0"/>
          <w:i w:val="0"/>
          <w:color w:val="26313A"/>
          <w:sz w:val="19"/>
        </w:rPr>
        <w:t>Replace the single-score-to-action shortcut with a gated decision packet. Each stage can return STOP, REVIEW, or CONTINUE; only the final stage discusses an action.</w:t>
      </w:r>
    </w:p>
    <w:tbl>
      <w:tblPr>
        <w:tblW w:type="dxa" w:w="9331"/>
        <w:jc w:val="center"/>
        <w:tblLayout w:type="fixed"/>
        <w:tblLook w:firstColumn="1" w:firstRow="1" w:lastColumn="0" w:lastRow="0" w:noHBand="0" w:noVBand="1" w:val="04A0"/>
        <w:tblInd w:type="dxa" w:w="95"/>
      </w:tblPr>
      <w:tblGrid>
        <w:gridCol w:w="1296"/>
        <w:gridCol w:w="2232"/>
        <w:gridCol w:w="3672"/>
        <w:gridCol w:w="2131"/>
      </w:tblGrid>
      <w:tr>
        <w:trPr>
          <w:tblHeader w:val="true"/>
          <w:cantSplit/>
        </w:trPr>
        <w:tc>
          <w:tcPr>
            <w:tcW w:type="dxa" w:w="1296"/>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Stage</w:t>
            </w:r>
          </w:p>
        </w:tc>
        <w:tc>
          <w:tcPr>
            <w:tcW w:type="dxa" w:w="2232"/>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Question</w:t>
            </w:r>
          </w:p>
        </w:tc>
        <w:tc>
          <w:tcPr>
            <w:tcW w:type="dxa" w:w="3672"/>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Required evidence</w:t>
            </w:r>
          </w:p>
        </w:tc>
        <w:tc>
          <w:tcPr>
            <w:tcW w:type="dxa" w:w="2131"/>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Output</w:t>
            </w:r>
          </w:p>
        </w:tc>
      </w:tr>
      <w:tr>
        <w:trPr>
          <w:cantSplit/>
        </w:trPr>
        <w:tc>
          <w:tcPr>
            <w:tcW w:type="dxa" w:w="1296"/>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1. Integrity</w:t>
            </w:r>
          </w:p>
        </w:tc>
        <w:tc>
          <w:tcPr>
            <w:tcW w:type="dxa" w:w="2232"/>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Is the state trustworthy?</w:t>
            </w:r>
          </w:p>
        </w:tc>
        <w:tc>
          <w:tcPr>
            <w:tcW w:type="dxa" w:w="3672"/>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Reconciled holdings, CAD FX, fresh prices, corporate actions, valid mappings, KB coverage.</w:t>
            </w:r>
          </w:p>
        </w:tc>
        <w:tc>
          <w:tcPr>
            <w:tcW w:type="dxa" w:w="2131"/>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STOP if stale or inconsistent.</w:t>
            </w:r>
          </w:p>
        </w:tc>
      </w:tr>
      <w:tr>
        <w:trPr>
          <w:cantSplit/>
        </w:trPr>
        <w:tc>
          <w:tcPr>
            <w:tcW w:type="dxa" w:w="1296"/>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2. Policy</w:t>
            </w:r>
          </w:p>
        </w:tc>
        <w:tc>
          <w:tcPr>
            <w:tcW w:type="dxa" w:w="2232"/>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Is the owner's objective encoded?</w:t>
            </w:r>
          </w:p>
        </w:tc>
        <w:tc>
          <w:tcPr>
            <w:tcW w:type="dxa" w:w="3672"/>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Feasible targets summing to 100%, cash floor, horizon, risk capacity, benchmark, contribution rule.</w:t>
            </w:r>
          </w:p>
        </w:tc>
        <w:tc>
          <w:tcPr>
            <w:tcW w:type="dxa" w:w="2131"/>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Policy context; no security view yet.</w:t>
            </w:r>
          </w:p>
        </w:tc>
      </w:tr>
      <w:tr>
        <w:trPr>
          <w:cantSplit/>
        </w:trPr>
        <w:tc>
          <w:tcPr>
            <w:tcW w:type="dxa" w:w="129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3. Thesis</w:t>
            </w:r>
          </w:p>
        </w:tc>
        <w:tc>
          <w:tcPr>
            <w:tcW w:type="dxa" w:w="223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What must be true?</w:t>
            </w:r>
          </w:p>
        </w:tc>
        <w:tc>
          <w:tcPr>
            <w:tcW w:type="dxa" w:w="367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Variant perception, 3–5 KPIs, management/capital allocation, moat, risks, explicit falsifiers.</w:t>
            </w:r>
          </w:p>
        </w:tc>
        <w:tc>
          <w:tcPr>
            <w:tcW w:type="dxa" w:w="2131"/>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Structured thesis and uncertainty.</w:t>
            </w:r>
          </w:p>
        </w:tc>
      </w:tr>
      <w:tr>
        <w:trPr>
          <w:cantSplit/>
        </w:trPr>
        <w:tc>
          <w:tcPr>
            <w:tcW w:type="dxa" w:w="129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4. Valuation</w:t>
            </w:r>
          </w:p>
        </w:tc>
        <w:tc>
          <w:tcPr>
            <w:tcW w:type="dxa" w:w="223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What return is implied?</w:t>
            </w:r>
          </w:p>
        </w:tc>
        <w:tc>
          <w:tcPr>
            <w:tcW w:type="dxa" w:w="367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Base/bull/bear operating model, dilution, terminal value/multiple, ownership costs.</w:t>
            </w:r>
          </w:p>
        </w:tc>
        <w:tc>
          <w:tcPr>
            <w:tcW w:type="dxa" w:w="2131"/>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Probability-weighted return and downside.</w:t>
            </w:r>
          </w:p>
        </w:tc>
      </w:tr>
      <w:tr>
        <w:trPr>
          <w:cantSplit/>
        </w:trPr>
        <w:tc>
          <w:tcPr>
            <w:tcW w:type="dxa" w:w="129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5. Portfolio</w:t>
            </w:r>
          </w:p>
        </w:tc>
        <w:tc>
          <w:tcPr>
            <w:tcW w:type="dxa" w:w="223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What happens after the trade?</w:t>
            </w:r>
          </w:p>
        </w:tc>
        <w:tc>
          <w:tcPr>
            <w:tcW w:type="dxa" w:w="367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Proposed weight, funding source, issuer look-through, marginal risk, scenario loss, account and liquidity.</w:t>
            </w:r>
          </w:p>
        </w:tc>
        <w:tc>
          <w:tcPr>
            <w:tcW w:type="dxa" w:w="2131"/>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Current vs proposed portfolio delta.</w:t>
            </w:r>
          </w:p>
        </w:tc>
      </w:tr>
      <w:tr>
        <w:trPr>
          <w:cantSplit/>
        </w:trPr>
        <w:tc>
          <w:tcPr>
            <w:tcW w:type="dxa" w:w="1296"/>
            <w:shd w:fill="EFF5F9"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6. Decision</w:t>
            </w:r>
          </w:p>
        </w:tc>
        <w:tc>
          <w:tcPr>
            <w:tcW w:type="dxa" w:w="2232"/>
            <w:shd w:fill="EFF5F9"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Is action better than waiting?</w:t>
            </w:r>
          </w:p>
        </w:tc>
        <w:tc>
          <w:tcPr>
            <w:tcW w:type="dxa" w:w="3672"/>
            <w:shd w:fill="EFF5F9"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No-trade alternative, threshold/dead band, event timing, cost-to-benefit, thesis state.</w:t>
            </w:r>
          </w:p>
        </w:tc>
        <w:tc>
          <w:tcPr>
            <w:tcW w:type="dxa" w:w="2131"/>
            <w:shd w:fill="EFF5F9"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Add/Hold/Reduce/Exit/Watch with size range and reasons.</w:t>
            </w:r>
          </w:p>
        </w:tc>
      </w:tr>
      <w:tr>
        <w:trPr>
          <w:cantSplit/>
        </w:trPr>
        <w:tc>
          <w:tcPr>
            <w:tcW w:type="dxa" w:w="1296"/>
            <w:shd w:fill="E7F1EA"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7. Review</w:t>
            </w:r>
          </w:p>
        </w:tc>
        <w:tc>
          <w:tcPr>
            <w:tcW w:type="dxa" w:w="2232"/>
            <w:shd w:fill="E7F1EA"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Did the process work?</w:t>
            </w:r>
          </w:p>
        </w:tc>
        <w:tc>
          <w:tcPr>
            <w:tcW w:type="dxa" w:w="3672"/>
            <w:shd w:fill="E7F1EA"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Actual decision/trade, forecast snapshot, outcome attribution, exceptions, next review date.</w:t>
            </w:r>
          </w:p>
        </w:tc>
        <w:tc>
          <w:tcPr>
            <w:tcW w:type="dxa" w:w="2131"/>
            <w:shd w:fill="E7F1EA"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Learning record and rubric calibration.</w:t>
            </w:r>
          </w:p>
        </w:tc>
      </w:tr>
    </w:tbl>
    <w:p>
      <w:pPr>
        <w:spacing w:after="20"/>
      </w:pPr>
    </w:p>
    <w:p>
      <w:pPr>
        <w:pStyle w:val="Heading2"/>
        <w:keepNext/>
        <w:widowControl/>
        <w:spacing w:before="200" w:after="100" w:line="240" w:lineRule="auto"/>
      </w:pPr>
      <w:r>
        <w:rPr>
          <w:rFonts w:ascii="Arial" w:hAnsi="Arial" w:eastAsia="Arial"/>
          <w:b/>
          <w:color w:val="2E668E"/>
          <w:sz w:val="24"/>
        </w:rPr>
        <w:t>Reasoning rules that prevent churn</w:t>
      </w:r>
    </w:p>
    <w:p>
      <w:pPr>
        <w:pStyle w:val="ListBullet"/>
        <w:keepNext w:val="0"/>
        <w:widowControl/>
        <w:spacing w:before="0" w:after="50" w:line="250" w:lineRule="auto"/>
        <w:ind w:left="360" w:hanging="202"/>
      </w:pPr>
      <w:r>
        <w:rPr>
          <w:rFonts w:ascii="Arial" w:hAnsi="Arial" w:eastAsia="Arial"/>
          <w:color w:val="26313A"/>
          <w:sz w:val="18"/>
        </w:rPr>
        <w:t>Separate “good business,” “attractive security,” and “good trade now.” Each can be true or false independently.</w:t>
      </w:r>
    </w:p>
    <w:p>
      <w:pPr>
        <w:pStyle w:val="ListBullet"/>
        <w:keepNext w:val="0"/>
        <w:widowControl/>
        <w:spacing w:before="0" w:after="50" w:line="250" w:lineRule="auto"/>
        <w:ind w:left="360" w:hanging="202"/>
      </w:pPr>
      <w:r>
        <w:rPr>
          <w:rFonts w:ascii="Arial" w:hAnsi="Arial" w:eastAsia="Arial"/>
          <w:color w:val="26313A"/>
          <w:sz w:val="18"/>
        </w:rPr>
        <w:t>Make unknown a first-class state. Unknown evidence reduces conviction; it does not automatically pass, fail, or disappear through renormalization.</w:t>
      </w:r>
    </w:p>
    <w:p>
      <w:pPr>
        <w:pStyle w:val="ListBullet"/>
        <w:keepNext w:val="0"/>
        <w:widowControl/>
        <w:spacing w:before="0" w:after="50" w:line="250" w:lineRule="auto"/>
        <w:ind w:left="360" w:hanging="202"/>
      </w:pPr>
      <w:r>
        <w:rPr>
          <w:rFonts w:ascii="Arial" w:hAnsi="Arial" w:eastAsia="Arial"/>
          <w:color w:val="26313A"/>
          <w:sz w:val="18"/>
        </w:rPr>
        <w:t>Pre-commit thesis invalidation criteria at entry. Only those explicit conditions can support a mechanically urgent exit.</w:t>
      </w:r>
    </w:p>
    <w:p>
      <w:pPr>
        <w:pStyle w:val="ListBullet"/>
        <w:keepNext w:val="0"/>
        <w:widowControl/>
        <w:spacing w:before="0" w:after="50" w:line="250" w:lineRule="auto"/>
        <w:ind w:left="360" w:hanging="202"/>
      </w:pPr>
      <w:r>
        <w:rPr>
          <w:rFonts w:ascii="Arial" w:hAnsi="Arial" w:eastAsia="Arial"/>
          <w:color w:val="26313A"/>
          <w:sz w:val="18"/>
        </w:rPr>
        <w:t>Use hysteresis: a recommendation changes only when new evidence is material or the score/expected return clears a wider reversal threshold.</w:t>
      </w:r>
    </w:p>
    <w:p>
      <w:pPr>
        <w:pStyle w:val="ListBullet"/>
        <w:keepNext w:val="0"/>
        <w:widowControl/>
        <w:spacing w:before="0" w:after="50" w:line="250" w:lineRule="auto"/>
        <w:ind w:left="360" w:hanging="202"/>
      </w:pPr>
      <w:r>
        <w:rPr>
          <w:rFonts w:ascii="Arial" w:hAnsi="Arial" w:eastAsia="Arial"/>
          <w:color w:val="26313A"/>
          <w:sz w:val="18"/>
        </w:rPr>
        <w:t>Require a no-trade case and the strongest disconfirming argument. Record what evidence would change the conclusion.</w:t>
      </w:r>
    </w:p>
    <w:p>
      <w:pPr>
        <w:pStyle w:val="ListBullet"/>
        <w:keepNext w:val="0"/>
        <w:widowControl/>
        <w:spacing w:before="0" w:after="50" w:line="250" w:lineRule="auto"/>
        <w:ind w:left="360" w:hanging="202"/>
      </w:pPr>
      <w:r>
        <w:rPr>
          <w:rFonts w:ascii="Arial" w:hAnsi="Arial" w:eastAsia="Arial"/>
          <w:color w:val="26313A"/>
          <w:sz w:val="18"/>
        </w:rPr>
        <w:t>Express sizing as a range constrained by downside, risk contribution, liquidity, and policy — never as an artifact of a 1–5 average.</w:t>
      </w:r>
    </w:p>
    <w:p>
      <w:pPr>
        <w:pStyle w:val="ListBullet"/>
        <w:keepNext w:val="0"/>
        <w:widowControl/>
        <w:spacing w:before="0" w:after="50" w:line="250" w:lineRule="auto"/>
        <w:ind w:left="360" w:hanging="202"/>
      </w:pPr>
      <w:r>
        <w:rPr>
          <w:rFonts w:ascii="Arial" w:hAnsi="Arial" w:eastAsia="Arial"/>
          <w:color w:val="26313A"/>
          <w:sz w:val="18"/>
        </w:rPr>
        <w:t>Distinguish evidence confidence, model confidence, and outcome probability. Calibrate each over time.</w:t>
      </w:r>
    </w:p>
    <w:p>
      <w:pPr>
        <w:pStyle w:val="Heading2"/>
        <w:keepNext/>
        <w:widowControl/>
        <w:spacing w:before="200" w:after="100" w:line="240" w:lineRule="auto"/>
      </w:pPr>
      <w:r>
        <w:rPr>
          <w:rFonts w:ascii="Arial" w:hAnsi="Arial" w:eastAsia="Arial"/>
          <w:b/>
          <w:color w:val="2E668E"/>
          <w:sz w:val="24"/>
        </w:rPr>
        <w:t>Example decision packet (security-agnostic)</w:t>
      </w:r>
    </w:p>
    <w:tbl>
      <w:tblPr>
        <w:tblW w:type="dxa" w:w="9331"/>
        <w:jc w:val="center"/>
        <w:tblLayout w:type="fixed"/>
        <w:tblLook w:firstColumn="1" w:firstRow="1" w:lastColumn="0" w:lastRow="0" w:noHBand="0" w:noVBand="1" w:val="04A0"/>
        <w:tblInd w:type="dxa" w:w="95"/>
      </w:tblPr>
      <w:tblGrid>
        <w:gridCol w:w="1699"/>
        <w:gridCol w:w="7632"/>
      </w:tblGrid>
      <w:tr>
        <w:trPr>
          <w:tblHeader w:val="true"/>
          <w:cantSplit/>
        </w:trPr>
        <w:tc>
          <w:tcPr>
            <w:tcW w:type="dxa" w:w="1699"/>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Block</w:t>
            </w:r>
          </w:p>
        </w:tc>
        <w:tc>
          <w:tcPr>
            <w:tcW w:type="dxa" w:w="7632"/>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Contents</w:t>
            </w:r>
          </w:p>
        </w:tc>
      </w:tr>
      <w:tr>
        <w:trPr>
          <w:cantSplit/>
        </w:trPr>
        <w:tc>
          <w:tcPr>
            <w:tcW w:type="dxa" w:w="1699"/>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State</w:t>
            </w:r>
          </w:p>
        </w:tc>
        <w:tc>
          <w:tcPr>
            <w:tcW w:type="dxa" w:w="763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Account, current weight, full underlying exposure, cost basis, price/FX as-of, data-quality status.</w:t>
            </w:r>
          </w:p>
        </w:tc>
      </w:tr>
      <w:tr>
        <w:trPr>
          <w:cantSplit/>
        </w:trPr>
        <w:tc>
          <w:tcPr>
            <w:tcW w:type="dxa" w:w="1699"/>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Thesis</w:t>
            </w:r>
          </w:p>
        </w:tc>
        <w:tc>
          <w:tcPr>
            <w:tcW w:type="dxa" w:w="763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One-sentence variant view; 3–5 KPI expectations; falsifiers; catalysts; management/capital-allocation assessment.</w:t>
            </w:r>
          </w:p>
        </w:tc>
      </w:tr>
      <w:tr>
        <w:trPr>
          <w:cantSplit/>
        </w:trPr>
        <w:tc>
          <w:tcPr>
            <w:tcW w:type="dxa" w:w="1699"/>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Scenarios</w:t>
            </w:r>
          </w:p>
        </w:tc>
        <w:tc>
          <w:tcPr>
            <w:tcW w:type="dxa" w:w="763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Bear/base/bull assumptions, probabilities, downside, CAGR/IRR, sensitivity to key driver.</w:t>
            </w:r>
          </w:p>
        </w:tc>
      </w:tr>
      <w:tr>
        <w:trPr>
          <w:cantSplit/>
        </w:trPr>
        <w:tc>
          <w:tcPr>
            <w:tcW w:type="dxa" w:w="1699"/>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Portfolio delta</w:t>
            </w:r>
          </w:p>
        </w:tc>
        <w:tc>
          <w:tcPr>
            <w:tcW w:type="dxa" w:w="763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Proposed range, funding source, sleeve drift, issuer/factor risk contribution, FX/MER/withholding/spread.</w:t>
            </w:r>
          </w:p>
        </w:tc>
      </w:tr>
      <w:tr>
        <w:trPr>
          <w:cantSplit/>
        </w:trPr>
        <w:tc>
          <w:tcPr>
            <w:tcW w:type="dxa" w:w="1699"/>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Decision</w:t>
            </w:r>
          </w:p>
        </w:tc>
        <w:tc>
          <w:tcPr>
            <w:tcW w:type="dxa" w:w="7632"/>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Action range, no-trade alternative, evidence change since last decision, confidence facets, next review/event.</w:t>
            </w:r>
          </w:p>
        </w:tc>
      </w:tr>
      <w:tr>
        <w:trPr>
          <w:cantSplit/>
        </w:trPr>
        <w:tc>
          <w:tcPr>
            <w:tcW w:type="dxa" w:w="1699"/>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Audit trail</w:t>
            </w:r>
          </w:p>
        </w:tc>
        <w:tc>
          <w:tcPr>
            <w:tcW w:type="dxa" w:w="7632"/>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Decision ID, rubric/model version, source manifest, approver, actual trade, subsequent outcome.</w:t>
            </w:r>
          </w:p>
        </w:tc>
      </w:tr>
    </w:tbl>
    <w:p>
      <w:pPr>
        <w:spacing w:after="20"/>
      </w:pPr>
    </w:p>
    <w:p>
      <w:r>
        <w:br w:type="page"/>
      </w:r>
    </w:p>
    <w:p>
      <w:pPr>
        <w:pStyle w:val="Heading1"/>
        <w:keepNext/>
        <w:widowControl/>
        <w:spacing w:before="0" w:after="160" w:line="240" w:lineRule="auto"/>
      </w:pPr>
      <w:r>
        <w:rPr>
          <w:rFonts w:ascii="Arial" w:hAnsi="Arial" w:eastAsia="Arial"/>
          <w:b/>
          <w:color w:val="18324A"/>
          <w:sz w:val="32"/>
        </w:rPr>
        <w:t>11. Fit against the current repository</w:t>
      </w:r>
    </w:p>
    <w:tbl>
      <w:tblPr>
        <w:tblW w:type="dxa" w:w="9331"/>
        <w:jc w:val="center"/>
        <w:tblLayout w:type="fixed"/>
        <w:tblLook w:firstColumn="1" w:firstRow="1" w:lastColumn="0" w:lastRow="0" w:noHBand="0" w:noVBand="1" w:val="04A0"/>
        <w:tblInd w:type="dxa" w:w="95"/>
      </w:tblPr>
      <w:tblGrid>
        <w:gridCol w:w="2246"/>
        <w:gridCol w:w="922"/>
        <w:gridCol w:w="3024"/>
        <w:gridCol w:w="3139"/>
      </w:tblGrid>
      <w:tr>
        <w:trPr>
          <w:tblHeader w:val="true"/>
          <w:cantSplit/>
        </w:trPr>
        <w:tc>
          <w:tcPr>
            <w:tcW w:type="dxa" w:w="2246"/>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Desired capability</w:t>
            </w:r>
          </w:p>
        </w:tc>
        <w:tc>
          <w:tcPr>
            <w:tcW w:type="dxa" w:w="922"/>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Current fit</w:t>
            </w:r>
          </w:p>
        </w:tc>
        <w:tc>
          <w:tcPr>
            <w:tcW w:type="dxa" w:w="3024"/>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Reuse</w:t>
            </w:r>
          </w:p>
        </w:tc>
        <w:tc>
          <w:tcPr>
            <w:tcW w:type="dxa" w:w="3139"/>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4"/>
              </w:rPr>
              <w:t>Gap to close</w:t>
            </w:r>
          </w:p>
        </w:tc>
      </w:tr>
      <w:tr>
        <w:trPr>
          <w:cantSplit/>
        </w:trPr>
        <w:tc>
          <w:tcPr>
            <w:tcW w:type="dxa" w:w="2246"/>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Canonical portfolio state</w:t>
            </w:r>
          </w:p>
        </w:tc>
        <w:tc>
          <w:tcPr>
            <w:tcW w:type="dxa" w:w="922"/>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Partial</w:t>
            </w:r>
          </w:p>
        </w:tc>
        <w:tc>
          <w:tcPr>
            <w:tcW w:type="dxa" w:w="3024"/>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Position engine, CAD analytics, account type, latest prices.</w:t>
            </w:r>
          </w:p>
        </w:tc>
        <w:tc>
          <w:tcPr>
            <w:tcW w:type="dxa" w:w="3139"/>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One signed snapshot consumed by every layer; classifier FX correction; freshness gate.</w:t>
            </w:r>
          </w:p>
        </w:tc>
      </w:tr>
      <w:tr>
        <w:trPr>
          <w:cantSplit/>
        </w:trPr>
        <w:tc>
          <w:tcPr>
            <w:tcW w:type="dxa" w:w="2246"/>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Feasible investment policy</w:t>
            </w:r>
          </w:p>
        </w:tc>
        <w:tc>
          <w:tcPr>
            <w:tcW w:type="dxa" w:w="922"/>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Weak</w:t>
            </w:r>
          </w:p>
        </w:tc>
        <w:tc>
          <w:tcPr>
            <w:tcW w:type="dxa" w:w="3024"/>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Allocation-policy YAML/Markdown and drift analytics.</w:t>
            </w:r>
          </w:p>
        </w:tc>
        <w:tc>
          <w:tcPr>
            <w:tcW w:type="dxa" w:w="3139"/>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Goals, liabilities, cash floor, targets = 100%, benchmark, rebalancing semantics.</w:t>
            </w:r>
          </w:p>
        </w:tc>
      </w:tr>
      <w:tr>
        <w:trPr>
          <w:cantSplit/>
        </w:trPr>
        <w:tc>
          <w:tcPr>
            <w:tcW w:type="dxa" w:w="2246"/>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Primary-source research</w:t>
            </w:r>
          </w:p>
        </w:tc>
        <w:tc>
          <w:tcPr>
            <w:tcW w:type="dxa" w:w="922"/>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Partial</w:t>
            </w:r>
          </w:p>
        </w:tc>
        <w:tc>
          <w:tcPr>
            <w:tcW w:type="dxa" w:w="3024"/>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Research fetcher, financial snapshots, KB/source sections.</w:t>
            </w:r>
          </w:p>
        </w:tc>
        <w:tc>
          <w:tcPr>
            <w:tcW w:type="dxa" w:w="3139"/>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EDGAR/SEDAR+/provider factsheets, source manifest, restatement handling.</w:t>
            </w:r>
          </w:p>
        </w:tc>
      </w:tr>
      <w:tr>
        <w:trPr>
          <w:cantSplit/>
        </w:trPr>
        <w:tc>
          <w:tcPr>
            <w:tcW w:type="dxa" w:w="2246"/>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Company-specific thesis</w:t>
            </w:r>
          </w:p>
        </w:tc>
        <w:tc>
          <w:tcPr>
            <w:tcW w:type="dxa" w:w="922"/>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Partial</w:t>
            </w:r>
          </w:p>
        </w:tc>
        <w:tc>
          <w:tcPr>
            <w:tcW w:type="dxa" w:w="3024"/>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Thesis templates, analyst narrative, required-fields schema.</w:t>
            </w:r>
          </w:p>
        </w:tc>
        <w:tc>
          <w:tcPr>
            <w:tcW w:type="dxa" w:w="3139"/>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KPI taxonomy by business model; falsifiers; management/capital allocation; variant view.</w:t>
            </w:r>
          </w:p>
        </w:tc>
      </w:tr>
      <w:tr>
        <w:trPr>
          <w:cantSplit/>
        </w:trPr>
        <w:tc>
          <w:tcPr>
            <w:tcW w:type="dxa" w:w="2246"/>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Scenario valuation</w:t>
            </w:r>
          </w:p>
        </w:tc>
        <w:tc>
          <w:tcPr>
            <w:tcW w:type="dxa" w:w="922"/>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Weak</w:t>
            </w:r>
          </w:p>
        </w:tc>
        <w:tc>
          <w:tcPr>
            <w:tcW w:type="dxa" w:w="3024"/>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Some valuation ratios and analyst targets.</w:t>
            </w:r>
          </w:p>
        </w:tc>
        <w:tc>
          <w:tcPr>
            <w:tcW w:type="dxa" w:w="3139"/>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Operating model, probabilities, expected return, reverse DCF, per-share dilution.</w:t>
            </w:r>
          </w:p>
        </w:tc>
      </w:tr>
      <w:tr>
        <w:trPr>
          <w:cantSplit/>
        </w:trPr>
        <w:tc>
          <w:tcPr>
            <w:tcW w:type="dxa" w:w="2246"/>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Portfolio construction</w:t>
            </w:r>
          </w:p>
        </w:tc>
        <w:tc>
          <w:tcPr>
            <w:tcW w:type="dxa" w:w="922"/>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Partial</w:t>
            </w:r>
          </w:p>
        </w:tc>
        <w:tc>
          <w:tcPr>
            <w:tcW w:type="dxa" w:w="3024"/>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Concentration, policy drift, sectors, currency, ETF overlap.</w:t>
            </w:r>
          </w:p>
        </w:tc>
        <w:tc>
          <w:tcPr>
            <w:tcW w:type="dxa" w:w="3139"/>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Full issuer look-through, covariance/risk contribution, factor/scenario, after-trade comparison.</w:t>
            </w:r>
          </w:p>
        </w:tc>
      </w:tr>
      <w:tr>
        <w:trPr>
          <w:cantSplit/>
        </w:trPr>
        <w:tc>
          <w:tcPr>
            <w:tcW w:type="dxa" w:w="2246"/>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Cost/tax-aware action</w:t>
            </w:r>
          </w:p>
        </w:tc>
        <w:tc>
          <w:tcPr>
            <w:tcW w:type="dxa" w:w="922"/>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Weak</w:t>
            </w:r>
          </w:p>
        </w:tc>
        <w:tc>
          <w:tcPr>
            <w:tcW w:type="dxa" w:w="3024"/>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FX-fee and commission estimates, account type.</w:t>
            </w:r>
          </w:p>
        </w:tc>
        <w:tc>
          <w:tcPr>
            <w:tcW w:type="dxa" w:w="3139"/>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MER, spread, withholding, tracking difference, account rules, cost-to-benefit.</w:t>
            </w:r>
          </w:p>
        </w:tc>
      </w:tr>
      <w:tr>
        <w:trPr>
          <w:cantSplit/>
        </w:trPr>
        <w:tc>
          <w:tcPr>
            <w:tcW w:type="dxa" w:w="2246"/>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Decision governance</w:t>
            </w:r>
          </w:p>
        </w:tc>
        <w:tc>
          <w:tcPr>
            <w:tcW w:type="dxa" w:w="922"/>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Partial</w:t>
            </w:r>
          </w:p>
        </w:tc>
        <w:tc>
          <w:tcPr>
            <w:tcW w:type="dxa" w:w="3024"/>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Deterministic validator, logs, rubric version, KB ingestion.</w:t>
            </w:r>
          </w:p>
        </w:tc>
        <w:tc>
          <w:tcPr>
            <w:tcW w:type="dxa" w:w="3139"/>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Stable decision ID, supersession, material-change rule, no-trade state, human approval.</w:t>
            </w:r>
          </w:p>
        </w:tc>
      </w:tr>
      <w:tr>
        <w:trPr>
          <w:cantSplit/>
        </w:trPr>
        <w:tc>
          <w:tcPr>
            <w:tcW w:type="dxa" w:w="2246"/>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Learning loop</w:t>
            </w:r>
          </w:p>
        </w:tc>
        <w:tc>
          <w:tcPr>
            <w:tcW w:type="dxa" w:w="922"/>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Absent</w:t>
            </w:r>
          </w:p>
        </w:tc>
        <w:tc>
          <w:tcPr>
            <w:tcW w:type="dxa" w:w="3024"/>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Historical recommendation artifacts.</w:t>
            </w:r>
          </w:p>
        </w:tc>
        <w:tc>
          <w:tcPr>
            <w:tcW w:type="dxa" w:w="3139"/>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Actual trade/outcome, forecast calibration, attribution, process scorecard.</w:t>
            </w:r>
          </w:p>
        </w:tc>
      </w:tr>
      <w:tr>
        <w:trPr>
          <w:cantSplit/>
        </w:trPr>
        <w:tc>
          <w:tcPr>
            <w:tcW w:type="dxa" w:w="2246"/>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4"/>
              </w:rPr>
              <w:t>Operational readiness</w:t>
            </w:r>
          </w:p>
        </w:tc>
        <w:tc>
          <w:tcPr>
            <w:tcW w:type="dxa" w:w="922"/>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Partial</w:t>
            </w:r>
          </w:p>
        </w:tc>
        <w:tc>
          <w:tcPr>
            <w:tcW w:type="dxa" w:w="3024"/>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Dashboard, jobs, tests, local-first design.</w:t>
            </w:r>
          </w:p>
        </w:tc>
        <w:tc>
          <w:tcPr>
            <w:tcW w:type="dxa" w:w="3139"/>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4"/>
              </w:rPr>
              <w:t>Monitoring, backup/restore, secrets hygiene, test artifact isolation, auth and scheduling.</w:t>
            </w:r>
          </w:p>
        </w:tc>
      </w:tr>
    </w:tbl>
    <w:p>
      <w:pPr>
        <w:spacing w:after="20"/>
      </w:pPr>
    </w:p>
    <w:p>
      <w:pPr>
        <w:pStyle w:val="Heading2"/>
        <w:keepNext/>
        <w:widowControl/>
        <w:spacing w:before="200" w:after="100" w:line="240" w:lineRule="auto"/>
      </w:pPr>
      <w:r>
        <w:rPr>
          <w:rFonts w:ascii="Arial" w:hAnsi="Arial" w:eastAsia="Arial"/>
          <w:b/>
          <w:color w:val="2E668E"/>
          <w:sz w:val="24"/>
        </w:rPr>
        <w:t>Overall fit</w:t>
      </w:r>
    </w:p>
    <w:p>
      <w:pPr>
        <w:keepNext w:val="0"/>
        <w:widowControl/>
        <w:spacing w:before="0" w:after="100" w:line="259" w:lineRule="auto"/>
      </w:pPr>
      <w:r>
        <w:rPr>
          <w:rFonts w:ascii="Arial" w:hAnsi="Arial" w:eastAsia="Arial"/>
          <w:b w:val="0"/>
          <w:i w:val="0"/>
          <w:color w:val="26313A"/>
          <w:sz w:val="19"/>
        </w:rPr>
        <w:t>The repository has strong horizontal plumbing and weak vertical decision contracts. Data flows through many components, but no single contract guarantees that every recommendation is built from the same current portfolio state, economically appropriate model, and feasible owner policy. That is why a sophisticated platform can still make low-quality decisions.</w:t>
      </w:r>
    </w:p>
    <w:tbl>
      <w:tblPr>
        <w:tblW w:type="dxa" w:w="9331"/>
        <w:jc w:val="center"/>
        <w:tblLayout w:type="fixed"/>
        <w:tblLook w:firstColumn="1" w:firstRow="1" w:lastColumn="0" w:lastRow="0" w:noHBand="0" w:noVBand="1" w:val="04A0"/>
        <w:tblInd w:type="dxa" w:w="0"/>
      </w:tblPr>
      <w:tblGrid>
        <w:gridCol w:w="144"/>
        <w:gridCol w:w="9187"/>
      </w:tblGrid>
      <w:tr>
        <w:tc>
          <w:tcPr>
            <w:tcW w:type="dxa" w:w="144"/>
            <w:shd w:fill="A66A16" w:val="clear"/>
            <w:tcMar>
              <w:top w:w="0" w:type="dxa"/>
              <w:start w:w="0" w:type="dxa"/>
              <w:bottom w:w="0" w:type="dxa"/>
              <w:end w:w="0" w:type="dxa"/>
            </w:tcMar>
            <w:tcBorders>
              <w:top w:val="nil"/>
              <w:left w:val="nil"/>
              <w:bottom w:val="nil"/>
              <w:right w:val="nil"/>
            </w:tcBorders>
          </w:tcPr>
          <w:p/>
        </w:tc>
        <w:tc>
          <w:tcPr>
            <w:tcW w:type="dxa" w:w="9187"/>
            <w:shd w:fill="FFF2D8" w:val="clear"/>
            <w:tcMar>
              <w:top w:w="0" w:type="dxa"/>
              <w:start w:w="0" w:type="dxa"/>
              <w:bottom w:w="0" w:type="dxa"/>
              <w:end w:w="0" w:type="dxa"/>
            </w:tcMar>
            <w:tcBorders>
              <w:top w:val="nil"/>
              <w:left w:val="nil"/>
              <w:bottom w:val="nil"/>
              <w:right w:val="nil"/>
            </w:tcBorders>
          </w:tcPr>
          <w:p>
            <w:pPr>
              <w:spacing w:after="40" w:before="120"/>
              <w:ind w:left="173" w:right="173"/>
            </w:pPr>
            <w:r>
              <w:rPr>
                <w:rFonts w:ascii="Arial" w:hAnsi="Arial" w:eastAsia="Arial"/>
                <w:b/>
                <w:color w:val="A66A16"/>
                <w:sz w:val="18"/>
              </w:rPr>
              <w:t>Roadmap implication</w:t>
            </w:r>
          </w:p>
          <w:p>
            <w:pPr>
              <w:keepNext w:val="0"/>
              <w:widowControl/>
              <w:spacing w:before="0" w:after="120" w:line="254" w:lineRule="auto"/>
              <w:ind w:left="173" w:right="173"/>
            </w:pPr>
            <w:r>
              <w:rPr>
                <w:rFonts w:ascii="Arial" w:hAnsi="Arial" w:eastAsia="Arial"/>
                <w:color w:val="26313A"/>
                <w:sz w:val="18"/>
              </w:rPr>
              <w:t>Reorder the roadmap around decision prerequisites. Technical analysis, additional dashboard surfaces, and more frequent automation should follow — not precede — canonical state, policy validity, source quality, sector-specific research, portfolio risk, and outcome tracking.</w:t>
            </w:r>
          </w:p>
        </w:tc>
      </w:tr>
    </w:tbl>
    <w:p>
      <w:pPr>
        <w:spacing w:after="0"/>
      </w:pPr>
    </w:p>
    <w:p>
      <w:r>
        <w:br w:type="page"/>
      </w:r>
    </w:p>
    <w:p>
      <w:pPr>
        <w:pStyle w:val="Heading1"/>
        <w:keepNext/>
        <w:widowControl/>
        <w:spacing w:before="0" w:after="160" w:line="240" w:lineRule="auto"/>
      </w:pPr>
      <w:r>
        <w:rPr>
          <w:rFonts w:ascii="Arial" w:hAnsi="Arial" w:eastAsia="Arial"/>
          <w:b/>
          <w:color w:val="18324A"/>
          <w:sz w:val="32"/>
        </w:rPr>
        <w:t>12. Prioritized next steps — planning only</w:t>
      </w:r>
    </w:p>
    <w:p>
      <w:pPr>
        <w:keepNext w:val="0"/>
        <w:widowControl/>
        <w:spacing w:before="0" w:after="100" w:line="259" w:lineRule="auto"/>
      </w:pPr>
      <w:r>
        <w:rPr>
          <w:rFonts w:ascii="Arial" w:hAnsi="Arial" w:eastAsia="Arial"/>
          <w:b w:val="0"/>
          <w:i w:val="0"/>
          <w:color w:val="26313A"/>
          <w:sz w:val="19"/>
        </w:rPr>
        <w:t>These are design and validation steps, not implementation performed by this audit. Sequence matters: each phase establishes prerequisites for the next.</w:t>
      </w:r>
    </w:p>
    <w:p>
      <w:pPr>
        <w:pStyle w:val="Heading2"/>
        <w:keepNext/>
        <w:widowControl/>
        <w:spacing w:before="200" w:after="100" w:line="240" w:lineRule="auto"/>
      </w:pPr>
      <w:r>
        <w:rPr>
          <w:rFonts w:ascii="Arial" w:hAnsi="Arial" w:eastAsia="Arial"/>
          <w:b/>
          <w:color w:val="2E668E"/>
          <w:sz w:val="24"/>
        </w:rPr>
        <w:t>Phase 0 — stop bad inputs from reaching decisions (0–2 weeks)</w:t>
      </w:r>
    </w:p>
    <w:p>
      <w:pPr>
        <w:pStyle w:val="ListNumber"/>
        <w:keepNext w:val="0"/>
        <w:widowControl/>
        <w:spacing w:before="0" w:after="60" w:line="250" w:lineRule="auto"/>
        <w:ind w:left="403" w:hanging="230"/>
      </w:pPr>
      <w:r>
        <w:rPr>
          <w:rFonts w:ascii="Arial" w:hAnsi="Arial" w:eastAsia="Arial"/>
          <w:color w:val="26313A"/>
          <w:sz w:val="18"/>
        </w:rPr>
        <w:t>Declare one base currency and canonical position-snapshot contract; reconcile classifier weights, analytics, dashboard, and KB against it.</w:t>
      </w:r>
    </w:p>
    <w:p>
      <w:pPr>
        <w:pStyle w:val="ListNumber"/>
        <w:keepNext w:val="0"/>
        <w:widowControl/>
        <w:spacing w:before="0" w:after="60" w:line="250" w:lineRule="auto"/>
        <w:ind w:left="403" w:hanging="230"/>
      </w:pPr>
      <w:r>
        <w:rPr>
          <w:rFonts w:ascii="Arial" w:hAnsi="Arial" w:eastAsia="Arial"/>
          <w:color w:val="26313A"/>
          <w:sz w:val="18"/>
        </w:rPr>
        <w:t>Make stale holdings/price/FX/classification/KB data a hard STOP for new recommendations.</w:t>
      </w:r>
    </w:p>
    <w:p>
      <w:pPr>
        <w:pStyle w:val="ListNumber"/>
        <w:keepNext w:val="0"/>
        <w:widowControl/>
        <w:spacing w:before="0" w:after="60" w:line="250" w:lineRule="auto"/>
        <w:ind w:left="403" w:hanging="230"/>
      </w:pPr>
      <w:r>
        <w:rPr>
          <w:rFonts w:ascii="Arial" w:hAnsi="Arial" w:eastAsia="Arial"/>
          <w:color w:val="26313A"/>
          <w:sz w:val="18"/>
        </w:rPr>
        <w:t>Correct the allocation policy so target points sum to 100%; encode cash/liquidity policy and state whether bands or target points drive actions.</w:t>
      </w:r>
    </w:p>
    <w:p>
      <w:pPr>
        <w:pStyle w:val="ListNumber"/>
        <w:keepNext w:val="0"/>
        <w:widowControl/>
        <w:spacing w:before="0" w:after="60" w:line="250" w:lineRule="auto"/>
        <w:ind w:left="403" w:hanging="230"/>
      </w:pPr>
      <w:r>
        <w:rPr>
          <w:rFonts w:ascii="Arial" w:hAnsi="Arial" w:eastAsia="Arial"/>
          <w:color w:val="26313A"/>
          <w:sz w:val="18"/>
        </w:rPr>
        <w:t>Replace zero risk-free rate with a dated Bank of Canada series and preserve the series/observation in reports.</w:t>
      </w:r>
    </w:p>
    <w:p>
      <w:pPr>
        <w:pStyle w:val="ListNumber"/>
        <w:keepNext w:val="0"/>
        <w:widowControl/>
        <w:spacing w:before="0" w:after="60" w:line="250" w:lineRule="auto"/>
        <w:ind w:left="403" w:hanging="230"/>
      </w:pPr>
      <w:r>
        <w:rPr>
          <w:rFonts w:ascii="Arial" w:hAnsi="Arial" w:eastAsia="Arial"/>
          <w:color w:val="26313A"/>
          <w:sz w:val="18"/>
        </w:rPr>
        <w:t>Create a holdings ↔ classification ↔ KB ↔ latest recommendation coverage report; require 100% coverage or an explicit exception.</w:t>
      </w:r>
    </w:p>
    <w:p>
      <w:pPr>
        <w:pStyle w:val="ListNumber"/>
        <w:keepNext w:val="0"/>
        <w:widowControl/>
        <w:spacing w:before="0" w:after="60" w:line="250" w:lineRule="auto"/>
        <w:ind w:left="403" w:hanging="230"/>
      </w:pPr>
      <w:r>
        <w:rPr>
          <w:rFonts w:ascii="Arial" w:hAnsi="Arial" w:eastAsia="Arial"/>
          <w:color w:val="26313A"/>
          <w:sz w:val="18"/>
        </w:rPr>
        <w:t>Quarantine test DB/WAL artifacts and local settings from version-control review; define backup/restore for the live database.</w:t>
      </w:r>
    </w:p>
    <w:p>
      <w:pPr>
        <w:keepNext w:val="0"/>
        <w:widowControl/>
        <w:spacing w:before="0" w:after="100" w:line="259" w:lineRule="auto"/>
      </w:pPr>
      <w:r>
        <w:rPr>
          <w:rFonts w:ascii="Arial" w:hAnsi="Arial" w:eastAsia="Arial"/>
          <w:b w:val="0"/>
          <w:i/>
          <w:color w:val="61707C"/>
          <w:sz w:val="16"/>
        </w:rPr>
        <w:t>Why first: every downstream score, risk metric, and narrative inherits these facts. Better reasoning cannot repair a wrong portfolio snapshot.</w:t>
      </w:r>
    </w:p>
    <w:p>
      <w:pPr>
        <w:pStyle w:val="Heading2"/>
        <w:keepNext/>
        <w:widowControl/>
        <w:spacing w:before="200" w:after="100" w:line="240" w:lineRule="auto"/>
      </w:pPr>
      <w:r>
        <w:rPr>
          <w:rFonts w:ascii="Arial" w:hAnsi="Arial" w:eastAsia="Arial"/>
          <w:b/>
          <w:color w:val="2E668E"/>
          <w:sz w:val="24"/>
        </w:rPr>
        <w:t>Phase 1 — make recommendations economically valid (2–6 weeks)</w:t>
      </w:r>
    </w:p>
    <w:p>
      <w:pPr>
        <w:pStyle w:val="ListNumber"/>
        <w:keepNext w:val="0"/>
        <w:widowControl/>
        <w:spacing w:before="0" w:after="60" w:line="250" w:lineRule="auto"/>
        <w:ind w:left="403" w:hanging="230"/>
      </w:pPr>
      <w:r>
        <w:rPr>
          <w:rFonts w:ascii="Arial" w:hAnsi="Arial" w:eastAsia="Arial"/>
          <w:color w:val="26313A"/>
          <w:sz w:val="18"/>
        </w:rPr>
        <w:t>Split rubric tracks by business model and instrument: operating company, financial/asset manager, REIT/infrastructure/midstream, income vehicle/royalty, ETF, and alternative/commodity fund.</w:t>
      </w:r>
    </w:p>
    <w:p>
      <w:pPr>
        <w:pStyle w:val="ListNumber"/>
        <w:keepNext w:val="0"/>
        <w:widowControl/>
        <w:spacing w:before="0" w:after="60" w:line="250" w:lineRule="auto"/>
        <w:ind w:left="403" w:hanging="230"/>
      </w:pPr>
      <w:r>
        <w:rPr>
          <w:rFonts w:ascii="Arial" w:hAnsi="Arial" w:eastAsia="Arial"/>
          <w:color w:val="26313A"/>
          <w:sz w:val="18"/>
        </w:rPr>
        <w:t>Change hard gates to pass/fail/unknown with explicit source rules; only pre-committed thesis breakers can produce an urgent exit flag.</w:t>
      </w:r>
    </w:p>
    <w:p>
      <w:pPr>
        <w:pStyle w:val="ListNumber"/>
        <w:keepNext w:val="0"/>
        <w:widowControl/>
        <w:spacing w:before="0" w:after="60" w:line="250" w:lineRule="auto"/>
        <w:ind w:left="403" w:hanging="230"/>
      </w:pPr>
      <w:r>
        <w:rPr>
          <w:rFonts w:ascii="Arial" w:hAnsi="Arial" w:eastAsia="Arial"/>
          <w:color w:val="26313A"/>
          <w:sz w:val="18"/>
        </w:rPr>
        <w:t>Separate evidence completeness, source quality, model confidence, and scenario probability.</w:t>
      </w:r>
    </w:p>
    <w:p>
      <w:pPr>
        <w:pStyle w:val="ListNumber"/>
        <w:keepNext w:val="0"/>
        <w:widowControl/>
        <w:spacing w:before="0" w:after="60" w:line="250" w:lineRule="auto"/>
        <w:ind w:left="403" w:hanging="230"/>
      </w:pPr>
      <w:r>
        <w:rPr>
          <w:rFonts w:ascii="Arial" w:hAnsi="Arial" w:eastAsia="Arial"/>
          <w:color w:val="26313A"/>
          <w:sz w:val="18"/>
        </w:rPr>
        <w:t>Add a base/bull/bear valuation block and require an expected-return range before discussing action.</w:t>
      </w:r>
    </w:p>
    <w:p>
      <w:pPr>
        <w:pStyle w:val="ListNumber"/>
        <w:keepNext w:val="0"/>
        <w:widowControl/>
        <w:spacing w:before="0" w:after="60" w:line="250" w:lineRule="auto"/>
        <w:ind w:left="403" w:hanging="230"/>
      </w:pPr>
      <w:r>
        <w:rPr>
          <w:rFonts w:ascii="Arial" w:hAnsi="Arial" w:eastAsia="Arial"/>
          <w:color w:val="26313A"/>
          <w:sz w:val="18"/>
        </w:rPr>
        <w:t>Add material-change and hysteresis rules; preserve an explicit no-trade decision.</w:t>
      </w:r>
    </w:p>
    <w:p>
      <w:pPr>
        <w:pStyle w:val="ListNumber"/>
        <w:keepNext w:val="0"/>
        <w:widowControl/>
        <w:spacing w:before="0" w:after="60" w:line="250" w:lineRule="auto"/>
        <w:ind w:left="403" w:hanging="230"/>
      </w:pPr>
      <w:r>
        <w:rPr>
          <w:rFonts w:ascii="Arial" w:hAnsi="Arial" w:eastAsia="Arial"/>
          <w:color w:val="26313A"/>
          <w:sz w:val="18"/>
        </w:rPr>
        <w:t>Use primary filings and fund-provider documents for decision-critical facts; yfinance remains an enrichment/fallback layer.</w:t>
      </w:r>
    </w:p>
    <w:p>
      <w:pPr>
        <w:keepNext w:val="0"/>
        <w:widowControl/>
        <w:spacing w:before="0" w:after="100" w:line="259" w:lineRule="auto"/>
      </w:pPr>
      <w:r>
        <w:rPr>
          <w:rFonts w:ascii="Arial" w:hAnsi="Arial" w:eastAsia="Arial"/>
          <w:b w:val="0"/>
          <w:i/>
          <w:color w:val="61707C"/>
          <w:sz w:val="16"/>
        </w:rPr>
        <w:t>Why second: this turns a consistent score into a defensible investment case without yet optimizing the whole portfolio.</w:t>
      </w:r>
    </w:p>
    <w:p>
      <w:pPr>
        <w:pStyle w:val="Heading2"/>
        <w:keepNext/>
        <w:widowControl/>
        <w:spacing w:before="200" w:after="100" w:line="240" w:lineRule="auto"/>
      </w:pPr>
      <w:r>
        <w:rPr>
          <w:rFonts w:ascii="Arial" w:hAnsi="Arial" w:eastAsia="Arial"/>
          <w:b/>
          <w:color w:val="2E668E"/>
          <w:sz w:val="24"/>
        </w:rPr>
        <w:t>Phase 2 — make actions portfolio-aware (6–12 weeks)</w:t>
      </w:r>
    </w:p>
    <w:p>
      <w:pPr>
        <w:pStyle w:val="ListNumber"/>
        <w:keepNext w:val="0"/>
        <w:widowControl/>
        <w:spacing w:before="0" w:after="60" w:line="250" w:lineRule="auto"/>
        <w:ind w:left="403" w:hanging="230"/>
      </w:pPr>
      <w:r>
        <w:rPr>
          <w:rFonts w:ascii="Arial" w:hAnsi="Arial" w:eastAsia="Arial"/>
          <w:color w:val="26313A"/>
          <w:sz w:val="18"/>
        </w:rPr>
        <w:t>Build complete issuer look-through across direct holdings, ETF holdings, and nested funds; report coverage and unknown exposure.</w:t>
      </w:r>
    </w:p>
    <w:p>
      <w:pPr>
        <w:pStyle w:val="ListNumber"/>
        <w:keepNext w:val="0"/>
        <w:widowControl/>
        <w:spacing w:before="0" w:after="60" w:line="250" w:lineRule="auto"/>
        <w:ind w:left="403" w:hanging="230"/>
      </w:pPr>
      <w:r>
        <w:rPr>
          <w:rFonts w:ascii="Arial" w:hAnsi="Arial" w:eastAsia="Arial"/>
          <w:color w:val="26313A"/>
          <w:sz w:val="18"/>
        </w:rPr>
        <w:t>Add covariance, marginal/% risk contribution, expected shortfall, factor exposures, and a small scenario library.</w:t>
      </w:r>
    </w:p>
    <w:p>
      <w:pPr>
        <w:pStyle w:val="ListNumber"/>
        <w:keepNext w:val="0"/>
        <w:widowControl/>
        <w:spacing w:before="0" w:after="60" w:line="250" w:lineRule="auto"/>
        <w:ind w:left="403" w:hanging="230"/>
      </w:pPr>
      <w:r>
        <w:rPr>
          <w:rFonts w:ascii="Arial" w:hAnsi="Arial" w:eastAsia="Arial"/>
          <w:color w:val="26313A"/>
          <w:sz w:val="18"/>
        </w:rPr>
        <w:t>Define a feasible policy benchmark and report CAD total return, active risk, and attribution by security/sleeve/sector/FX/income.</w:t>
      </w:r>
    </w:p>
    <w:p>
      <w:pPr>
        <w:pStyle w:val="ListNumber"/>
        <w:keepNext w:val="0"/>
        <w:widowControl/>
        <w:spacing w:before="0" w:after="60" w:line="250" w:lineRule="auto"/>
        <w:ind w:left="403" w:hanging="230"/>
      </w:pPr>
      <w:r>
        <w:rPr>
          <w:rFonts w:ascii="Arial" w:hAnsi="Arial" w:eastAsia="Arial"/>
          <w:color w:val="26313A"/>
          <w:sz w:val="18"/>
        </w:rPr>
        <w:t>Model the after-trade portfolio, funding source, spread, FX, MER, withholding, liquidity, and cost-to-expected-benefit.</w:t>
      </w:r>
    </w:p>
    <w:p>
      <w:pPr>
        <w:pStyle w:val="ListNumber"/>
        <w:keepNext w:val="0"/>
        <w:widowControl/>
        <w:spacing w:before="0" w:after="60" w:line="250" w:lineRule="auto"/>
        <w:ind w:left="403" w:hanging="230"/>
      </w:pPr>
      <w:r>
        <w:rPr>
          <w:rFonts w:ascii="Arial" w:hAnsi="Arial" w:eastAsia="Arial"/>
          <w:color w:val="26313A"/>
          <w:sz w:val="18"/>
        </w:rPr>
        <w:t>Create contribution-first and threshold-based rebalancing rules aligned to the owner's tax/account constraints.</w:t>
      </w:r>
    </w:p>
    <w:p>
      <w:pPr>
        <w:keepNext w:val="0"/>
        <w:widowControl/>
        <w:spacing w:before="0" w:after="100" w:line="259" w:lineRule="auto"/>
      </w:pPr>
      <w:r>
        <w:rPr>
          <w:rFonts w:ascii="Arial" w:hAnsi="Arial" w:eastAsia="Arial"/>
          <w:b w:val="0"/>
          <w:i/>
          <w:color w:val="61707C"/>
          <w:sz w:val="16"/>
        </w:rPr>
        <w:t>Why third: a security conclusion becomes a portfolio decision only after sizing, trade-offs, and costs are visible.</w:t>
      </w:r>
    </w:p>
    <w:p>
      <w:pPr>
        <w:pStyle w:val="Heading2"/>
        <w:keepNext/>
        <w:widowControl/>
        <w:spacing w:before="200" w:after="100" w:line="240" w:lineRule="auto"/>
      </w:pPr>
      <w:r>
        <w:rPr>
          <w:rFonts w:ascii="Arial" w:hAnsi="Arial" w:eastAsia="Arial"/>
          <w:b/>
          <w:color w:val="2E668E"/>
          <w:sz w:val="24"/>
        </w:rPr>
        <w:t>Phase 3 — teach the assistant from outcomes (12+ weeks)</w:t>
      </w:r>
    </w:p>
    <w:p>
      <w:pPr>
        <w:pStyle w:val="ListNumber"/>
        <w:keepNext w:val="0"/>
        <w:widowControl/>
        <w:spacing w:before="0" w:after="60" w:line="250" w:lineRule="auto"/>
        <w:ind w:left="403" w:hanging="230"/>
      </w:pPr>
      <w:r>
        <w:rPr>
          <w:rFonts w:ascii="Arial" w:hAnsi="Arial" w:eastAsia="Arial"/>
          <w:color w:val="26313A"/>
          <w:sz w:val="18"/>
        </w:rPr>
        <w:t>Assign a stable decision ID and link source manifest, recommendation version, human approval, actual order/trade, and superseding decision.</w:t>
      </w:r>
    </w:p>
    <w:p>
      <w:pPr>
        <w:pStyle w:val="ListNumber"/>
        <w:keepNext w:val="0"/>
        <w:widowControl/>
        <w:spacing w:before="0" w:after="60" w:line="250" w:lineRule="auto"/>
        <w:ind w:left="403" w:hanging="230"/>
      </w:pPr>
      <w:r>
        <w:rPr>
          <w:rFonts w:ascii="Arial" w:hAnsi="Arial" w:eastAsia="Arial"/>
          <w:color w:val="26313A"/>
          <w:sz w:val="18"/>
        </w:rPr>
        <w:t>Score forecast accuracy, probability calibration, thesis KPI hit rate, action stability, realized/unrealized attribution, and avoidable turnover.</w:t>
      </w:r>
    </w:p>
    <w:p>
      <w:pPr>
        <w:pStyle w:val="ListNumber"/>
        <w:keepNext w:val="0"/>
        <w:widowControl/>
        <w:spacing w:before="0" w:after="60" w:line="250" w:lineRule="auto"/>
        <w:ind w:left="403" w:hanging="230"/>
      </w:pPr>
      <w:r>
        <w:rPr>
          <w:rFonts w:ascii="Arial" w:hAnsi="Arial" w:eastAsia="Arial"/>
          <w:color w:val="26313A"/>
          <w:sz w:val="18"/>
        </w:rPr>
        <w:t>Run rubric/model changes in shadow mode and compare them with frozen historical artifacts before promotion.</w:t>
      </w:r>
    </w:p>
    <w:p>
      <w:pPr>
        <w:pStyle w:val="ListNumber"/>
        <w:keepNext w:val="0"/>
        <w:widowControl/>
        <w:spacing w:before="0" w:after="60" w:line="250" w:lineRule="auto"/>
        <w:ind w:left="403" w:hanging="230"/>
      </w:pPr>
      <w:r>
        <w:rPr>
          <w:rFonts w:ascii="Arial" w:hAnsi="Arial" w:eastAsia="Arial"/>
          <w:color w:val="26313A"/>
          <w:sz w:val="18"/>
        </w:rPr>
        <w:t>Only after these controls are stable, add technical indicators as a small timing/risk input — using adjusted total-return data and corporate actions, not raw unadjusted OHLCV.</w:t>
      </w:r>
    </w:p>
    <w:p>
      <w:pPr>
        <w:pStyle w:val="ListNumber"/>
        <w:keepNext w:val="0"/>
        <w:widowControl/>
        <w:spacing w:before="0" w:after="60" w:line="250" w:lineRule="auto"/>
        <w:ind w:left="403" w:hanging="230"/>
      </w:pPr>
      <w:r>
        <w:rPr>
          <w:rFonts w:ascii="Arial" w:hAnsi="Arial" w:eastAsia="Arial"/>
          <w:color w:val="26313A"/>
          <w:sz w:val="18"/>
        </w:rPr>
        <w:t>Automate refresh/scheduling only when failure states, monitoring, approval boundaries, backups, and rollback are proven.</w:t>
      </w:r>
    </w:p>
    <w:p>
      <w:pPr>
        <w:keepNext w:val="0"/>
        <w:widowControl/>
        <w:spacing w:before="0" w:after="100" w:line="259" w:lineRule="auto"/>
      </w:pPr>
      <w:r>
        <w:rPr>
          <w:rFonts w:ascii="Arial" w:hAnsi="Arial" w:eastAsia="Arial"/>
          <w:b w:val="0"/>
          <w:i/>
          <w:color w:val="61707C"/>
          <w:sz w:val="16"/>
        </w:rPr>
        <w:t>Why last: automation should scale a learning process, not scale unmeasured recommendation churn.</w:t>
      </w:r>
    </w:p>
    <w:p>
      <w:r>
        <w:br w:type="page"/>
      </w:r>
    </w:p>
    <w:p>
      <w:pPr>
        <w:pStyle w:val="Heading1"/>
        <w:keepNext/>
        <w:widowControl/>
        <w:spacing w:before="0" w:after="160" w:line="240" w:lineRule="auto"/>
      </w:pPr>
      <w:r>
        <w:rPr>
          <w:rFonts w:ascii="Arial" w:hAnsi="Arial" w:eastAsia="Arial"/>
          <w:b/>
          <w:color w:val="18324A"/>
          <w:sz w:val="32"/>
        </w:rPr>
        <w:t>13. Acceptance gates and deliberate deferrals</w:t>
      </w:r>
    </w:p>
    <w:p>
      <w:pPr>
        <w:pStyle w:val="Heading2"/>
        <w:keepNext/>
        <w:widowControl/>
        <w:spacing w:before="200" w:after="100" w:line="240" w:lineRule="auto"/>
      </w:pPr>
      <w:r>
        <w:rPr>
          <w:rFonts w:ascii="Arial" w:hAnsi="Arial" w:eastAsia="Arial"/>
          <w:b/>
          <w:color w:val="2E668E"/>
          <w:sz w:val="24"/>
        </w:rPr>
        <w:t>Definition of “decision-ready”</w:t>
      </w:r>
    </w:p>
    <w:tbl>
      <w:tblPr>
        <w:tblW w:type="dxa" w:w="9331"/>
        <w:jc w:val="center"/>
        <w:tblLayout w:type="fixed"/>
        <w:tblLook w:firstColumn="1" w:firstRow="1" w:lastColumn="0" w:lastRow="0" w:noHBand="0" w:noVBand="1" w:val="04A0"/>
        <w:tblInd w:type="dxa" w:w="95"/>
      </w:tblPr>
      <w:tblGrid>
        <w:gridCol w:w="1944"/>
        <w:gridCol w:w="7387"/>
      </w:tblGrid>
      <w:tr>
        <w:trPr>
          <w:tblHeader w:val="true"/>
          <w:cantSplit/>
        </w:trPr>
        <w:tc>
          <w:tcPr>
            <w:tcW w:type="dxa" w:w="1944"/>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Gate</w:t>
            </w:r>
          </w:p>
        </w:tc>
        <w:tc>
          <w:tcPr>
            <w:tcW w:type="dxa" w:w="7387"/>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Pass condition</w:t>
            </w:r>
          </w:p>
        </w:tc>
      </w:tr>
      <w:tr>
        <w:trPr>
          <w:cantSplit/>
        </w:trPr>
        <w:tc>
          <w:tcPr>
            <w:tcW w:type="dxa" w:w="1944"/>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State integrity</w:t>
            </w:r>
          </w:p>
        </w:tc>
        <w:tc>
          <w:tcPr>
            <w:tcW w:type="dxa" w:w="7387"/>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Holdings, quantities, account, prices, FX, CAD values, and cost basis reconcile across DB, analytics, classifier, KB, and dashboard.</w:t>
            </w:r>
          </w:p>
        </w:tc>
      </w:tr>
      <w:tr>
        <w:trPr>
          <w:cantSplit/>
        </w:trPr>
        <w:tc>
          <w:tcPr>
            <w:tcW w:type="dxa" w:w="1944"/>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Freshness</w:t>
            </w:r>
          </w:p>
        </w:tc>
        <w:tc>
          <w:tcPr>
            <w:tcW w:type="dxa" w:w="7387"/>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All required inputs are within their stated SLA; any exception is visible and blocks action.</w:t>
            </w:r>
          </w:p>
        </w:tc>
      </w:tr>
      <w:tr>
        <w:trPr>
          <w:cantSplit/>
        </w:trPr>
        <w:tc>
          <w:tcPr>
            <w:tcW w:type="dxa" w:w="1944"/>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Policy</w:t>
            </w:r>
          </w:p>
        </w:tc>
        <w:tc>
          <w:tcPr>
            <w:tcW w:type="dxa" w:w="7387"/>
            <w:shd w:fill="F8E5E3"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Targets sum to 100%; cash floor, risk capacity, benchmark, concentration and rebalance rules are owner-approved.</w:t>
            </w:r>
          </w:p>
        </w:tc>
      </w:tr>
      <w:tr>
        <w:trPr>
          <w:cantSplit/>
        </w:trPr>
        <w:tc>
          <w:tcPr>
            <w:tcW w:type="dxa" w:w="1944"/>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Evidence</w:t>
            </w:r>
          </w:p>
        </w:tc>
        <w:tc>
          <w:tcPr>
            <w:tcW w:type="dxa" w:w="7387"/>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Decision-critical facts come from primary/authoritative sources or are explicitly labeled fallback; source manifest is complete.</w:t>
            </w:r>
          </w:p>
        </w:tc>
      </w:tr>
      <w:tr>
        <w:trPr>
          <w:cantSplit/>
        </w:trPr>
        <w:tc>
          <w:tcPr>
            <w:tcW w:type="dxa" w:w="1944"/>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Thesis</w:t>
            </w:r>
          </w:p>
        </w:tc>
        <w:tc>
          <w:tcPr>
            <w:tcW w:type="dxa" w:w="7387"/>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Variant view, KPI tree, falsifiers, management/capital allocation, and key risks are populated.</w:t>
            </w:r>
          </w:p>
        </w:tc>
      </w:tr>
      <w:tr>
        <w:trPr>
          <w:cantSplit/>
        </w:trPr>
        <w:tc>
          <w:tcPr>
            <w:tcW w:type="dxa" w:w="1944"/>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Valuation</w:t>
            </w:r>
          </w:p>
        </w:tc>
        <w:tc>
          <w:tcPr>
            <w:tcW w:type="dxa" w:w="7387"/>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Bear/base/bull assumptions, probabilities, downside, expected return, and sensitivities are explicit.</w:t>
            </w:r>
          </w:p>
        </w:tc>
      </w:tr>
      <w:tr>
        <w:trPr>
          <w:cantSplit/>
        </w:trPr>
        <w:tc>
          <w:tcPr>
            <w:tcW w:type="dxa" w:w="1944"/>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Portfolio</w:t>
            </w:r>
          </w:p>
        </w:tc>
        <w:tc>
          <w:tcPr>
            <w:tcW w:type="dxa" w:w="7387"/>
            <w:shd w:fill="FFF2D8"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Current and proposed weights, full issuer exposure, marginal risk, scenario loss, account, liquidity, and all-in cost are compared.</w:t>
            </w:r>
          </w:p>
        </w:tc>
      </w:tr>
      <w:tr>
        <w:trPr>
          <w:cantSplit/>
        </w:trPr>
        <w:tc>
          <w:tcPr>
            <w:tcW w:type="dxa" w:w="1944"/>
            <w:shd w:fill="EFF5F9"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Decision semantics</w:t>
            </w:r>
          </w:p>
        </w:tc>
        <w:tc>
          <w:tcPr>
            <w:tcW w:type="dxa" w:w="7387"/>
            <w:shd w:fill="EFF5F9"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No-trade alternative, hysteresis/material-change rule, confidence facets, approval, and next review are explicit.</w:t>
            </w:r>
          </w:p>
        </w:tc>
      </w:tr>
      <w:tr>
        <w:trPr>
          <w:cantSplit/>
        </w:trPr>
        <w:tc>
          <w:tcPr>
            <w:tcW w:type="dxa" w:w="1944"/>
            <w:shd w:fill="E7F1EA"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Learning</w:t>
            </w:r>
          </w:p>
        </w:tc>
        <w:tc>
          <w:tcPr>
            <w:tcW w:type="dxa" w:w="7387"/>
            <w:shd w:fill="E7F1EA"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Actual decisions and trades are linked to forecast/outcome records; rubric changes are evaluated in shadow mode.</w:t>
            </w:r>
          </w:p>
        </w:tc>
      </w:tr>
    </w:tbl>
    <w:p>
      <w:pPr>
        <w:spacing w:after="20"/>
      </w:pPr>
    </w:p>
    <w:p>
      <w:pPr>
        <w:pStyle w:val="Heading2"/>
        <w:keepNext/>
        <w:widowControl/>
        <w:spacing w:before="200" w:after="100" w:line="240" w:lineRule="auto"/>
      </w:pPr>
      <w:r>
        <w:rPr>
          <w:rFonts w:ascii="Arial" w:hAnsi="Arial" w:eastAsia="Arial"/>
          <w:b/>
          <w:color w:val="2E668E"/>
          <w:sz w:val="24"/>
        </w:rPr>
        <w:t>Do not prioritize yet</w:t>
      </w:r>
    </w:p>
    <w:p>
      <w:pPr>
        <w:pStyle w:val="ListBullet"/>
        <w:keepNext w:val="0"/>
        <w:widowControl/>
        <w:spacing w:before="0" w:after="50" w:line="250" w:lineRule="auto"/>
        <w:ind w:left="360" w:hanging="202"/>
      </w:pPr>
      <w:r>
        <w:rPr>
          <w:rFonts w:ascii="Arial" w:hAnsi="Arial" w:eastAsia="Arial"/>
          <w:color w:val="26313A"/>
          <w:sz w:val="18"/>
        </w:rPr>
        <w:t>More autonomous or more frequent recommendations. Current freshness and policy contracts are not strong enough.</w:t>
      </w:r>
    </w:p>
    <w:p>
      <w:pPr>
        <w:pStyle w:val="ListBullet"/>
        <w:keepNext w:val="0"/>
        <w:widowControl/>
        <w:spacing w:before="0" w:after="50" w:line="250" w:lineRule="auto"/>
        <w:ind w:left="360" w:hanging="202"/>
      </w:pPr>
      <w:r>
        <w:rPr>
          <w:rFonts w:ascii="Arial" w:hAnsi="Arial" w:eastAsia="Arial"/>
          <w:color w:val="26313A"/>
          <w:sz w:val="18"/>
        </w:rPr>
        <w:t>A larger composite rubric. More dimensions will usually add noise and produce false confidence unless each proves incremental decision value.</w:t>
      </w:r>
    </w:p>
    <w:p>
      <w:pPr>
        <w:pStyle w:val="ListBullet"/>
        <w:keepNext w:val="0"/>
        <w:widowControl/>
        <w:spacing w:before="0" w:after="50" w:line="250" w:lineRule="auto"/>
        <w:ind w:left="360" w:hanging="202"/>
      </w:pPr>
      <w:r>
        <w:rPr>
          <w:rFonts w:ascii="Arial" w:hAnsi="Arial" w:eastAsia="Arial"/>
          <w:color w:val="26313A"/>
          <w:sz w:val="18"/>
        </w:rPr>
        <w:t>Technical indicators as a new decision pillar. They may help entry timing and risk, but cannot fix stale data, wrong weights, bad policy, or misapplied accounting.</w:t>
      </w:r>
    </w:p>
    <w:p>
      <w:pPr>
        <w:pStyle w:val="ListBullet"/>
        <w:keepNext w:val="0"/>
        <w:widowControl/>
        <w:spacing w:before="0" w:after="50" w:line="250" w:lineRule="auto"/>
        <w:ind w:left="360" w:hanging="202"/>
      </w:pPr>
      <w:r>
        <w:rPr>
          <w:rFonts w:ascii="Arial" w:hAnsi="Arial" w:eastAsia="Arial"/>
          <w:color w:val="26313A"/>
          <w:sz w:val="18"/>
        </w:rPr>
        <w:t>More news/options/social sentiment feeds. Their weight should remain low until out-of-sample calibration demonstrates value after costs.</w:t>
      </w:r>
    </w:p>
    <w:p>
      <w:pPr>
        <w:pStyle w:val="ListBullet"/>
        <w:keepNext w:val="0"/>
        <w:widowControl/>
        <w:spacing w:before="0" w:after="50" w:line="250" w:lineRule="auto"/>
        <w:ind w:left="360" w:hanging="202"/>
      </w:pPr>
      <w:r>
        <w:rPr>
          <w:rFonts w:ascii="Arial" w:hAnsi="Arial" w:eastAsia="Arial"/>
          <w:color w:val="26313A"/>
          <w:sz w:val="18"/>
        </w:rPr>
        <w:t>Production hosting before authentication, secrets review, backups, monitoring, and a human approval boundary are established.</w:t>
      </w:r>
    </w:p>
    <w:p>
      <w:pPr>
        <w:pStyle w:val="ListBullet"/>
        <w:keepNext w:val="0"/>
        <w:widowControl/>
        <w:spacing w:before="0" w:after="50" w:line="250" w:lineRule="auto"/>
        <w:ind w:left="360" w:hanging="202"/>
      </w:pPr>
      <w:r>
        <w:rPr>
          <w:rFonts w:ascii="Arial" w:hAnsi="Arial" w:eastAsia="Arial"/>
          <w:color w:val="26313A"/>
          <w:sz w:val="18"/>
        </w:rPr>
        <w:t>Security-specific trade recommendations from this memo. The snapshot is stale and suitability inputs are absent.</w:t>
      </w:r>
    </w:p>
    <w:p>
      <w:pPr>
        <w:pStyle w:val="Heading2"/>
        <w:keepNext/>
        <w:widowControl/>
        <w:spacing w:before="200" w:after="100" w:line="240" w:lineRule="auto"/>
      </w:pPr>
      <w:r>
        <w:rPr>
          <w:rFonts w:ascii="Arial" w:hAnsi="Arial" w:eastAsia="Arial"/>
          <w:b/>
          <w:color w:val="2E668E"/>
          <w:sz w:val="24"/>
        </w:rPr>
        <w:t>Owner inputs the assistant still needs</w:t>
      </w:r>
    </w:p>
    <w:p>
      <w:pPr>
        <w:pStyle w:val="ListBullet"/>
        <w:keepNext w:val="0"/>
        <w:widowControl/>
        <w:spacing w:before="0" w:after="50" w:line="250" w:lineRule="auto"/>
        <w:ind w:left="360" w:hanging="202"/>
      </w:pPr>
      <w:r>
        <w:rPr>
          <w:rFonts w:ascii="Arial" w:hAnsi="Arial" w:eastAsia="Arial"/>
          <w:color w:val="26313A"/>
          <w:sz w:val="18"/>
        </w:rPr>
        <w:t>Primary goal, time horizon, required return, planned contributions/withdrawals, and major liabilities.</w:t>
      </w:r>
    </w:p>
    <w:p>
      <w:pPr>
        <w:pStyle w:val="ListBullet"/>
        <w:keepNext w:val="0"/>
        <w:widowControl/>
        <w:spacing w:before="0" w:after="50" w:line="250" w:lineRule="auto"/>
        <w:ind w:left="360" w:hanging="202"/>
      </w:pPr>
      <w:r>
        <w:rPr>
          <w:rFonts w:ascii="Arial" w:hAnsi="Arial" w:eastAsia="Arial"/>
          <w:color w:val="26313A"/>
          <w:sz w:val="18"/>
        </w:rPr>
        <w:t>Maximum tolerable portfolio drawdown and recovery period; minimum liquidity/cash reserve.</w:t>
      </w:r>
    </w:p>
    <w:p>
      <w:pPr>
        <w:pStyle w:val="ListBullet"/>
        <w:keepNext w:val="0"/>
        <w:widowControl/>
        <w:spacing w:before="0" w:after="50" w:line="250" w:lineRule="auto"/>
        <w:ind w:left="360" w:hanging="202"/>
      </w:pPr>
      <w:r>
        <w:rPr>
          <w:rFonts w:ascii="Arial" w:hAnsi="Arial" w:eastAsia="Arial"/>
          <w:color w:val="26313A"/>
          <w:sz w:val="18"/>
        </w:rPr>
        <w:t>Strategic allocation and permitted tactical ranges; whether the portfolio is intended to be core-satellite.</w:t>
      </w:r>
    </w:p>
    <w:p>
      <w:pPr>
        <w:pStyle w:val="ListBullet"/>
        <w:keepNext w:val="0"/>
        <w:widowControl/>
        <w:spacing w:before="0" w:after="50" w:line="250" w:lineRule="auto"/>
        <w:ind w:left="360" w:hanging="202"/>
      </w:pPr>
      <w:r>
        <w:rPr>
          <w:rFonts w:ascii="Arial" w:hAnsi="Arial" w:eastAsia="Arial"/>
          <w:color w:val="26313A"/>
          <w:sz w:val="18"/>
        </w:rPr>
        <w:t>Account inventory and tax residence; treatment must be confirmed with a qualified professional.</w:t>
      </w:r>
    </w:p>
    <w:p>
      <w:pPr>
        <w:pStyle w:val="ListBullet"/>
        <w:keepNext w:val="0"/>
        <w:widowControl/>
        <w:spacing w:before="0" w:after="50" w:line="250" w:lineRule="auto"/>
        <w:ind w:left="360" w:hanging="202"/>
      </w:pPr>
      <w:r>
        <w:rPr>
          <w:rFonts w:ascii="Arial" w:hAnsi="Arial" w:eastAsia="Arial"/>
          <w:color w:val="26313A"/>
          <w:sz w:val="18"/>
        </w:rPr>
        <w:t>Position/factor limits, acceptable benchmark deviation, and whether FX exposure is intentional.</w:t>
      </w:r>
    </w:p>
    <w:p>
      <w:pPr>
        <w:pStyle w:val="ListBullet"/>
        <w:keepNext w:val="0"/>
        <w:widowControl/>
        <w:spacing w:before="0" w:after="50" w:line="250" w:lineRule="auto"/>
        <w:ind w:left="360" w:hanging="202"/>
      </w:pPr>
      <w:r>
        <w:rPr>
          <w:rFonts w:ascii="Arial" w:hAnsi="Arial" w:eastAsia="Arial"/>
          <w:color w:val="26313A"/>
          <w:sz w:val="18"/>
        </w:rPr>
        <w:t>Decision cadence, approval rules, and what constitutes a thesis-breaking event.</w:t>
      </w:r>
    </w:p>
    <w:tbl>
      <w:tblPr>
        <w:tblW w:type="dxa" w:w="9331"/>
        <w:jc w:val="center"/>
        <w:tblLayout w:type="fixed"/>
        <w:tblLook w:firstColumn="1" w:firstRow="1" w:lastColumn="0" w:lastRow="0" w:noHBand="0" w:noVBand="1" w:val="04A0"/>
        <w:tblInd w:type="dxa" w:w="0"/>
      </w:tblPr>
      <w:tblGrid>
        <w:gridCol w:w="144"/>
        <w:gridCol w:w="9187"/>
      </w:tblGrid>
      <w:tr>
        <w:tc>
          <w:tcPr>
            <w:tcW w:type="dxa" w:w="144"/>
            <w:shd w:fill="2F6B4F" w:val="clear"/>
            <w:tcMar>
              <w:top w:w="0" w:type="dxa"/>
              <w:start w:w="0" w:type="dxa"/>
              <w:bottom w:w="0" w:type="dxa"/>
              <w:end w:w="0" w:type="dxa"/>
            </w:tcMar>
            <w:tcBorders>
              <w:top w:val="nil"/>
              <w:left w:val="nil"/>
              <w:bottom w:val="nil"/>
              <w:right w:val="nil"/>
            </w:tcBorders>
          </w:tcPr>
          <w:p/>
        </w:tc>
        <w:tc>
          <w:tcPr>
            <w:tcW w:type="dxa" w:w="9187"/>
            <w:shd w:fill="E7F1EA" w:val="clear"/>
            <w:tcMar>
              <w:top w:w="0" w:type="dxa"/>
              <w:start w:w="0" w:type="dxa"/>
              <w:bottom w:w="0" w:type="dxa"/>
              <w:end w:w="0" w:type="dxa"/>
            </w:tcMar>
            <w:tcBorders>
              <w:top w:val="nil"/>
              <w:left w:val="nil"/>
              <w:bottom w:val="nil"/>
              <w:right w:val="nil"/>
            </w:tcBorders>
          </w:tcPr>
          <w:p>
            <w:pPr>
              <w:spacing w:after="40" w:before="120"/>
              <w:ind w:left="173" w:right="173"/>
            </w:pPr>
            <w:r>
              <w:rPr>
                <w:rFonts w:ascii="Arial" w:hAnsi="Arial" w:eastAsia="Arial"/>
                <w:b/>
                <w:color w:val="2F6B4F"/>
                <w:sz w:val="18"/>
              </w:rPr>
              <w:t>The next decision</w:t>
            </w:r>
          </w:p>
          <w:p>
            <w:pPr>
              <w:keepNext w:val="0"/>
              <w:widowControl/>
              <w:spacing w:before="0" w:after="120" w:line="254" w:lineRule="auto"/>
              <w:ind w:left="173" w:right="173"/>
            </w:pPr>
            <w:r>
              <w:rPr>
                <w:rFonts w:ascii="Arial" w:hAnsi="Arial" w:eastAsia="Arial"/>
                <w:color w:val="26313A"/>
                <w:sz w:val="18"/>
              </w:rPr>
              <w:t>Approve the decision-ready contract and Phase 0 evidence requirements before approving any feature implementation. That single choice determines whether the assistant becomes a reliable portfolio manager's tool or a faster generator of plausible but inconsistent opinions.</w:t>
            </w:r>
          </w:p>
        </w:tc>
      </w:tr>
    </w:tbl>
    <w:p>
      <w:pPr>
        <w:spacing w:after="0"/>
      </w:pPr>
    </w:p>
    <w:p>
      <w:r>
        <w:br w:type="page"/>
      </w:r>
    </w:p>
    <w:p>
      <w:pPr>
        <w:pStyle w:val="Heading1"/>
        <w:keepNext/>
        <w:widowControl/>
        <w:spacing w:before="0" w:after="160" w:line="240" w:lineRule="auto"/>
      </w:pPr>
      <w:r>
        <w:rPr>
          <w:rFonts w:ascii="Arial" w:hAnsi="Arial" w:eastAsia="Arial"/>
          <w:b/>
          <w:color w:val="18324A"/>
          <w:sz w:val="32"/>
        </w:rPr>
        <w:t>14. Evidence register and official sources</w:t>
      </w:r>
    </w:p>
    <w:p>
      <w:pPr>
        <w:pStyle w:val="Heading2"/>
        <w:keepNext/>
        <w:widowControl/>
        <w:spacing w:before="200" w:after="100" w:line="240" w:lineRule="auto"/>
      </w:pPr>
      <w:r>
        <w:rPr>
          <w:rFonts w:ascii="Arial" w:hAnsi="Arial" w:eastAsia="Arial"/>
          <w:b/>
          <w:color w:val="2E668E"/>
          <w:sz w:val="24"/>
        </w:rPr>
        <w:t>Local repository evidence</w:t>
      </w:r>
    </w:p>
    <w:tbl>
      <w:tblPr>
        <w:tblW w:type="dxa" w:w="9331"/>
        <w:jc w:val="center"/>
        <w:tblLayout w:type="fixed"/>
        <w:tblLook w:firstColumn="1" w:firstRow="1" w:lastColumn="0" w:lastRow="0" w:noHBand="0" w:noVBand="1" w:val="04A0"/>
        <w:tblInd w:type="dxa" w:w="95"/>
      </w:tblPr>
      <w:tblGrid>
        <w:gridCol w:w="2376"/>
        <w:gridCol w:w="6955"/>
      </w:tblGrid>
      <w:tr>
        <w:trPr>
          <w:tblHeader w:val="true"/>
          <w:cantSplit/>
        </w:trPr>
        <w:tc>
          <w:tcPr>
            <w:tcW w:type="dxa" w:w="2376"/>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Area</w:t>
            </w:r>
          </w:p>
        </w:tc>
        <w:tc>
          <w:tcPr>
            <w:tcW w:type="dxa" w:w="6955"/>
            <w:shd w:fill="18324A" w:val="clear"/>
            <w:tcMar>
              <w:top w:w="95" w:type="dxa"/>
              <w:start w:w="95" w:type="dxa"/>
              <w:bottom w:w="95" w:type="dxa"/>
              <w:end w:w="95" w:type="dxa"/>
            </w:tcMar>
            <w:tcBorders>
              <w:top w:val="single" w:sz="4" w:color="FFFFFF"/>
              <w:left w:val="single" w:sz="4" w:color="FFFFFF"/>
              <w:bottom w:val="single" w:sz="4" w:color="FFFFFF"/>
              <w:right w:val="single" w:sz="4" w:color="FFFFFF"/>
            </w:tcBorders>
          </w:tcPr>
          <w:p>
            <w:pPr>
              <w:keepNext/>
              <w:widowControl/>
              <w:spacing w:before="0" w:after="0" w:line="240" w:lineRule="auto"/>
              <w:jc w:val="left"/>
            </w:pPr>
            <w:r>
              <w:rPr>
                <w:rFonts w:ascii="Arial" w:hAnsi="Arial" w:eastAsia="Arial"/>
                <w:b/>
                <w:color w:val="FFFFFF"/>
                <w:sz w:val="15"/>
              </w:rPr>
              <w:t>Primary local evidence</w:t>
            </w:r>
          </w:p>
        </w:tc>
      </w:tr>
      <w:tr>
        <w:trPr>
          <w:cantSplit/>
        </w:trPr>
        <w:tc>
          <w:tcPr>
            <w:tcW w:type="dxa" w:w="237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Architecture / roadmap</w:t>
            </w:r>
          </w:p>
        </w:tc>
        <w:tc>
          <w:tcPr>
            <w:tcW w:type="dxa" w:w="695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CLAUDE.md; README.md; docs/project/{overview,handover,todo}.md; docs/plans; docs/architecture</w:t>
            </w:r>
          </w:p>
        </w:tc>
      </w:tr>
      <w:tr>
        <w:trPr>
          <w:cantSplit/>
        </w:trPr>
        <w:tc>
          <w:tcPr>
            <w:tcW w:type="dxa" w:w="237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Portfolio policy / KB</w:t>
            </w:r>
          </w:p>
        </w:tc>
        <w:tc>
          <w:tcPr>
            <w:tcW w:type="dxa" w:w="695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Knowledge-Base/portfolio/{allocation-policy,portfolio-overview,holdings,risk-log}.md; Knowledge-Base/taxonomy</w:t>
            </w:r>
          </w:p>
        </w:tc>
      </w:tr>
      <w:tr>
        <w:trPr>
          <w:cantSplit/>
        </w:trPr>
        <w:tc>
          <w:tcPr>
            <w:tcW w:type="dxa" w:w="237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Analytics / configuration</w:t>
            </w:r>
          </w:p>
        </w:tc>
        <w:tc>
          <w:tcPr>
            <w:tcW w:type="dxa" w:w="695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src/analytics.py; src/portfolio_metrics.py; src/config.py; src/position_engine.py</w:t>
            </w:r>
          </w:p>
        </w:tc>
      </w:tr>
      <w:tr>
        <w:trPr>
          <w:cantSplit/>
        </w:trPr>
        <w:tc>
          <w:tcPr>
            <w:tcW w:type="dxa" w:w="237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Classifier defect</w:t>
            </w:r>
          </w:p>
        </w:tc>
        <w:tc>
          <w:tcPr>
            <w:tcW w:type="dxa" w:w="695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.claude/skills/read-portfolio-classification-data/scripts/read_classification_data.py</w:t>
            </w:r>
          </w:p>
        </w:tc>
      </w:tr>
      <w:tr>
        <w:trPr>
          <w:cantSplit/>
        </w:trPr>
        <w:tc>
          <w:tcPr>
            <w:tcW w:type="dxa" w:w="237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Decision workflow</w:t>
            </w:r>
          </w:p>
        </w:tc>
        <w:tc>
          <w:tcPr>
            <w:tcW w:type="dxa" w:w="695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.claude/agents/{stock-data-prep,stock-analyst,kb-orchestrator,kb-intake}.md; .claude/skills/evaluate-stock-decision</w:t>
            </w:r>
          </w:p>
        </w:tc>
      </w:tr>
      <w:tr>
        <w:trPr>
          <w:cantSplit/>
        </w:trPr>
        <w:tc>
          <w:tcPr>
            <w:tcW w:type="dxa" w:w="237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Recommendation evidence</w:t>
            </w:r>
          </w:p>
        </w:tc>
        <w:tc>
          <w:tcPr>
            <w:tcW w:type="dxa" w:w="695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exports/stock-recommendations; Knowledge-Base/logs/{decision,research,update}-log.md</w:t>
            </w:r>
          </w:p>
        </w:tc>
      </w:tr>
      <w:tr>
        <w:trPr>
          <w:cantSplit/>
        </w:trPr>
        <w:tc>
          <w:tcPr>
            <w:tcW w:type="dxa" w:w="2376"/>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Dashboard / operations</w:t>
            </w:r>
          </w:p>
        </w:tc>
        <w:tc>
          <w:tcPr>
            <w:tcW w:type="dxa" w:w="6955"/>
            <w:shd w:fill="FFFFFF"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dashboard/api; dashboard/web; src/app.py; tests</w:t>
            </w:r>
          </w:p>
        </w:tc>
      </w:tr>
      <w:tr>
        <w:trPr>
          <w:cantSplit/>
        </w:trPr>
        <w:tc>
          <w:tcPr>
            <w:tcW w:type="dxa" w:w="2376"/>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color w:val="26313A"/>
                <w:sz w:val="15"/>
              </w:rPr>
              <w:t>Read-only snapshot</w:t>
            </w:r>
          </w:p>
        </w:tc>
        <w:tc>
          <w:tcPr>
            <w:tcW w:type="dxa" w:w="6955"/>
            <w:shd w:fill="F4F6F7" w:val="clear"/>
            <w:tcMar>
              <w:top w:w="85" w:type="dxa"/>
              <w:start w:w="95" w:type="dxa"/>
              <w:bottom w:w="85" w:type="dxa"/>
              <w:end w:w="95" w:type="dxa"/>
            </w:tcMar>
            <w:vAlign w:val="top"/>
            <w:tcBorders>
              <w:top w:val="single" w:sz="2" w:color="E5E9EC"/>
              <w:left w:val="single" w:sz="2" w:color="E5E9EC"/>
              <w:bottom w:val="single" w:sz="2" w:color="E5E9EC"/>
              <w:right w:val="single" w:sz="2" w:color="E5E9EC"/>
            </w:tcBorders>
          </w:tcPr>
          <w:p>
            <w:pPr>
              <w:keepNext w:val="0"/>
              <w:widowControl/>
              <w:spacing w:before="0" w:after="0" w:line="245" w:lineRule="auto"/>
            </w:pPr>
            <w:r>
              <w:rPr>
                <w:rFonts w:ascii="Arial" w:hAnsi="Arial" w:eastAsia="Arial"/>
                <w:b w:val="0"/>
                <w:color w:val="26313A"/>
                <w:sz w:val="15"/>
              </w:rPr>
              <w:t>.audit_tmp/portfolio-analytics.json during audit; source copy removed after verification</w:t>
            </w:r>
          </w:p>
        </w:tc>
      </w:tr>
    </w:tbl>
    <w:p>
      <w:pPr>
        <w:spacing w:after="20"/>
      </w:pPr>
    </w:p>
    <w:p>
      <w:pPr>
        <w:pStyle w:val="Heading2"/>
        <w:keepNext/>
        <w:widowControl/>
        <w:spacing w:before="200" w:after="100" w:line="240" w:lineRule="auto"/>
      </w:pPr>
      <w:r>
        <w:rPr>
          <w:rFonts w:ascii="Arial" w:hAnsi="Arial" w:eastAsia="Arial"/>
          <w:b/>
          <w:color w:val="2E668E"/>
          <w:sz w:val="24"/>
        </w:rPr>
        <w:t>Official external sources</w:t>
      </w:r>
    </w:p>
    <w:tbl>
      <w:tblPr>
        <w:tblW w:type="dxa" w:w="9331"/>
        <w:jc w:val="center"/>
        <w:tblLayout w:type="fixed"/>
        <w:tblLook w:firstColumn="1" w:firstRow="1" w:lastColumn="0" w:lastRow="0" w:noHBand="0" w:noVBand="1" w:val="04A0"/>
        <w:tblInd w:type="dxa" w:w="95"/>
      </w:tblPr>
      <w:tblGrid>
        <w:gridCol w:w="648"/>
        <w:gridCol w:w="4104"/>
        <w:gridCol w:w="4579"/>
      </w:tblGrid>
      <w:tr>
        <w:trPr>
          <w:tblHeader w:val="true"/>
        </w:trPr>
        <w:tc>
          <w:tcPr>
            <w:tcW w:type="dxa" w:w="648"/>
            <w:shd w:fill="18324A" w:val="clear"/>
            <w:tcMar>
              <w:top w:w="95" w:type="dxa"/>
              <w:start w:w="95" w:type="dxa"/>
              <w:bottom w:w="95" w:type="dxa"/>
              <w:end w:w="95" w:type="dxa"/>
            </w:tcMar>
          </w:tcPr>
          <w:p>
            <w:pPr>
              <w:keepNext w:val="0"/>
              <w:widowControl/>
              <w:spacing w:before="0" w:after="0" w:line="240" w:lineRule="auto"/>
            </w:pPr>
            <w:r>
              <w:rPr>
                <w:rFonts w:ascii="Arial" w:hAnsi="Arial" w:eastAsia="Arial"/>
                <w:b/>
                <w:color w:val="FFFFFF"/>
                <w:sz w:val="15"/>
              </w:rPr>
              <w:t>ID</w:t>
            </w:r>
          </w:p>
        </w:tc>
        <w:tc>
          <w:tcPr>
            <w:tcW w:type="dxa" w:w="4104"/>
            <w:shd w:fill="18324A" w:val="clear"/>
            <w:tcMar>
              <w:top w:w="95" w:type="dxa"/>
              <w:start w:w="95" w:type="dxa"/>
              <w:bottom w:w="95" w:type="dxa"/>
              <w:end w:w="95" w:type="dxa"/>
            </w:tcMar>
          </w:tcPr>
          <w:p>
            <w:pPr>
              <w:keepNext w:val="0"/>
              <w:widowControl/>
              <w:spacing w:before="0" w:after="0" w:line="240" w:lineRule="auto"/>
            </w:pPr>
            <w:r>
              <w:rPr>
                <w:rFonts w:ascii="Arial" w:hAnsi="Arial" w:eastAsia="Arial"/>
                <w:b/>
                <w:color w:val="FFFFFF"/>
                <w:sz w:val="15"/>
              </w:rPr>
              <w:t>Source</w:t>
            </w:r>
          </w:p>
        </w:tc>
        <w:tc>
          <w:tcPr>
            <w:tcW w:type="dxa" w:w="4579"/>
            <w:shd w:fill="18324A" w:val="clear"/>
            <w:tcMar>
              <w:top w:w="95" w:type="dxa"/>
              <w:start w:w="95" w:type="dxa"/>
              <w:bottom w:w="95" w:type="dxa"/>
              <w:end w:w="95" w:type="dxa"/>
            </w:tcMar>
          </w:tcPr>
          <w:p>
            <w:pPr>
              <w:keepNext w:val="0"/>
              <w:widowControl/>
              <w:spacing w:before="0" w:after="0" w:line="240" w:lineRule="auto"/>
            </w:pPr>
            <w:r>
              <w:rPr>
                <w:rFonts w:ascii="Arial" w:hAnsi="Arial" w:eastAsia="Arial"/>
                <w:b/>
                <w:color w:val="FFFFFF"/>
                <w:sz w:val="15"/>
              </w:rPr>
              <w:t>Use in this memo</w:t>
            </w:r>
          </w:p>
        </w:tc>
      </w:tr>
      <w:tr>
        <w:trPr>
          <w:cantSplit/>
        </w:trPr>
        <w:tc>
          <w:tcPr>
            <w:tcW w:type="dxa" w:w="648"/>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b/>
                <w:color w:val="2E668E"/>
                <w:sz w:val="15"/>
              </w:rPr>
              <w:t>S1</w:t>
            </w:r>
          </w:p>
        </w:tc>
        <w:tc>
          <w:tcPr>
            <w:tcW w:type="dxa" w:w="4104"/>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hyperlink r:id="rId12">
              <w:r>
                <w:rPr>
                  <w:color w:val="2E668E"/>
                  <w:u w:val="single"/>
                </w:rPr>
                <w:t>Bank of Canada — Selected Treasury bill yields</w:t>
              </w:r>
            </w:hyperlink>
          </w:p>
        </w:tc>
        <w:tc>
          <w:tcPr>
            <w:tcW w:type="dxa" w:w="4579"/>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color w:val="26313A"/>
                <w:sz w:val="14"/>
              </w:rPr>
              <w:t>Current short-term Canadian risk-free proxies; 3-month yield 2.26% on 22 Jul 2026.</w:t>
            </w:r>
          </w:p>
        </w:tc>
      </w:tr>
      <w:tr>
        <w:trPr>
          <w:cantSplit/>
        </w:trPr>
        <w:tc>
          <w:tcPr>
            <w:tcW w:type="dxa" w:w="648"/>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b/>
                <w:color w:val="2E668E"/>
                <w:sz w:val="15"/>
              </w:rPr>
              <w:t>S2</w:t>
            </w:r>
          </w:p>
        </w:tc>
        <w:tc>
          <w:tcPr>
            <w:tcW w:type="dxa" w:w="4104"/>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hyperlink r:id="rId13">
              <w:r>
                <w:rPr>
                  <w:color w:val="2E668E"/>
                  <w:u w:val="single"/>
                </w:rPr>
                <w:t>Bank of Canada — Policy interest rate</w:t>
              </w:r>
            </w:hyperlink>
          </w:p>
        </w:tc>
        <w:tc>
          <w:tcPr>
            <w:tcW w:type="dxa" w:w="4579"/>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color w:val="26313A"/>
                <w:sz w:val="14"/>
              </w:rPr>
              <w:t>Target overnight rate 2.25% on 15 Jul 2026.</w:t>
            </w:r>
          </w:p>
        </w:tc>
      </w:tr>
      <w:tr>
        <w:trPr>
          <w:cantSplit/>
        </w:trPr>
        <w:tc>
          <w:tcPr>
            <w:tcW w:type="dxa" w:w="648"/>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b/>
                <w:color w:val="2E668E"/>
                <w:sz w:val="15"/>
              </w:rPr>
              <w:t>S3</w:t>
            </w:r>
          </w:p>
        </w:tc>
        <w:tc>
          <w:tcPr>
            <w:tcW w:type="dxa" w:w="4104"/>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hyperlink r:id="rId14">
              <w:r>
                <w:rPr>
                  <w:color w:val="2E668E"/>
                  <w:u w:val="single"/>
                </w:rPr>
                <w:t>Bank of Canada — Valet API how-to</w:t>
              </w:r>
            </w:hyperlink>
          </w:p>
        </w:tc>
        <w:tc>
          <w:tcPr>
            <w:tcW w:type="dxa" w:w="4579"/>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color w:val="26313A"/>
                <w:sz w:val="14"/>
              </w:rPr>
              <w:t>Official programmatic access to exchange rates and financial series; no key required.</w:t>
            </w:r>
          </w:p>
        </w:tc>
      </w:tr>
      <w:tr>
        <w:trPr>
          <w:cantSplit/>
        </w:trPr>
        <w:tc>
          <w:tcPr>
            <w:tcW w:type="dxa" w:w="648"/>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b/>
                <w:color w:val="2E668E"/>
                <w:sz w:val="15"/>
              </w:rPr>
              <w:t>S4</w:t>
            </w:r>
          </w:p>
        </w:tc>
        <w:tc>
          <w:tcPr>
            <w:tcW w:type="dxa" w:w="4104"/>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hyperlink r:id="rId15">
              <w:r>
                <w:rPr>
                  <w:color w:val="2E668E"/>
                  <w:u w:val="single"/>
                </w:rPr>
                <w:t>SEC — EDGAR application programming interfaces</w:t>
              </w:r>
            </w:hyperlink>
          </w:p>
        </w:tc>
        <w:tc>
          <w:tcPr>
            <w:tcW w:type="dxa" w:w="4579"/>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color w:val="26313A"/>
                <w:sz w:val="14"/>
              </w:rPr>
              <w:t>Submissions and XBRL company facts from data.sec.gov; updated as filings disseminate.</w:t>
            </w:r>
          </w:p>
        </w:tc>
      </w:tr>
      <w:tr>
        <w:trPr>
          <w:cantSplit/>
        </w:trPr>
        <w:tc>
          <w:tcPr>
            <w:tcW w:type="dxa" w:w="648"/>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b/>
                <w:color w:val="2E668E"/>
                <w:sz w:val="15"/>
              </w:rPr>
              <w:t>S5</w:t>
            </w:r>
          </w:p>
        </w:tc>
        <w:tc>
          <w:tcPr>
            <w:tcW w:type="dxa" w:w="4104"/>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hyperlink r:id="rId16">
              <w:r>
                <w:rPr>
                  <w:color w:val="2E668E"/>
                  <w:u w:val="single"/>
                </w:rPr>
                <w:t>SEDAR+ — public landing/search</w:t>
              </w:r>
            </w:hyperlink>
          </w:p>
        </w:tc>
        <w:tc>
          <w:tcPr>
            <w:tcW w:type="dxa" w:w="4579"/>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color w:val="26313A"/>
                <w:sz w:val="14"/>
              </w:rPr>
              <w:t>Canadian issuer and investment-fund public filings.</w:t>
            </w:r>
          </w:p>
        </w:tc>
      </w:tr>
      <w:tr>
        <w:trPr>
          <w:cantSplit/>
        </w:trPr>
        <w:tc>
          <w:tcPr>
            <w:tcW w:type="dxa" w:w="648"/>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b/>
                <w:color w:val="2E668E"/>
                <w:sz w:val="15"/>
              </w:rPr>
              <w:t>S6</w:t>
            </w:r>
          </w:p>
        </w:tc>
        <w:tc>
          <w:tcPr>
            <w:tcW w:type="dxa" w:w="4104"/>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hyperlink r:id="rId17">
              <w:r>
                <w:rPr>
                  <w:color w:val="2E668E"/>
                  <w:u w:val="single"/>
                </w:rPr>
                <w:t>SEDAR+ Resources — Search profiles</w:t>
              </w:r>
            </w:hyperlink>
          </w:p>
        </w:tc>
        <w:tc>
          <w:tcPr>
            <w:tcW w:type="dxa" w:w="4579"/>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color w:val="26313A"/>
                <w:sz w:val="14"/>
              </w:rPr>
              <w:t>Public profile and filed-document search workflow.</w:t>
            </w:r>
          </w:p>
        </w:tc>
      </w:tr>
      <w:tr>
        <w:trPr>
          <w:cantSplit/>
        </w:trPr>
        <w:tc>
          <w:tcPr>
            <w:tcW w:type="dxa" w:w="648"/>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b/>
                <w:color w:val="2E668E"/>
                <w:sz w:val="15"/>
              </w:rPr>
              <w:t>S7</w:t>
            </w:r>
          </w:p>
        </w:tc>
        <w:tc>
          <w:tcPr>
            <w:tcW w:type="dxa" w:w="4104"/>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hyperlink r:id="rId18">
              <w:r>
                <w:rPr>
                  <w:color w:val="2E668E"/>
                  <w:u w:val="single"/>
                </w:rPr>
                <w:t>SEC — Insider Transactions Data Sets</w:t>
              </w:r>
            </w:hyperlink>
          </w:p>
        </w:tc>
        <w:tc>
          <w:tcPr>
            <w:tcW w:type="dxa" w:w="4579"/>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color w:val="26313A"/>
                <w:sz w:val="14"/>
              </w:rPr>
              <w:t>As-filed Forms 3, 4, and 5 transaction data and scope.</w:t>
            </w:r>
          </w:p>
        </w:tc>
      </w:tr>
      <w:tr>
        <w:trPr>
          <w:cantSplit/>
        </w:trPr>
        <w:tc>
          <w:tcPr>
            <w:tcW w:type="dxa" w:w="648"/>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b/>
                <w:color w:val="2E668E"/>
                <w:sz w:val="15"/>
              </w:rPr>
              <w:t>S8</w:t>
            </w:r>
          </w:p>
        </w:tc>
        <w:tc>
          <w:tcPr>
            <w:tcW w:type="dxa" w:w="4104"/>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hyperlink r:id="rId19">
              <w:r>
                <w:rPr>
                  <w:color w:val="2E668E"/>
                  <w:u w:val="single"/>
                </w:rPr>
                <w:t>CRA — Income Tax Folio S5-F2-C1, Foreign Tax Credit</w:t>
              </w:r>
            </w:hyperlink>
          </w:p>
        </w:tc>
        <w:tc>
          <w:tcPr>
            <w:tcW w:type="dxa" w:w="4579"/>
            <w:shd w:fill="F4F6F7"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color w:val="26313A"/>
                <w:sz w:val="14"/>
              </w:rPr>
              <w:t>Foreign-tax-credit treatment; explicitly excludes foreign taxes and income in TFSA/RRSP holdings from the calculation.</w:t>
            </w:r>
          </w:p>
        </w:tc>
      </w:tr>
      <w:tr>
        <w:trPr>
          <w:cantSplit/>
        </w:trPr>
        <w:tc>
          <w:tcPr>
            <w:tcW w:type="dxa" w:w="648"/>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b/>
                <w:color w:val="2E668E"/>
                <w:sz w:val="15"/>
              </w:rPr>
              <w:t>S9</w:t>
            </w:r>
          </w:p>
        </w:tc>
        <w:tc>
          <w:tcPr>
            <w:tcW w:type="dxa" w:w="4104"/>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hyperlink r:id="rId20">
              <w:r>
                <w:rPr>
                  <w:color w:val="2E668E"/>
                  <w:u w:val="single"/>
                </w:rPr>
                <w:t>GIPS Standards Handbook, 3rd edition</w:t>
              </w:r>
            </w:hyperlink>
          </w:p>
        </w:tc>
        <w:tc>
          <w:tcPr>
            <w:tcW w:type="dxa" w:w="4579"/>
            <w:shd w:fill="FFFFFF" w:val="clear"/>
            <w:tcMar>
              <w:top w:w="80" w:type="dxa"/>
              <w:start w:w="95" w:type="dxa"/>
              <w:bottom w:w="80" w:type="dxa"/>
              <w:end w:w="90" w:type="dxa"/>
            </w:tcMar>
            <w:tcBorders>
              <w:top w:val="single" w:sz="2" w:color="E5E9EC"/>
              <w:left w:val="single" w:sz="2" w:color="E5E9EC"/>
              <w:bottom w:val="single" w:sz="2" w:color="E5E9EC"/>
              <w:right w:val="single" w:sz="2" w:color="E5E9EC"/>
            </w:tcBorders>
          </w:tcPr>
          <w:p>
            <w:pPr>
              <w:keepNext w:val="0"/>
              <w:widowControl/>
              <w:spacing w:before="0" w:after="0" w:line="240" w:lineRule="auto"/>
            </w:pPr>
            <w:r>
              <w:rPr>
                <w:rFonts w:ascii="Arial" w:hAnsi="Arial" w:eastAsia="Arial"/>
                <w:color w:val="26313A"/>
                <w:sz w:val="14"/>
              </w:rPr>
              <w:t>Cash-flow-aware time-weighted-return principles and total-return treatment.</w:t>
            </w:r>
          </w:p>
        </w:tc>
      </w:tr>
    </w:tbl>
    <w:p>
      <w:pPr>
        <w:pStyle w:val="Heading2"/>
        <w:keepNext/>
        <w:widowControl/>
        <w:spacing w:before="200" w:after="100" w:line="240" w:lineRule="auto"/>
      </w:pPr>
      <w:r>
        <w:rPr>
          <w:rFonts w:ascii="Arial" w:hAnsi="Arial" w:eastAsia="Arial"/>
          <w:b/>
          <w:color w:val="2E668E"/>
          <w:sz w:val="24"/>
        </w:rPr>
        <w:t>Interpretation and disclaimer</w:t>
      </w:r>
    </w:p>
    <w:p>
      <w:pPr>
        <w:keepNext w:val="0"/>
        <w:widowControl/>
        <w:spacing w:before="0" w:after="100" w:line="259" w:lineRule="auto"/>
      </w:pPr>
      <w:r>
        <w:rPr>
          <w:rFonts w:ascii="Arial" w:hAnsi="Arial" w:eastAsia="Arial"/>
          <w:b w:val="0"/>
          <w:i w:val="0"/>
          <w:color w:val="61707C"/>
          <w:sz w:val="16"/>
        </w:rPr>
        <w:t>This memo evaluates a software-supported investment process from a portfolio-manager perspective. It does not assess the investor's full financial situation and does not recommend buying, selling, or holding any named security. Portfolio values are stale diagnostics. Tax statements are process-design considerations, not tax advice. Validate account-specific treatment with a qualified adviser before acting.</w:t>
      </w:r>
    </w:p>
    <w:p>
      <w:pPr>
        <w:keepNext w:val="0"/>
        <w:widowControl/>
        <w:spacing w:before="0" w:after="0" w:line="259" w:lineRule="auto"/>
      </w:pPr>
      <w:r>
        <w:rPr>
          <w:rFonts w:ascii="Arial" w:hAnsi="Arial" w:eastAsia="Arial"/>
          <w:b w:val="0"/>
          <w:i/>
          <w:color w:val="61707C"/>
          <w:sz w:val="16"/>
        </w:rPr>
        <w:t>Prepared without modifying application code, configuration, the live database, or the owner's in-progress Knowledge Base edits.</w:t>
      </w:r>
    </w:p>
    <w:sectPr w:rsidR="00FC693F" w:rsidRPr="0006063C" w:rsidSect="00034616">
      <w:headerReference w:type="default" r:id="rId9"/>
      <w:footerReference w:type="default" r:id="rId10"/>
      <w:pgSz w:w="12240" w:h="15840"/>
      <w:pgMar w:top="1037" w:right="1440" w:bottom="1037" w:left="1440"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1707C"/>
        <w:sz w:val="14"/>
      </w:rPr>
      <w:t xml:space="preserve">Internal review  |  29 July 2026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40" w:lineRule="auto"/>
      <w:jc w:val="left"/>
      <w:pBdr>
        <w:bottom w:val="single" w:sz="4" w:space="2" w:color="E5E9EC"/>
      </w:pBdr>
    </w:pPr>
    <w:r>
      <w:rPr>
        <w:rFonts w:ascii="Arial" w:hAnsi="Arial" w:eastAsia="Arial"/>
        <w:b/>
        <w:color w:val="61707C"/>
        <w:sz w:val="14"/>
      </w:rPr>
      <w:t>PORTFOLIO DECISION-SYSTEM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26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2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66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668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rPr>
      <w:rFonts w:ascii="Arial" w:hAnsi="Arial" w:eastAsia="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8"/>
    </w:rPr>
  </w:style>
  <w:style w:type="paragraph" w:styleId="ListNumber2">
    <w:name w:val="List Number 2"/>
    <w:basedOn w:val="Normal"/>
    <w:uiPriority w:val="99"/>
    <w:unhideWhenUsed/>
    <w:rsid w:val="0029639D"/>
    <w:pPr>
      <w:numPr>
        <w:numId w:val="6"/>
      </w:numPr>
      <w:contextualSpacing/>
    </w:pPr>
    <w:rPr>
      <w:rFonts w:ascii="Arial" w:hAnsi="Arial" w:eastAsia="Arial"/>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rial" w:hAnsi="Arial" w:eastAsia="Arial"/>
      <w:color w:val="61707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bankofcanada.ca/rates/interest-rates/t-bill-yields/" TargetMode="External"/><Relationship Id="rId13" Type="http://schemas.openxmlformats.org/officeDocument/2006/relationships/hyperlink" Target="https://www.bankofcanada.ca/core-functions/monetary-policy/key-interest-rate/" TargetMode="External"/><Relationship Id="rId14" Type="http://schemas.openxmlformats.org/officeDocument/2006/relationships/hyperlink" Target="https://www.bankofcanada.ca/valet-api-how-to/" TargetMode="External"/><Relationship Id="rId15" Type="http://schemas.openxmlformats.org/officeDocument/2006/relationships/hyperlink" Target="https://www.sec.gov/search-filings/edgar-application-programming-interfaces" TargetMode="External"/><Relationship Id="rId16" Type="http://schemas.openxmlformats.org/officeDocument/2006/relationships/hyperlink" Target="https://prod.sedarplus.ca/home/" TargetMode="External"/><Relationship Id="rId17" Type="http://schemas.openxmlformats.org/officeDocument/2006/relationships/hyperlink" Target="https://systems.securities-administrators.ca/onlinehelp/general-help/search-sedar/search-profiles/" TargetMode="External"/><Relationship Id="rId18" Type="http://schemas.openxmlformats.org/officeDocument/2006/relationships/hyperlink" Target="https://www.sec.gov/data-research/sec-markets-data/insider-transactions-data-sets" TargetMode="External"/><Relationship Id="rId19" Type="http://schemas.openxmlformats.org/officeDocument/2006/relationships/hyperlink" Target="https://www.canada.ca/en/revenue-agency/services/tax/technical-information/income-tax/income-tax-folios-index/series-5-international-residency/folio-2-foreign-tax-credits-deductions/income-tax-folio-s5-f2-c1-foreign-tax-credit.html" TargetMode="External"/><Relationship Id="rId20" Type="http://schemas.openxmlformats.org/officeDocument/2006/relationships/hyperlink" Target="https://www.gipsstandards.org/wp-content/uploads/2021/03/gips-handbook-3rd-edi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Decision-System Audit and Portfolio-Manager Gap Review</dc:title>
  <dc:subject>Current-state assessment, money-at-risk gaps, decision design, and prioritized next steps</dc:subject>
  <dc:creator>Prepared from local repository audit</dc:creator>
  <cp:keywords>portfolio, decision support, risk, research, metrics, Wealthsimple</cp:keywords>
  <dc:description>generated by python-docx</dc:description>
  <cp:lastModifiedBy/>
  <cp:revision>1</cp:revision>
  <dcterms:created xsi:type="dcterms:W3CDTF">2013-12-23T23:15:00Z</dcterms:created>
  <dcterms:modified xsi:type="dcterms:W3CDTF">2013-12-23T23:15:00Z</dcterms:modified>
  <cp:category/>
</cp:coreProperties>
</file>