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03 — Variables, Primitive Types, Literals, Conversions &amp; Operators</w:t>
      </w:r>
    </w:p>
    <w:p>
      <w:pPr>
        <w:jc w:val="center"/>
      </w:pPr>
      <w:r>
        <w:rPr>
          <w:i/>
          <w:color w:val="505050"/>
          <w:sz w:val="22"/>
        </w:rPr>
        <w:t>Java Day 2 • Foundations of values and expressions</w:t>
      </w:r>
    </w:p>
    <w:p>
      <w:pPr>
        <w:jc w:val="center"/>
      </w:pPr>
      <w:r>
        <w:rPr>
          <w:color w:val="646464"/>
          <w:sz w:val="17"/>
        </w:rPr>
        <w:t>Modernized from Day 2 discussion + legacy JavaNotes reference material</w:t>
      </w:r>
    </w:p>
    <w:p/>
    <w:p>
      <w:pPr>
        <w:pStyle w:val="Heading1"/>
      </w:pPr>
      <w:r>
        <w:t>Chapter Map</w:t>
      </w:r>
    </w:p>
    <w:p>
      <w:pPr>
        <w:pStyle w:val="ListBullet"/>
      </w:pPr>
      <w:r>
        <w:rPr>
          <w:b/>
        </w:rPr>
        <w:t>1. Variables and static typing</w:t>
      </w:r>
      <w:r>
        <w:t xml:space="preserve"> — variable anatomy, categories, naming, definite assignment</w:t>
      </w:r>
    </w:p>
    <w:p>
      <w:pPr>
        <w:pStyle w:val="ListBullet"/>
      </w:pPr>
      <w:r>
        <w:rPr>
          <w:b/>
        </w:rPr>
        <w:t>2. Primitive data types</w:t>
      </w:r>
      <w:r>
        <w:t xml:space="preserve"> — all eight primitives, ranges, representation, precision</w:t>
      </w:r>
    </w:p>
    <w:p>
      <w:pPr>
        <w:pStyle w:val="ListBullet"/>
      </w:pPr>
      <w:r>
        <w:rPr>
          <w:b/>
        </w:rPr>
        <w:t>3. Literals and constants</w:t>
      </w:r>
      <w:r>
        <w:t xml:space="preserve"> — integer/floating/char/String/boolean/null literals and compile-time constants</w:t>
      </w:r>
    </w:p>
    <w:p>
      <w:pPr>
        <w:pStyle w:val="ListBullet"/>
      </w:pPr>
      <w:r>
        <w:rPr>
          <w:b/>
        </w:rPr>
        <w:t>4. Conversion and casting</w:t>
      </w:r>
      <w:r>
        <w:t xml:space="preserve"> — widening, narrowing, char, floating/integer conversion</w:t>
      </w:r>
    </w:p>
    <w:p>
      <w:pPr>
        <w:pStyle w:val="ListBullet"/>
      </w:pPr>
      <w:r>
        <w:rPr>
          <w:b/>
        </w:rPr>
        <w:t>5. Numeric promotion</w:t>
      </w:r>
      <w:r>
        <w:t xml:space="preserve"> — unary/binary promotion, compound assignment, expression typing</w:t>
      </w:r>
    </w:p>
    <w:p>
      <w:pPr>
        <w:pStyle w:val="ListBullet"/>
      </w:pPr>
      <w:r>
        <w:rPr>
          <w:b/>
        </w:rPr>
        <w:t>6. Overflow, underflow and precision</w:t>
      </w:r>
      <w:r>
        <w:t xml:space="preserve"> — integer wrap, exact math, IEEE-754, money</w:t>
      </w:r>
    </w:p>
    <w:p>
      <w:pPr>
        <w:pStyle w:val="ListBullet"/>
      </w:pPr>
      <w:r>
        <w:rPr>
          <w:b/>
        </w:rPr>
        <w:t>7. Operators reference</w:t>
      </w:r>
      <w:r>
        <w:t xml:space="preserve"> — modernized operator reference from legacy notes</w:t>
      </w:r>
    </w:p>
    <w:p>
      <w:r>
        <w:br w:type="page"/>
      </w:r>
    </w:p>
    <w:p>
      <w:pPr>
        <w:pStyle w:val="Heading1"/>
      </w:pPr>
      <w:r>
        <w:t>1. Variables and Static Typing</w:t>
      </w:r>
    </w:p>
    <w:p>
      <w:r>
        <w:t>A variable is a named program element whose declared or inferred type determines what values it can hold and what operations are legal. Java is statically typed: the compiler determines a variable’s type before execution and the type does not dynamically change at runtime.</w:t>
      </w:r>
    </w:p>
    <w:p>
      <w:pPr>
        <w:pStyle w:val="CodeBlock"/>
        <w:shd w:fill="F7F7F7"/>
      </w:pPr>
      <w:r>
        <w:rPr>
          <w:rFonts w:ascii="Consolas" w:hAnsi="Consolas"/>
        </w:rPr>
        <w:t>int age = 34;</w:t>
      </w:r>
      <w:r>
        <w:br/>
      </w:r>
      <w:r>
        <w:rPr>
          <w:rFonts w:ascii="Consolas" w:hAnsi="Consolas"/>
        </w:rPr>
        <w:t>// type: int</w:t>
      </w:r>
      <w:r>
        <w:br/>
      </w:r>
      <w:r>
        <w:rPr>
          <w:rFonts w:ascii="Consolas" w:hAnsi="Consolas"/>
        </w:rPr>
        <w:t>// name: age</w:t>
      </w:r>
      <w:r>
        <w:br/>
      </w:r>
      <w:r>
        <w:rPr>
          <w:rFonts w:ascii="Consolas" w:hAnsi="Consolas"/>
        </w:rPr>
        <w:t>// value: 34</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2498"/>
            <w:shd w:fill="DCE6F1"/>
            <w:vAlign w:val="center"/>
          </w:tcPr>
          <w:p>
            <w:r>
              <w:rPr>
                <w:b/>
                <w:sz w:val="18"/>
              </w:rPr>
              <w:t>Category</w:t>
            </w:r>
          </w:p>
        </w:tc>
        <w:tc>
          <w:tcPr>
            <w:tcW w:type="dxa" w:w="2498"/>
            <w:shd w:fill="DCE6F1"/>
            <w:vAlign w:val="center"/>
          </w:tcPr>
          <w:p>
            <w:r>
              <w:rPr>
                <w:b/>
                <w:sz w:val="18"/>
              </w:rPr>
              <w:t>Belongs to</w:t>
            </w:r>
          </w:p>
        </w:tc>
        <w:tc>
          <w:tcPr>
            <w:tcW w:type="dxa" w:w="2498"/>
            <w:shd w:fill="DCE6F1"/>
            <w:vAlign w:val="center"/>
          </w:tcPr>
          <w:p>
            <w:r>
              <w:rPr>
                <w:b/>
                <w:sz w:val="18"/>
              </w:rPr>
              <w:t>Default value?</w:t>
            </w:r>
          </w:p>
        </w:tc>
        <w:tc>
          <w:tcPr>
            <w:tcW w:type="dxa" w:w="2498"/>
            <w:shd w:fill="DCE6F1"/>
            <w:vAlign w:val="center"/>
          </w:tcPr>
          <w:p>
            <w:r>
              <w:rPr>
                <w:b/>
                <w:sz w:val="18"/>
              </w:rPr>
              <w:t>Typical lifetime</w:t>
            </w:r>
          </w:p>
        </w:tc>
      </w:tr>
      <w:tr>
        <w:tc>
          <w:tcPr>
            <w:tcW w:type="dxa" w:w="2498"/>
            <w:vAlign w:val="top"/>
            <w:tcMar>
              <w:top w:w="90" w:type="dxa"/>
              <w:start w:w="100" w:type="dxa"/>
              <w:bottom w:w="90" w:type="dxa"/>
              <w:end w:w="100" w:type="dxa"/>
            </w:tcMar>
          </w:tcPr>
          <w:p>
            <w:r>
              <w:rPr>
                <w:sz w:val="17"/>
              </w:rPr>
              <w:t>Local variable</w:t>
            </w:r>
          </w:p>
        </w:tc>
        <w:tc>
          <w:tcPr>
            <w:tcW w:type="dxa" w:w="2498"/>
            <w:vAlign w:val="top"/>
            <w:tcMar>
              <w:top w:w="90" w:type="dxa"/>
              <w:start w:w="100" w:type="dxa"/>
              <w:bottom w:w="90" w:type="dxa"/>
              <w:end w:w="100" w:type="dxa"/>
            </w:tcMar>
          </w:tcPr>
          <w:p>
            <w:r>
              <w:rPr>
                <w:sz w:val="17"/>
              </w:rPr>
              <w:t>A method/block invocation</w:t>
            </w:r>
          </w:p>
        </w:tc>
        <w:tc>
          <w:tcPr>
            <w:tcW w:type="dxa" w:w="2498"/>
            <w:vAlign w:val="top"/>
            <w:tcMar>
              <w:top w:w="90" w:type="dxa"/>
              <w:start w:w="100" w:type="dxa"/>
              <w:bottom w:w="90" w:type="dxa"/>
              <w:end w:w="100" w:type="dxa"/>
            </w:tcMar>
          </w:tcPr>
          <w:p>
            <w:r>
              <w:rPr>
                <w:sz w:val="17"/>
              </w:rPr>
              <w:t>No; definite assignment required</w:t>
            </w:r>
          </w:p>
        </w:tc>
        <w:tc>
          <w:tcPr>
            <w:tcW w:type="dxa" w:w="2498"/>
            <w:vAlign w:val="top"/>
            <w:tcMar>
              <w:top w:w="90" w:type="dxa"/>
              <w:start w:w="100" w:type="dxa"/>
              <w:bottom w:w="90" w:type="dxa"/>
              <w:end w:w="100" w:type="dxa"/>
            </w:tcMar>
          </w:tcPr>
          <w:p>
            <w:r>
              <w:rPr>
                <w:sz w:val="17"/>
              </w:rPr>
              <w:t>Until no longer needed by the invocation/JIT</w:t>
            </w:r>
          </w:p>
        </w:tc>
      </w:tr>
      <w:tr>
        <w:tc>
          <w:tcPr>
            <w:tcW w:type="dxa" w:w="2498"/>
            <w:vAlign w:val="top"/>
            <w:tcMar>
              <w:top w:w="90" w:type="dxa"/>
              <w:start w:w="100" w:type="dxa"/>
              <w:bottom w:w="90" w:type="dxa"/>
              <w:end w:w="100" w:type="dxa"/>
            </w:tcMar>
          </w:tcPr>
          <w:p>
            <w:r>
              <w:rPr>
                <w:sz w:val="17"/>
              </w:rPr>
              <w:t>Method/constructor parameter</w:t>
            </w:r>
          </w:p>
        </w:tc>
        <w:tc>
          <w:tcPr>
            <w:tcW w:type="dxa" w:w="2498"/>
            <w:vAlign w:val="top"/>
            <w:tcMar>
              <w:top w:w="90" w:type="dxa"/>
              <w:start w:w="100" w:type="dxa"/>
              <w:bottom w:w="90" w:type="dxa"/>
              <w:end w:w="100" w:type="dxa"/>
            </w:tcMar>
          </w:tcPr>
          <w:p>
            <w:r>
              <w:rPr>
                <w:sz w:val="17"/>
              </w:rPr>
              <w:t>The invocation receiving the argument</w:t>
            </w:r>
          </w:p>
        </w:tc>
        <w:tc>
          <w:tcPr>
            <w:tcW w:type="dxa" w:w="2498"/>
            <w:vAlign w:val="top"/>
            <w:tcMar>
              <w:top w:w="90" w:type="dxa"/>
              <w:start w:w="100" w:type="dxa"/>
              <w:bottom w:w="90" w:type="dxa"/>
              <w:end w:w="100" w:type="dxa"/>
            </w:tcMar>
          </w:tcPr>
          <w:p>
            <w:r>
              <w:rPr>
                <w:sz w:val="17"/>
              </w:rPr>
              <w:t>Value supplied by caller</w:t>
            </w:r>
          </w:p>
        </w:tc>
        <w:tc>
          <w:tcPr>
            <w:tcW w:type="dxa" w:w="2498"/>
            <w:vAlign w:val="top"/>
            <w:tcMar>
              <w:top w:w="90" w:type="dxa"/>
              <w:start w:w="100" w:type="dxa"/>
              <w:bottom w:w="90" w:type="dxa"/>
              <w:end w:w="100" w:type="dxa"/>
            </w:tcMar>
          </w:tcPr>
          <w:p>
            <w:r>
              <w:rPr>
                <w:sz w:val="17"/>
              </w:rPr>
              <w:t>Invocation</w:t>
            </w:r>
          </w:p>
        </w:tc>
      </w:tr>
      <w:tr>
        <w:tc>
          <w:tcPr>
            <w:tcW w:type="dxa" w:w="2498"/>
            <w:vAlign w:val="top"/>
            <w:tcMar>
              <w:top w:w="90" w:type="dxa"/>
              <w:start w:w="100" w:type="dxa"/>
              <w:bottom w:w="90" w:type="dxa"/>
              <w:end w:w="100" w:type="dxa"/>
            </w:tcMar>
          </w:tcPr>
          <w:p>
            <w:r>
              <w:rPr>
                <w:sz w:val="17"/>
              </w:rPr>
              <w:t>Instance field</w:t>
            </w:r>
          </w:p>
        </w:tc>
        <w:tc>
          <w:tcPr>
            <w:tcW w:type="dxa" w:w="2498"/>
            <w:vAlign w:val="top"/>
            <w:tcMar>
              <w:top w:w="90" w:type="dxa"/>
              <w:start w:w="100" w:type="dxa"/>
              <w:bottom w:w="90" w:type="dxa"/>
              <w:end w:w="100" w:type="dxa"/>
            </w:tcMar>
          </w:tcPr>
          <w:p>
            <w:r>
              <w:rPr>
                <w:sz w:val="17"/>
              </w:rPr>
              <w:t>A particular object</w:t>
            </w:r>
          </w:p>
        </w:tc>
        <w:tc>
          <w:tcPr>
            <w:tcW w:type="dxa" w:w="2498"/>
            <w:vAlign w:val="top"/>
            <w:tcMar>
              <w:top w:w="90" w:type="dxa"/>
              <w:start w:w="100" w:type="dxa"/>
              <w:bottom w:w="90" w:type="dxa"/>
              <w:end w:w="100" w:type="dxa"/>
            </w:tcMar>
          </w:tcPr>
          <w:p>
            <w:r>
              <w:rPr>
                <w:sz w:val="17"/>
              </w:rPr>
              <w:t>Yes</w:t>
            </w:r>
          </w:p>
        </w:tc>
        <w:tc>
          <w:tcPr>
            <w:tcW w:type="dxa" w:w="2498"/>
            <w:vAlign w:val="top"/>
            <w:tcMar>
              <w:top w:w="90" w:type="dxa"/>
              <w:start w:w="100" w:type="dxa"/>
              <w:bottom w:w="90" w:type="dxa"/>
              <w:end w:w="100" w:type="dxa"/>
            </w:tcMar>
          </w:tcPr>
          <w:p>
            <w:r>
              <w:rPr>
                <w:sz w:val="17"/>
              </w:rPr>
              <w:t>Object lifetime</w:t>
            </w:r>
          </w:p>
        </w:tc>
      </w:tr>
      <w:tr>
        <w:tc>
          <w:tcPr>
            <w:tcW w:type="dxa" w:w="2498"/>
            <w:vAlign w:val="top"/>
            <w:tcMar>
              <w:top w:w="90" w:type="dxa"/>
              <w:start w:w="100" w:type="dxa"/>
              <w:bottom w:w="90" w:type="dxa"/>
              <w:end w:w="100" w:type="dxa"/>
            </w:tcMar>
          </w:tcPr>
          <w:p>
            <w:r>
              <w:rPr>
                <w:sz w:val="17"/>
              </w:rPr>
              <w:t>Static field</w:t>
            </w:r>
          </w:p>
        </w:tc>
        <w:tc>
          <w:tcPr>
            <w:tcW w:type="dxa" w:w="2498"/>
            <w:vAlign w:val="top"/>
            <w:tcMar>
              <w:top w:w="90" w:type="dxa"/>
              <w:start w:w="100" w:type="dxa"/>
              <w:bottom w:w="90" w:type="dxa"/>
              <w:end w:w="100" w:type="dxa"/>
            </w:tcMar>
          </w:tcPr>
          <w:p>
            <w:r>
              <w:rPr>
                <w:sz w:val="17"/>
              </w:rPr>
              <w:t>A loaded runtime class identity</w:t>
            </w:r>
          </w:p>
        </w:tc>
        <w:tc>
          <w:tcPr>
            <w:tcW w:type="dxa" w:w="2498"/>
            <w:vAlign w:val="top"/>
            <w:tcMar>
              <w:top w:w="90" w:type="dxa"/>
              <w:start w:w="100" w:type="dxa"/>
              <w:bottom w:w="90" w:type="dxa"/>
              <w:end w:w="100" w:type="dxa"/>
            </w:tcMar>
          </w:tcPr>
          <w:p>
            <w:r>
              <w:rPr>
                <w:sz w:val="17"/>
              </w:rPr>
              <w:t>Yes</w:t>
            </w:r>
          </w:p>
        </w:tc>
        <w:tc>
          <w:tcPr>
            <w:tcW w:type="dxa" w:w="2498"/>
            <w:vAlign w:val="top"/>
            <w:tcMar>
              <w:top w:w="90" w:type="dxa"/>
              <w:start w:w="100" w:type="dxa"/>
              <w:bottom w:w="90" w:type="dxa"/>
              <w:end w:w="100" w:type="dxa"/>
            </w:tcMar>
          </w:tcPr>
          <w:p>
            <w:r>
              <w:rPr>
                <w:sz w:val="17"/>
              </w:rPr>
              <w:t>Typically while class/class loader remains reachable</w:t>
            </w:r>
          </w:p>
        </w:tc>
      </w:tr>
    </w:tbl>
    <w:p/>
    <w:p>
      <w:r>
        <w:t>Local variables and parameters are not “object fields.” Instance fields are per object. Static fields are shared at class level for a particular runtime class identity. If the same class name is loaded by different class loaders, those runtime classes can have separate static state.</w:t>
      </w:r>
    </w:p>
    <w:tbl>
      <w:tblPr>
        <w:tblW w:type="auto" w:w="0"/>
        <w:jc w:val="center"/>
        <w:tblLayout w:type="autofit"/>
        <w:tblLook w:firstColumn="1" w:firstRow="1" w:lastColumn="0" w:lastRow="0" w:noHBand="0" w:noVBand="1" w:val="04A0"/>
      </w:tblPr>
      <w:tblGrid>
        <w:gridCol w:w="9994"/>
      </w:tblGrid>
      <w:tr>
        <w:tc>
          <w:tcPr>
            <w:tcW w:type="dxa" w:w="9994"/>
            <w:shd w:fill="EAF2F8"/>
            <w:tcMar>
              <w:top w:w="120" w:type="dxa"/>
              <w:start w:w="140" w:type="dxa"/>
              <w:bottom w:w="120" w:type="dxa"/>
              <w:end w:w="140" w:type="dxa"/>
            </w:tcMar>
          </w:tcPr>
          <w:p>
            <w:r>
              <w:rPr>
                <w:b/>
                <w:color w:val="1F4E79"/>
              </w:rPr>
              <w:t xml:space="preserve">Definite assignment — </w:t>
            </w:r>
            <w:r>
              <w:t>Fields and array elements receive Java default values; ordinary local variables must be definitely assigned before use.</w:t>
            </w:r>
          </w:p>
        </w:tc>
      </w:tr>
    </w:tbl>
    <w:p/>
    <w:p>
      <w:pPr>
        <w:pStyle w:val="Heading2"/>
      </w:pPr>
      <w:r>
        <w:t>1.1 Variable naming and conventions</w:t>
      </w:r>
    </w:p>
    <w:p>
      <w:pPr>
        <w:pStyle w:val="ListBullet"/>
      </w:pPr>
      <w:r>
        <w:t>Identifiers are case-sensitive. They may contain Unicode letters and digits plus underscore and dollar sign, subject to Java identifier rules and reserved-word restrictions.</w:t>
      </w:r>
    </w:p>
    <w:p>
      <w:pPr>
        <w:pStyle w:val="ListBullet"/>
      </w:pPr>
      <w:r>
        <w:t>Use meaningful lowerCamelCase names for ordinary variables; avoid cryptic abbreviations.</w:t>
      </w:r>
    </w:p>
    <w:p>
      <w:pPr>
        <w:pStyle w:val="ListBullet"/>
      </w:pPr>
      <w:r>
        <w:t>Constants are conventionally UPPER_SNAKE_CASE, for example MAX_RETRIES.</w:t>
      </w:r>
    </w:p>
    <w:p>
      <w:pPr>
        <w:pStyle w:val="ListBullet"/>
      </w:pPr>
      <w:r>
        <w:t>A naming convention does not change language semantics; it communicates intent to humans and tooling.</w:t>
      </w:r>
    </w:p>
    <w:p>
      <w:pPr>
        <w:pStyle w:val="Heading1"/>
      </w:pPr>
      <w:r>
        <w:t>2. Primitive Data Types</w:t>
      </w:r>
    </w:p>
    <w:p>
      <w:r>
        <w:t>Java has exactly eight primitive types. Primitive values are not objects and do not have object identity. Their language-level value sets and arithmetic rules are standardized, while their optimized physical location is not always literally a stack slot.</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2498"/>
            <w:shd w:fill="DCE6F1"/>
            <w:vAlign w:val="center"/>
          </w:tcPr>
          <w:p>
            <w:r>
              <w:rPr>
                <w:b/>
                <w:sz w:val="18"/>
              </w:rPr>
              <w:t>Type</w:t>
            </w:r>
          </w:p>
        </w:tc>
        <w:tc>
          <w:tcPr>
            <w:tcW w:type="dxa" w:w="2498"/>
            <w:shd w:fill="DCE6F1"/>
            <w:vAlign w:val="center"/>
          </w:tcPr>
          <w:p>
            <w:r>
              <w:rPr>
                <w:b/>
                <w:sz w:val="18"/>
              </w:rPr>
              <w:t>Category</w:t>
            </w:r>
          </w:p>
        </w:tc>
        <w:tc>
          <w:tcPr>
            <w:tcW w:type="dxa" w:w="2498"/>
            <w:shd w:fill="DCE6F1"/>
            <w:vAlign w:val="center"/>
          </w:tcPr>
          <w:p>
            <w:r>
              <w:rPr>
                <w:b/>
                <w:sz w:val="18"/>
              </w:rPr>
              <w:t>Width / semantics</w:t>
            </w:r>
          </w:p>
        </w:tc>
        <w:tc>
          <w:tcPr>
            <w:tcW w:type="dxa" w:w="2498"/>
            <w:shd w:fill="DCE6F1"/>
            <w:vAlign w:val="center"/>
          </w:tcPr>
          <w:p>
            <w:r>
              <w:rPr>
                <w:b/>
                <w:sz w:val="18"/>
              </w:rPr>
              <w:t>Key notes</w:t>
            </w:r>
          </w:p>
        </w:tc>
      </w:tr>
      <w:tr>
        <w:tc>
          <w:tcPr>
            <w:tcW w:type="dxa" w:w="2498"/>
            <w:vAlign w:val="top"/>
            <w:tcMar>
              <w:top w:w="90" w:type="dxa"/>
              <w:start w:w="100" w:type="dxa"/>
              <w:bottom w:w="90" w:type="dxa"/>
              <w:end w:w="100" w:type="dxa"/>
            </w:tcMar>
          </w:tcPr>
          <w:p>
            <w:r>
              <w:rPr>
                <w:sz w:val="17"/>
              </w:rPr>
              <w:t>byte</w:t>
            </w:r>
          </w:p>
        </w:tc>
        <w:tc>
          <w:tcPr>
            <w:tcW w:type="dxa" w:w="2498"/>
            <w:vAlign w:val="top"/>
            <w:tcMar>
              <w:top w:w="90" w:type="dxa"/>
              <w:start w:w="100" w:type="dxa"/>
              <w:bottom w:w="90" w:type="dxa"/>
              <w:end w:w="100" w:type="dxa"/>
            </w:tcMar>
          </w:tcPr>
          <w:p>
            <w:r>
              <w:rPr>
                <w:sz w:val="17"/>
              </w:rPr>
              <w:t>integral</w:t>
            </w:r>
          </w:p>
        </w:tc>
        <w:tc>
          <w:tcPr>
            <w:tcW w:type="dxa" w:w="2498"/>
            <w:vAlign w:val="top"/>
            <w:tcMar>
              <w:top w:w="90" w:type="dxa"/>
              <w:start w:w="100" w:type="dxa"/>
              <w:bottom w:w="90" w:type="dxa"/>
              <w:end w:w="100" w:type="dxa"/>
            </w:tcMar>
          </w:tcPr>
          <w:p>
            <w:r>
              <w:rPr>
                <w:sz w:val="17"/>
              </w:rPr>
              <w:t>8-bit signed</w:t>
            </w:r>
          </w:p>
        </w:tc>
        <w:tc>
          <w:tcPr>
            <w:tcW w:type="dxa" w:w="2498"/>
            <w:vAlign w:val="top"/>
            <w:tcMar>
              <w:top w:w="90" w:type="dxa"/>
              <w:start w:w="100" w:type="dxa"/>
              <w:bottom w:w="90" w:type="dxa"/>
              <w:end w:w="100" w:type="dxa"/>
            </w:tcMar>
          </w:tcPr>
          <w:p>
            <w:r>
              <w:rPr>
                <w:sz w:val="17"/>
              </w:rPr>
              <w:t>-128 to 127</w:t>
            </w:r>
          </w:p>
        </w:tc>
      </w:tr>
      <w:tr>
        <w:tc>
          <w:tcPr>
            <w:tcW w:type="dxa" w:w="2498"/>
            <w:vAlign w:val="top"/>
            <w:tcMar>
              <w:top w:w="90" w:type="dxa"/>
              <w:start w:w="100" w:type="dxa"/>
              <w:bottom w:w="90" w:type="dxa"/>
              <w:end w:w="100" w:type="dxa"/>
            </w:tcMar>
          </w:tcPr>
          <w:p>
            <w:r>
              <w:rPr>
                <w:sz w:val="17"/>
              </w:rPr>
              <w:t>short</w:t>
            </w:r>
          </w:p>
        </w:tc>
        <w:tc>
          <w:tcPr>
            <w:tcW w:type="dxa" w:w="2498"/>
            <w:vAlign w:val="top"/>
            <w:tcMar>
              <w:top w:w="90" w:type="dxa"/>
              <w:start w:w="100" w:type="dxa"/>
              <w:bottom w:w="90" w:type="dxa"/>
              <w:end w:w="100" w:type="dxa"/>
            </w:tcMar>
          </w:tcPr>
          <w:p>
            <w:r>
              <w:rPr>
                <w:sz w:val="17"/>
              </w:rPr>
              <w:t>integral</w:t>
            </w:r>
          </w:p>
        </w:tc>
        <w:tc>
          <w:tcPr>
            <w:tcW w:type="dxa" w:w="2498"/>
            <w:vAlign w:val="top"/>
            <w:tcMar>
              <w:top w:w="90" w:type="dxa"/>
              <w:start w:w="100" w:type="dxa"/>
              <w:bottom w:w="90" w:type="dxa"/>
              <w:end w:w="100" w:type="dxa"/>
            </w:tcMar>
          </w:tcPr>
          <w:p>
            <w:r>
              <w:rPr>
                <w:sz w:val="17"/>
              </w:rPr>
              <w:t>16-bit signed</w:t>
            </w:r>
          </w:p>
        </w:tc>
        <w:tc>
          <w:tcPr>
            <w:tcW w:type="dxa" w:w="2498"/>
            <w:vAlign w:val="top"/>
            <w:tcMar>
              <w:top w:w="90" w:type="dxa"/>
              <w:start w:w="100" w:type="dxa"/>
              <w:bottom w:w="90" w:type="dxa"/>
              <w:end w:w="100" w:type="dxa"/>
            </w:tcMar>
          </w:tcPr>
          <w:p>
            <w:r>
              <w:rPr>
                <w:sz w:val="17"/>
              </w:rPr>
              <w:t>-32,768 to 32,767</w:t>
            </w:r>
          </w:p>
        </w:tc>
      </w:tr>
      <w:tr>
        <w:tc>
          <w:tcPr>
            <w:tcW w:type="dxa" w:w="2498"/>
            <w:vAlign w:val="top"/>
            <w:tcMar>
              <w:top w:w="90" w:type="dxa"/>
              <w:start w:w="100" w:type="dxa"/>
              <w:bottom w:w="90" w:type="dxa"/>
              <w:end w:w="100" w:type="dxa"/>
            </w:tcMar>
          </w:tcPr>
          <w:p>
            <w:r>
              <w:rPr>
                <w:sz w:val="17"/>
              </w:rPr>
              <w:t>int</w:t>
            </w:r>
          </w:p>
        </w:tc>
        <w:tc>
          <w:tcPr>
            <w:tcW w:type="dxa" w:w="2498"/>
            <w:vAlign w:val="top"/>
            <w:tcMar>
              <w:top w:w="90" w:type="dxa"/>
              <w:start w:w="100" w:type="dxa"/>
              <w:bottom w:w="90" w:type="dxa"/>
              <w:end w:w="100" w:type="dxa"/>
            </w:tcMar>
          </w:tcPr>
          <w:p>
            <w:r>
              <w:rPr>
                <w:sz w:val="17"/>
              </w:rPr>
              <w:t>integral</w:t>
            </w:r>
          </w:p>
        </w:tc>
        <w:tc>
          <w:tcPr>
            <w:tcW w:type="dxa" w:w="2498"/>
            <w:vAlign w:val="top"/>
            <w:tcMar>
              <w:top w:w="90" w:type="dxa"/>
              <w:start w:w="100" w:type="dxa"/>
              <w:bottom w:w="90" w:type="dxa"/>
              <w:end w:w="100" w:type="dxa"/>
            </w:tcMar>
          </w:tcPr>
          <w:p>
            <w:r>
              <w:rPr>
                <w:sz w:val="17"/>
              </w:rPr>
              <w:t>32-bit signed</w:t>
            </w:r>
          </w:p>
        </w:tc>
        <w:tc>
          <w:tcPr>
            <w:tcW w:type="dxa" w:w="2498"/>
            <w:vAlign w:val="top"/>
            <w:tcMar>
              <w:top w:w="90" w:type="dxa"/>
              <w:start w:w="100" w:type="dxa"/>
              <w:bottom w:w="90" w:type="dxa"/>
              <w:end w:w="100" w:type="dxa"/>
            </w:tcMar>
          </w:tcPr>
          <w:p>
            <w:r>
              <w:rPr>
                <w:sz w:val="17"/>
              </w:rPr>
              <w:t>default integer arithmetic type</w:t>
            </w:r>
          </w:p>
        </w:tc>
      </w:tr>
      <w:tr>
        <w:tc>
          <w:tcPr>
            <w:tcW w:type="dxa" w:w="2498"/>
            <w:vAlign w:val="top"/>
            <w:tcMar>
              <w:top w:w="90" w:type="dxa"/>
              <w:start w:w="100" w:type="dxa"/>
              <w:bottom w:w="90" w:type="dxa"/>
              <w:end w:w="100" w:type="dxa"/>
            </w:tcMar>
          </w:tcPr>
          <w:p>
            <w:r>
              <w:rPr>
                <w:sz w:val="17"/>
              </w:rPr>
              <w:t>long</w:t>
            </w:r>
          </w:p>
        </w:tc>
        <w:tc>
          <w:tcPr>
            <w:tcW w:type="dxa" w:w="2498"/>
            <w:vAlign w:val="top"/>
            <w:tcMar>
              <w:top w:w="90" w:type="dxa"/>
              <w:start w:w="100" w:type="dxa"/>
              <w:bottom w:w="90" w:type="dxa"/>
              <w:end w:w="100" w:type="dxa"/>
            </w:tcMar>
          </w:tcPr>
          <w:p>
            <w:r>
              <w:rPr>
                <w:sz w:val="17"/>
              </w:rPr>
              <w:t>integral</w:t>
            </w:r>
          </w:p>
        </w:tc>
        <w:tc>
          <w:tcPr>
            <w:tcW w:type="dxa" w:w="2498"/>
            <w:vAlign w:val="top"/>
            <w:tcMar>
              <w:top w:w="90" w:type="dxa"/>
              <w:start w:w="100" w:type="dxa"/>
              <w:bottom w:w="90" w:type="dxa"/>
              <w:end w:w="100" w:type="dxa"/>
            </w:tcMar>
          </w:tcPr>
          <w:p>
            <w:r>
              <w:rPr>
                <w:sz w:val="17"/>
              </w:rPr>
              <w:t>64-bit signed</w:t>
            </w:r>
          </w:p>
        </w:tc>
        <w:tc>
          <w:tcPr>
            <w:tcW w:type="dxa" w:w="2498"/>
            <w:vAlign w:val="top"/>
            <w:tcMar>
              <w:top w:w="90" w:type="dxa"/>
              <w:start w:w="100" w:type="dxa"/>
              <w:bottom w:w="90" w:type="dxa"/>
              <w:end w:w="100" w:type="dxa"/>
            </w:tcMar>
          </w:tcPr>
          <w:p>
            <w:r>
              <w:rPr>
                <w:sz w:val="17"/>
              </w:rPr>
              <w:t>use L suffix for long literals when needed</w:t>
            </w:r>
          </w:p>
        </w:tc>
      </w:tr>
      <w:tr>
        <w:tc>
          <w:tcPr>
            <w:tcW w:type="dxa" w:w="2498"/>
            <w:vAlign w:val="top"/>
            <w:tcMar>
              <w:top w:w="90" w:type="dxa"/>
              <w:start w:w="100" w:type="dxa"/>
              <w:bottom w:w="90" w:type="dxa"/>
              <w:end w:w="100" w:type="dxa"/>
            </w:tcMar>
          </w:tcPr>
          <w:p>
            <w:r>
              <w:rPr>
                <w:sz w:val="17"/>
              </w:rPr>
              <w:t>char</w:t>
            </w:r>
          </w:p>
        </w:tc>
        <w:tc>
          <w:tcPr>
            <w:tcW w:type="dxa" w:w="2498"/>
            <w:vAlign w:val="top"/>
            <w:tcMar>
              <w:top w:w="90" w:type="dxa"/>
              <w:start w:w="100" w:type="dxa"/>
              <w:bottom w:w="90" w:type="dxa"/>
              <w:end w:w="100" w:type="dxa"/>
            </w:tcMar>
          </w:tcPr>
          <w:p>
            <w:r>
              <w:rPr>
                <w:sz w:val="17"/>
              </w:rPr>
              <w:t>integral</w:t>
            </w:r>
          </w:p>
        </w:tc>
        <w:tc>
          <w:tcPr>
            <w:tcW w:type="dxa" w:w="2498"/>
            <w:vAlign w:val="top"/>
            <w:tcMar>
              <w:top w:w="90" w:type="dxa"/>
              <w:start w:w="100" w:type="dxa"/>
              <w:bottom w:w="90" w:type="dxa"/>
              <w:end w:w="100" w:type="dxa"/>
            </w:tcMar>
          </w:tcPr>
          <w:p>
            <w:r>
              <w:rPr>
                <w:sz w:val="17"/>
              </w:rPr>
              <w:t>16-bit unsigned UTF-16 code unit</w:t>
            </w:r>
          </w:p>
        </w:tc>
        <w:tc>
          <w:tcPr>
            <w:tcW w:type="dxa" w:w="2498"/>
            <w:vAlign w:val="top"/>
            <w:tcMar>
              <w:top w:w="90" w:type="dxa"/>
              <w:start w:w="100" w:type="dxa"/>
              <w:bottom w:w="90" w:type="dxa"/>
              <w:end w:w="100" w:type="dxa"/>
            </w:tcMar>
          </w:tcPr>
          <w:p>
            <w:r>
              <w:rPr>
                <w:sz w:val="17"/>
              </w:rPr>
              <w:t>0..65,535; not necessarily one Unicode character</w:t>
            </w:r>
          </w:p>
        </w:tc>
      </w:tr>
      <w:tr>
        <w:tc>
          <w:tcPr>
            <w:tcW w:type="dxa" w:w="2498"/>
            <w:vAlign w:val="top"/>
            <w:tcMar>
              <w:top w:w="90" w:type="dxa"/>
              <w:start w:w="100" w:type="dxa"/>
              <w:bottom w:w="90" w:type="dxa"/>
              <w:end w:w="100" w:type="dxa"/>
            </w:tcMar>
          </w:tcPr>
          <w:p>
            <w:r>
              <w:rPr>
                <w:sz w:val="17"/>
              </w:rPr>
              <w:t>float</w:t>
            </w:r>
          </w:p>
        </w:tc>
        <w:tc>
          <w:tcPr>
            <w:tcW w:type="dxa" w:w="2498"/>
            <w:vAlign w:val="top"/>
            <w:tcMar>
              <w:top w:w="90" w:type="dxa"/>
              <w:start w:w="100" w:type="dxa"/>
              <w:bottom w:w="90" w:type="dxa"/>
              <w:end w:w="100" w:type="dxa"/>
            </w:tcMar>
          </w:tcPr>
          <w:p>
            <w:r>
              <w:rPr>
                <w:sz w:val="17"/>
              </w:rPr>
              <w:t>floating</w:t>
            </w:r>
          </w:p>
        </w:tc>
        <w:tc>
          <w:tcPr>
            <w:tcW w:type="dxa" w:w="2498"/>
            <w:vAlign w:val="top"/>
            <w:tcMar>
              <w:top w:w="90" w:type="dxa"/>
              <w:start w:w="100" w:type="dxa"/>
              <w:bottom w:w="90" w:type="dxa"/>
              <w:end w:w="100" w:type="dxa"/>
            </w:tcMar>
          </w:tcPr>
          <w:p>
            <w:r>
              <w:rPr>
                <w:sz w:val="17"/>
              </w:rPr>
              <w:t>32-bit IEEE-754</w:t>
            </w:r>
          </w:p>
        </w:tc>
        <w:tc>
          <w:tcPr>
            <w:tcW w:type="dxa" w:w="2498"/>
            <w:vAlign w:val="top"/>
            <w:tcMar>
              <w:top w:w="90" w:type="dxa"/>
              <w:start w:w="100" w:type="dxa"/>
              <w:bottom w:w="90" w:type="dxa"/>
              <w:end w:w="100" w:type="dxa"/>
            </w:tcMar>
          </w:tcPr>
          <w:p>
            <w:r>
              <w:rPr>
                <w:sz w:val="17"/>
              </w:rPr>
              <w:t>~6–7 decimal significant digits</w:t>
            </w:r>
          </w:p>
        </w:tc>
      </w:tr>
      <w:tr>
        <w:tc>
          <w:tcPr>
            <w:tcW w:type="dxa" w:w="2498"/>
            <w:vAlign w:val="top"/>
            <w:tcMar>
              <w:top w:w="90" w:type="dxa"/>
              <w:start w:w="100" w:type="dxa"/>
              <w:bottom w:w="90" w:type="dxa"/>
              <w:end w:w="100" w:type="dxa"/>
            </w:tcMar>
          </w:tcPr>
          <w:p>
            <w:r>
              <w:rPr>
                <w:sz w:val="17"/>
              </w:rPr>
              <w:t>double</w:t>
            </w:r>
          </w:p>
        </w:tc>
        <w:tc>
          <w:tcPr>
            <w:tcW w:type="dxa" w:w="2498"/>
            <w:vAlign w:val="top"/>
            <w:tcMar>
              <w:top w:w="90" w:type="dxa"/>
              <w:start w:w="100" w:type="dxa"/>
              <w:bottom w:w="90" w:type="dxa"/>
              <w:end w:w="100" w:type="dxa"/>
            </w:tcMar>
          </w:tcPr>
          <w:p>
            <w:r>
              <w:rPr>
                <w:sz w:val="17"/>
              </w:rPr>
              <w:t>floating</w:t>
            </w:r>
          </w:p>
        </w:tc>
        <w:tc>
          <w:tcPr>
            <w:tcW w:type="dxa" w:w="2498"/>
            <w:vAlign w:val="top"/>
            <w:tcMar>
              <w:top w:w="90" w:type="dxa"/>
              <w:start w:w="100" w:type="dxa"/>
              <w:bottom w:w="90" w:type="dxa"/>
              <w:end w:w="100" w:type="dxa"/>
            </w:tcMar>
          </w:tcPr>
          <w:p>
            <w:r>
              <w:rPr>
                <w:sz w:val="17"/>
              </w:rPr>
              <w:t>64-bit IEEE-754</w:t>
            </w:r>
          </w:p>
        </w:tc>
        <w:tc>
          <w:tcPr>
            <w:tcW w:type="dxa" w:w="2498"/>
            <w:vAlign w:val="top"/>
            <w:tcMar>
              <w:top w:w="90" w:type="dxa"/>
              <w:start w:w="100" w:type="dxa"/>
              <w:bottom w:w="90" w:type="dxa"/>
              <w:end w:w="100" w:type="dxa"/>
            </w:tcMar>
          </w:tcPr>
          <w:p>
            <w:r>
              <w:rPr>
                <w:sz w:val="17"/>
              </w:rPr>
              <w:t>default floating literal; ~15–16 digits</w:t>
            </w:r>
          </w:p>
        </w:tc>
      </w:tr>
      <w:tr>
        <w:tc>
          <w:tcPr>
            <w:tcW w:type="dxa" w:w="2498"/>
            <w:vAlign w:val="top"/>
            <w:tcMar>
              <w:top w:w="90" w:type="dxa"/>
              <w:start w:w="100" w:type="dxa"/>
              <w:bottom w:w="90" w:type="dxa"/>
              <w:end w:w="100" w:type="dxa"/>
            </w:tcMar>
          </w:tcPr>
          <w:p>
            <w:r>
              <w:rPr>
                <w:sz w:val="17"/>
              </w:rPr>
              <w:t>boolean</w:t>
            </w:r>
          </w:p>
        </w:tc>
        <w:tc>
          <w:tcPr>
            <w:tcW w:type="dxa" w:w="2498"/>
            <w:vAlign w:val="top"/>
            <w:tcMar>
              <w:top w:w="90" w:type="dxa"/>
              <w:start w:w="100" w:type="dxa"/>
              <w:bottom w:w="90" w:type="dxa"/>
              <w:end w:w="100" w:type="dxa"/>
            </w:tcMar>
          </w:tcPr>
          <w:p>
            <w:r>
              <w:rPr>
                <w:sz w:val="17"/>
              </w:rPr>
              <w:t>logical</w:t>
            </w:r>
          </w:p>
        </w:tc>
        <w:tc>
          <w:tcPr>
            <w:tcW w:type="dxa" w:w="2498"/>
            <w:vAlign w:val="top"/>
            <w:tcMar>
              <w:top w:w="90" w:type="dxa"/>
              <w:start w:w="100" w:type="dxa"/>
              <w:bottom w:w="90" w:type="dxa"/>
              <w:end w:w="100" w:type="dxa"/>
            </w:tcMar>
          </w:tcPr>
          <w:p>
            <w:r>
              <w:rPr>
                <w:sz w:val="17"/>
              </w:rPr>
              <w:t>true/false</w:t>
            </w:r>
          </w:p>
        </w:tc>
        <w:tc>
          <w:tcPr>
            <w:tcW w:type="dxa" w:w="2498"/>
            <w:vAlign w:val="top"/>
            <w:tcMar>
              <w:top w:w="90" w:type="dxa"/>
              <w:start w:w="100" w:type="dxa"/>
              <w:bottom w:w="90" w:type="dxa"/>
              <w:end w:w="100" w:type="dxa"/>
            </w:tcMar>
          </w:tcPr>
          <w:p>
            <w:r>
              <w:rPr>
                <w:sz w:val="17"/>
              </w:rPr>
              <w:t>no numeric conversion; physical size is JVM-specific</w:t>
            </w:r>
          </w:p>
        </w:tc>
      </w:tr>
    </w:tbl>
    <w:p/>
    <w:p>
      <w:r>
        <w:t>Signed integer ranges follow -2^(n-1) through 2^(n-1)-1. The asymmetry comes from two’s-complement representation. Integer operations are exact only while the result remains representable in the target width.</w:t>
      </w:r>
    </w:p>
    <w:p>
      <w:pPr>
        <w:pStyle w:val="CodeBlock"/>
        <w:shd w:fill="F7F7F7"/>
      </w:pPr>
      <w:r>
        <w:rPr>
          <w:rFonts w:ascii="Consolas" w:hAnsi="Consolas"/>
        </w:rPr>
        <w:t>byte max = 127;</w:t>
      </w:r>
      <w:r>
        <w:br/>
      </w:r>
      <w:r>
        <w:rPr>
          <w:rFonts w:ascii="Consolas" w:hAnsi="Consolas"/>
        </w:rPr>
        <w:t>byte min = -128;</w:t>
      </w:r>
      <w:r>
        <w:br/>
      </w:r>
      <w:r>
        <w:rPr>
          <w:rFonts w:ascii="Consolas" w:hAnsi="Consolas"/>
        </w:rPr>
        <w:t>int age = 34;</w:t>
      </w:r>
      <w:r>
        <w:br/>
      </w:r>
      <w:r>
        <w:rPr>
          <w:rFonts w:ascii="Consolas" w:hAnsi="Consolas"/>
        </w:rPr>
        <w:t>long population = 8_000_000_000L;</w:t>
      </w:r>
      <w:r>
        <w:br/>
      </w:r>
      <w:r>
        <w:rPr>
          <w:rFonts w:ascii="Consolas" w:hAnsi="Consolas"/>
        </w:rPr>
        <w:t>float rate = 10.5F;</w:t>
      </w:r>
      <w:r>
        <w:br/>
      </w:r>
      <w:r>
        <w:rPr>
          <w:rFonts w:ascii="Consolas" w:hAnsi="Consolas"/>
        </w:rPr>
        <w:t>double ratio = 10.5;</w:t>
      </w:r>
      <w:r>
        <w:br/>
      </w:r>
      <w:r>
        <w:rPr>
          <w:rFonts w:ascii="Consolas" w:hAnsi="Consolas"/>
        </w:rPr>
        <w:t>char grade = 'A';</w:t>
      </w:r>
      <w:r>
        <w:br/>
      </w:r>
      <w:r>
        <w:rPr>
          <w:rFonts w:ascii="Consolas" w:hAnsi="Consolas"/>
        </w:rPr>
        <w:t>boolean active = true;</w:t>
      </w:r>
    </w:p>
    <w:p>
      <w:r>
        <w:t>A char is an integral type and represents one UTF-16 code unit. Some Unicode code points require a surrogate pair, so “one char equals one human character” is not generally correct.</w:t>
      </w:r>
    </w:p>
    <w:tbl>
      <w:tblPr>
        <w:tblW w:type="auto" w:w="0"/>
        <w:jc w:val="center"/>
        <w:tblLayout w:type="autofit"/>
        <w:tblLook w:firstColumn="1" w:firstRow="1" w:lastColumn="0" w:lastRow="0" w:noHBand="0" w:noVBand="1" w:val="04A0"/>
      </w:tblPr>
      <w:tblGrid>
        <w:gridCol w:w="9994"/>
      </w:tblGrid>
      <w:tr>
        <w:tc>
          <w:tcPr>
            <w:tcW w:type="dxa" w:w="9994"/>
            <w:shd w:fill="EAF2F8"/>
            <w:tcMar>
              <w:top w:w="120" w:type="dxa"/>
              <w:start w:w="140" w:type="dxa"/>
              <w:bottom w:w="120" w:type="dxa"/>
              <w:end w:w="140" w:type="dxa"/>
            </w:tcMar>
          </w:tcPr>
          <w:p>
            <w:r>
              <w:rPr>
                <w:b/>
                <w:color w:val="1F4E79"/>
              </w:rPr>
              <w:t xml:space="preserve">Memory correction — </w:t>
            </w:r>
            <w:r>
              <w:t>Do not memorize “primitives live on the stack.” A local primitive is conceptually a frame local, but primitive instance fields and primitive array elements live as part of heap-managed objects/arrays. JIT optimization may keep locals in registers or eliminate them.</w:t>
            </w:r>
          </w:p>
        </w:tc>
      </w:tr>
    </w:tbl>
    <w:p/>
    <w:p>
      <w:pPr>
        <w:pStyle w:val="Heading1"/>
      </w:pPr>
      <w:r>
        <w:t>3. Literals and Compile-Time Constants</w:t>
      </w:r>
    </w:p>
    <w:p>
      <w:r>
        <w:t>A literal is source syntax representing a fixed value. Literals have types, and those types influence assignment, promotion, overflow and overload resolution.</w:t>
      </w:r>
    </w:p>
    <w:p>
      <w:pPr>
        <w:pStyle w:val="CodeBlock"/>
        <w:shd w:fill="F7F7F7"/>
      </w:pPr>
      <w:r>
        <w:rPr>
          <w:rFonts w:ascii="Consolas" w:hAnsi="Consolas"/>
        </w:rPr>
        <w:t>int decimal = 100;</w:t>
      </w:r>
      <w:r>
        <w:br/>
      </w:r>
      <w:r>
        <w:rPr>
          <w:rFonts w:ascii="Consolas" w:hAnsi="Consolas"/>
        </w:rPr>
        <w:t>int binary = 0b0110_0100;</w:t>
      </w:r>
      <w:r>
        <w:br/>
      </w:r>
      <w:r>
        <w:rPr>
          <w:rFonts w:ascii="Consolas" w:hAnsi="Consolas"/>
        </w:rPr>
        <w:t>int hex = 0x64;</w:t>
      </w:r>
      <w:r>
        <w:br/>
      </w:r>
      <w:r>
        <w:rPr>
          <w:rFonts w:ascii="Consolas" w:hAnsi="Consolas"/>
        </w:rPr>
        <w:t>int octal = 0144;        // leading zero: octal</w:t>
      </w:r>
      <w:r>
        <w:br/>
      </w:r>
      <w:r>
        <w:rPr>
          <w:rFonts w:ascii="Consolas" w:hAnsi="Consolas"/>
        </w:rPr>
        <w:t>long big = 3_000_000_000L;</w:t>
      </w:r>
      <w:r>
        <w:br/>
      </w:r>
      <w:r>
        <w:rPr>
          <w:rFonts w:ascii="Consolas" w:hAnsi="Consolas"/>
        </w:rPr>
        <w:t>double d = 1.25;</w:t>
      </w:r>
      <w:r>
        <w:br/>
      </w:r>
      <w:r>
        <w:rPr>
          <w:rFonts w:ascii="Consolas" w:hAnsi="Consolas"/>
        </w:rPr>
        <w:t>float f = 1.25F;</w:t>
      </w:r>
      <w:r>
        <w:br/>
      </w:r>
      <w:r>
        <w:rPr>
          <w:rFonts w:ascii="Consolas" w:hAnsi="Consolas"/>
        </w:rPr>
        <w:t>double sci = 1.2e3;</w:t>
      </w:r>
      <w:r>
        <w:br/>
      </w:r>
      <w:r>
        <w:rPr>
          <w:rFonts w:ascii="Consolas" w:hAnsi="Consolas"/>
        </w:rPr>
        <w:t>double hexFp = 0x1.0p3;  // 8.0</w:t>
      </w:r>
      <w:r>
        <w:br/>
      </w:r>
      <w:r>
        <w:rPr>
          <w:rFonts w:ascii="Consolas" w:hAnsi="Consolas"/>
        </w:rPr>
        <w:t>char c = 'A';</w:t>
      </w:r>
      <w:r>
        <w:br/>
      </w:r>
      <w:r>
        <w:rPr>
          <w:rFonts w:ascii="Consolas" w:hAnsi="Consolas"/>
        </w:rPr>
        <w:t>String s = "Java";</w:t>
      </w:r>
      <w:r>
        <w:br/>
      </w:r>
      <w:r>
        <w:rPr>
          <w:rFonts w:ascii="Consolas" w:hAnsi="Consolas"/>
        </w:rPr>
        <w:t>boolean ok = true;</w:t>
      </w:r>
    </w:p>
    <w:p>
      <w:r>
        <w:t>Integer literals are normally int when representable; L/l denotes long. Floating literals are double by default; F/f denotes float. Underscores improve readability but must appear only in legal positions between digits.</w:t>
      </w:r>
    </w:p>
    <w:p>
      <w:r>
        <w:t>The null literal is assignable to reference types, not primitive types. null is not an object; it represents the absence of a reference value.</w:t>
      </w:r>
    </w:p>
    <w:p>
      <w:pPr>
        <w:pStyle w:val="Heading2"/>
      </w:pPr>
      <w:r>
        <w:t>3.1 Constant-expression narrowing and folding</w:t>
      </w:r>
    </w:p>
    <w:p>
      <w:pPr>
        <w:pStyle w:val="CodeBlock"/>
        <w:shd w:fill="F7F7F7"/>
      </w:pPr>
      <w:r>
        <w:rPr>
          <w:rFonts w:ascii="Consolas" w:hAnsi="Consolas"/>
        </w:rPr>
        <w:t>byte b1 = 100;             // allowed: constant fits</w:t>
      </w:r>
      <w:r>
        <w:br/>
      </w:r>
      <w:r>
        <w:rPr>
          <w:rFonts w:ascii="Consolas" w:hAnsi="Consolas"/>
        </w:rPr>
        <w:t>final int x = 100;</w:t>
      </w:r>
      <w:r>
        <w:br/>
      </w:r>
      <w:r>
        <w:rPr>
          <w:rFonts w:ascii="Consolas" w:hAnsi="Consolas"/>
        </w:rPr>
        <w:t>byte b2 = x;               // allowed: x is a constant variable</w:t>
      </w:r>
      <w:r>
        <w:br/>
      </w:r>
      <w:r>
        <w:rPr>
          <w:rFonts w:ascii="Consolas" w:hAnsi="Consolas"/>
        </w:rPr>
      </w:r>
      <w:r>
        <w:br/>
      </w:r>
      <w:r>
        <w:rPr>
          <w:rFonts w:ascii="Consolas" w:hAnsi="Consolas"/>
        </w:rPr>
        <w:t>final int y = Integer.parseInt("100");</w:t>
      </w:r>
      <w:r>
        <w:br/>
      </w:r>
      <w:r>
        <w:rPr>
          <w:rFonts w:ascii="Consolas" w:hAnsi="Consolas"/>
        </w:rPr>
        <w:t>// byte b3 = y;            // compile error: y is not a compile-time constant</w:t>
      </w:r>
      <w:r>
        <w:br/>
      </w:r>
      <w:r>
        <w:rPr>
          <w:rFonts w:ascii="Consolas" w:hAnsi="Consolas"/>
        </w:rPr>
      </w:r>
      <w:r>
        <w:br/>
      </w:r>
      <w:r>
        <w:rPr>
          <w:rFonts w:ascii="Consolas" w:hAnsi="Consolas"/>
        </w:rPr>
        <w:t>byte b4 = 10 + 20;        // folded to 30 at compile time</w:t>
      </w:r>
    </w:p>
    <w:p>
      <w:r>
        <w:t>A final variable is not automatically a compile-time constant. A constant variable must satisfy stricter language rules: broadly, it is a final primitive or String variable initialized with a constant expression. Constant expressions are important for switch labels, annotations, narrowing and client-side inlining.</w:t>
      </w:r>
    </w:p>
    <w:p>
      <w:pPr>
        <w:pStyle w:val="Heading1"/>
      </w:pPr>
      <w:r>
        <w:t>4. Primitive Type Conversion and Casting</w:t>
      </w:r>
    </w:p>
    <w:p>
      <w:pPr>
        <w:pStyle w:val="Heading2"/>
      </w:pPr>
      <w:r>
        <w:t>4.1 Widening conversions</w:t>
      </w:r>
    </w:p>
    <w:p>
      <w:r>
        <w:t>Widening conversions generally move a value into a type with a broader representable set and usually require no cast. Typical chains include byte → short → int → long → float → double, plus char → int → long → float → double. boolean participates in no numeric conversion.</w:t>
      </w:r>
    </w:p>
    <w:p>
      <w:pPr>
        <w:pStyle w:val="CodeBlock"/>
        <w:shd w:fill="F7F7F7"/>
      </w:pPr>
      <w:r>
        <w:rPr>
          <w:rFonts w:ascii="Consolas" w:hAnsi="Consolas"/>
        </w:rPr>
        <w:t>int i = 100;</w:t>
      </w:r>
      <w:r>
        <w:br/>
      </w:r>
      <w:r>
        <w:rPr>
          <w:rFonts w:ascii="Consolas" w:hAnsi="Consolas"/>
        </w:rPr>
        <w:t>long l = i;</w:t>
      </w:r>
      <w:r>
        <w:br/>
      </w:r>
      <w:r>
        <w:rPr>
          <w:rFonts w:ascii="Consolas" w:hAnsi="Consolas"/>
        </w:rPr>
        <w:t>double d = l;</w:t>
      </w:r>
    </w:p>
    <w:p>
      <w:r>
        <w:t>Widening does not always mean exact. long → float and sufficiently large long → double can lose integer precision because floating-point formats have finite significand precision.</w:t>
      </w:r>
    </w:p>
    <w:p>
      <w:pPr>
        <w:pStyle w:val="Heading2"/>
      </w:pPr>
      <w:r>
        <w:t>4.2 Narrowing conversions</w:t>
      </w:r>
    </w:p>
    <w:p>
      <w:pPr>
        <w:pStyle w:val="CodeBlock"/>
        <w:shd w:fill="F7F7F7"/>
      </w:pPr>
      <w:r>
        <w:rPr>
          <w:rFonts w:ascii="Consolas" w:hAnsi="Consolas"/>
        </w:rPr>
        <w:t>int x = 130;</w:t>
      </w:r>
      <w:r>
        <w:br/>
      </w:r>
      <w:r>
        <w:rPr>
          <w:rFonts w:ascii="Consolas" w:hAnsi="Consolas"/>
        </w:rPr>
        <w:t>byte b = (byte) x;     // -126</w:t>
      </w:r>
      <w:r>
        <w:br/>
      </w:r>
      <w:r>
        <w:rPr>
          <w:rFonts w:ascii="Consolas" w:hAnsi="Consolas"/>
        </w:rPr>
      </w:r>
      <w:r>
        <w:br/>
      </w:r>
      <w:r>
        <w:rPr>
          <w:rFonts w:ascii="Consolas" w:hAnsi="Consolas"/>
        </w:rPr>
        <w:t>double price = 100.99;</w:t>
      </w:r>
      <w:r>
        <w:br/>
      </w:r>
      <w:r>
        <w:rPr>
          <w:rFonts w:ascii="Consolas" w:hAnsi="Consolas"/>
        </w:rPr>
        <w:t>int truncated = (int) price;  // 100</w:t>
      </w:r>
    </w:p>
    <w:p>
      <w:r>
        <w:t>A cast requests a conversion; it is not a range check. Integral narrowing retains the relevant low-order bits. Floating-to-integral conversion truncates toward zero; NaN converts to zero, and sufficiently large finite floating values convert to the nearest endpoint of the integral range according to Java conversion rules.</w:t>
      </w:r>
    </w:p>
    <w:p>
      <w:r>
        <w:t>For safety-critical narrowing, validate the range or use APIs such as Math.toIntExact when converting long to int.</w:t>
      </w:r>
    </w:p>
    <w:p>
      <w:pPr>
        <w:pStyle w:val="Heading2"/>
      </w:pPr>
      <w:r>
        <w:t>4.3 char conversions</w:t>
      </w:r>
    </w:p>
    <w:p>
      <w:pPr>
        <w:pStyle w:val="CodeBlock"/>
        <w:shd w:fill="F7F7F7"/>
      </w:pPr>
      <w:r>
        <w:rPr>
          <w:rFonts w:ascii="Consolas" w:hAnsi="Consolas"/>
        </w:rPr>
        <w:t>char c = 'A';</w:t>
      </w:r>
      <w:r>
        <w:br/>
      </w:r>
      <w:r>
        <w:rPr>
          <w:rFonts w:ascii="Consolas" w:hAnsi="Consolas"/>
        </w:rPr>
        <w:t>int code = c;          // 65</w:t>
      </w:r>
      <w:r>
        <w:br/>
      </w:r>
      <w:r>
        <w:rPr>
          <w:rFonts w:ascii="Consolas" w:hAnsi="Consolas"/>
        </w:rPr>
        <w:t>char wrapped = (char) -1;  // 65535</w:t>
      </w:r>
    </w:p>
    <w:p>
      <w:r>
        <w:t>char is unsigned 16-bit. char → int is widening. int → char is narrowing and effectively keeps the low 16 bits of the converted value.</w:t>
      </w:r>
    </w:p>
    <w:p>
      <w:pPr>
        <w:pStyle w:val="Heading1"/>
      </w:pPr>
      <w:r>
        <w:t>5. Numeric Promotion Rules</w:t>
      </w:r>
    </w:p>
    <w:p>
      <w:r>
        <w:t>Java promotes operands before many arithmetic operations. This is different from assignment conversion and is one of the most common causes of surprising compile errors and overflow.</w:t>
      </w:r>
    </w:p>
    <w:p>
      <w:pPr>
        <w:pStyle w:val="ListBullet"/>
      </w:pPr>
      <w:r>
        <w:t>byte, short and char are generally promoted to int for unary/binary numeric arithmetic.</w:t>
      </w:r>
    </w:p>
    <w:p>
      <w:pPr>
        <w:pStyle w:val="ListBullet"/>
      </w:pPr>
      <w:r>
        <w:t>For binary numeric promotion: if either operand is double, result is double; else float; else long; otherwise int.</w:t>
      </w:r>
    </w:p>
    <w:p>
      <w:pPr>
        <w:pStyle w:val="ListBullet"/>
      </w:pPr>
      <w:r>
        <w:t>The destination variable does not dictate the arithmetic type of intermediate expressions.</w:t>
      </w:r>
    </w:p>
    <w:p>
      <w:pPr>
        <w:pStyle w:val="ListBullet"/>
      </w:pPr>
      <w:r>
        <w:t>Promotion does not prevent overflow of the promoted type.</w:t>
      </w:r>
    </w:p>
    <w:p>
      <w:pPr>
        <w:pStyle w:val="CodeBlock"/>
        <w:shd w:fill="F7F7F7"/>
      </w:pPr>
      <w:r>
        <w:rPr>
          <w:rFonts w:ascii="Consolas" w:hAnsi="Consolas"/>
        </w:rPr>
        <w:t>byte a = 10;</w:t>
      </w:r>
      <w:r>
        <w:br/>
      </w:r>
      <w:r>
        <w:rPr>
          <w:rFonts w:ascii="Consolas" w:hAnsi="Consolas"/>
        </w:rPr>
        <w:t>byte b = 20;</w:t>
      </w:r>
      <w:r>
        <w:br/>
      </w:r>
      <w:r>
        <w:rPr>
          <w:rFonts w:ascii="Consolas" w:hAnsi="Consolas"/>
        </w:rPr>
        <w:t>int c = a + b;          // byte + byte -&gt; int</w:t>
      </w:r>
      <w:r>
        <w:br/>
      </w:r>
      <w:r>
        <w:rPr>
          <w:rFonts w:ascii="Consolas" w:hAnsi="Consolas"/>
        </w:rPr>
      </w:r>
      <w:r>
        <w:br/>
      </w:r>
      <w:r>
        <w:rPr>
          <w:rFonts w:ascii="Consolas" w:hAnsi="Consolas"/>
        </w:rPr>
        <w:t>long r1 = 10 + 20L;     // long</w:t>
      </w:r>
      <w:r>
        <w:br/>
      </w:r>
      <w:r>
        <w:rPr>
          <w:rFonts w:ascii="Consolas" w:hAnsi="Consolas"/>
        </w:rPr>
        <w:t>double r2 = 10 + 20.0;  // double</w:t>
      </w:r>
    </w:p>
    <w:p>
      <w:pPr>
        <w:pStyle w:val="Heading2"/>
      </w:pPr>
      <w:r>
        <w:t>5.1 Intermediate overflow</w:t>
      </w:r>
    </w:p>
    <w:p>
      <w:pPr>
        <w:pStyle w:val="CodeBlock"/>
        <w:shd w:fill="F7F7F7"/>
      </w:pPr>
      <w:r>
        <w:rPr>
          <w:rFonts w:ascii="Consolas" w:hAnsi="Consolas"/>
        </w:rPr>
        <w:t>int a = 1_500_000_000;</w:t>
      </w:r>
      <w:r>
        <w:br/>
      </w:r>
      <w:r>
        <w:rPr>
          <w:rFonts w:ascii="Consolas" w:hAnsi="Consolas"/>
        </w:rPr>
        <w:t>int b = 2;</w:t>
      </w:r>
      <w:r>
        <w:br/>
      </w:r>
      <w:r>
        <w:rPr>
          <w:rFonts w:ascii="Consolas" w:hAnsi="Consolas"/>
        </w:rPr>
        <w:t>long wrong = a * b;          // int multiplication overflows first</w:t>
      </w:r>
      <w:r>
        <w:br/>
      </w:r>
      <w:r>
        <w:rPr>
          <w:rFonts w:ascii="Consolas" w:hAnsi="Consolas"/>
        </w:rPr>
        <w:t>long correct = (long) a * b; // long multiplication</w:t>
      </w:r>
    </w:p>
    <w:tbl>
      <w:tblPr>
        <w:tblW w:type="auto" w:w="0"/>
        <w:jc w:val="center"/>
        <w:tblLayout w:type="autofit"/>
        <w:tblLook w:firstColumn="1" w:firstRow="1" w:lastColumn="0" w:lastRow="0" w:noHBand="0" w:noVBand="1" w:val="04A0"/>
      </w:tblPr>
      <w:tblGrid>
        <w:gridCol w:w="9994"/>
      </w:tblGrid>
      <w:tr>
        <w:tc>
          <w:tcPr>
            <w:tcW w:type="dxa" w:w="9994"/>
            <w:shd w:fill="EAF2F8"/>
            <w:tcMar>
              <w:top w:w="120" w:type="dxa"/>
              <w:start w:w="140" w:type="dxa"/>
              <w:bottom w:w="120" w:type="dxa"/>
              <w:end w:w="140" w:type="dxa"/>
            </w:tcMar>
          </w:tcPr>
          <w:p>
            <w:r>
              <w:rPr>
                <w:b/>
                <w:color w:val="1F4E79"/>
              </w:rPr>
              <w:t xml:space="preserve">Interview rule — </w:t>
            </w:r>
            <w:r>
              <w:t>Analyze operand types and intermediate expressions first. Assignment to a wider destination happens after the expression has already been evaluated.</w:t>
            </w:r>
          </w:p>
        </w:tc>
      </w:tr>
    </w:tbl>
    <w:p/>
    <w:p>
      <w:pPr>
        <w:pStyle w:val="Heading2"/>
      </w:pPr>
      <w:r>
        <w:t>5.2 Compound assignment and ++/--</w:t>
      </w:r>
    </w:p>
    <w:p>
      <w:pPr>
        <w:pStyle w:val="CodeBlock"/>
        <w:shd w:fill="F7F7F7"/>
      </w:pPr>
      <w:r>
        <w:rPr>
          <w:rFonts w:ascii="Consolas" w:hAnsi="Consolas"/>
        </w:rPr>
        <w:t>byte b = 120;</w:t>
      </w:r>
      <w:r>
        <w:br/>
      </w:r>
      <w:r>
        <w:rPr>
          <w:rFonts w:ascii="Consolas" w:hAnsi="Consolas"/>
        </w:rPr>
        <w:t>b += 20;    // compiles; implicit narrowing conversion occurs</w:t>
      </w:r>
      <w:r>
        <w:br/>
      </w:r>
      <w:r>
        <w:rPr>
          <w:rFonts w:ascii="Consolas" w:hAnsi="Consolas"/>
        </w:rPr>
        <w:t>// b = b + 20; // does not compile without cast</w:t>
      </w:r>
    </w:p>
    <w:p>
      <w:r>
        <w:t>Compound assignment includes an implicit conversion back to the left-hand type and evaluates the left-hand expression only once. That convenience can silently wrap a narrow integral value. Increment/decrement operators similarly have special conversion behavior.</w:t>
      </w:r>
    </w:p>
    <w:p>
      <w:pPr>
        <w:pStyle w:val="Heading2"/>
      </w:pPr>
      <w:r>
        <w:t>5.3 Division and expression typing</w:t>
      </w:r>
    </w:p>
    <w:p>
      <w:pPr>
        <w:pStyle w:val="CodeBlock"/>
        <w:shd w:fill="F7F7F7"/>
      </w:pPr>
      <w:r>
        <w:rPr>
          <w:rFonts w:ascii="Consolas" w:hAnsi="Consolas"/>
        </w:rPr>
        <w:t>double x = 5 / 2;    // 2.0: int division happened first</w:t>
      </w:r>
      <w:r>
        <w:br/>
      </w:r>
      <w:r>
        <w:rPr>
          <w:rFonts w:ascii="Consolas" w:hAnsi="Consolas"/>
        </w:rPr>
        <w:t>double y = 5 / 2.0;  // 2.5</w:t>
      </w:r>
    </w:p>
    <w:p>
      <w:pPr>
        <w:pStyle w:val="Heading1"/>
      </w:pPr>
      <w:r>
        <w:t>6. Overflow, Underflow and Precision</w:t>
      </w:r>
    </w:p>
    <w:p>
      <w:pPr>
        <w:pStyle w:val="Heading2"/>
      </w:pPr>
      <w:r>
        <w:t>6.1 Integer overflow</w:t>
      </w:r>
    </w:p>
    <w:p>
      <w:pPr>
        <w:pStyle w:val="CodeBlock"/>
        <w:shd w:fill="F7F7F7"/>
      </w:pPr>
      <w:r>
        <w:rPr>
          <w:rFonts w:ascii="Consolas" w:hAnsi="Consolas"/>
        </w:rPr>
        <w:t>int x = Integer.MAX_VALUE;</w:t>
      </w:r>
      <w:r>
        <w:br/>
      </w:r>
      <w:r>
        <w:rPr>
          <w:rFonts w:ascii="Consolas" w:hAnsi="Consolas"/>
        </w:rPr>
        <w:t>x++;</w:t>
      </w:r>
      <w:r>
        <w:br/>
      </w:r>
      <w:r>
        <w:rPr>
          <w:rFonts w:ascii="Consolas" w:hAnsi="Consolas"/>
        </w:rPr>
        <w:t>System.out.println(x); // Integer.MIN_VALUE</w:t>
      </w:r>
    </w:p>
    <w:p>
      <w:r>
        <w:t>Ordinary Java integer arithmetic does not throw on overflow. It wraps in the fixed-width two’s-complement domain. Exact-arithmetic helpers can detect overflow.</w:t>
      </w:r>
    </w:p>
    <w:p>
      <w:pPr>
        <w:pStyle w:val="CodeBlock"/>
        <w:shd w:fill="F7F7F7"/>
      </w:pPr>
      <w:r>
        <w:rPr>
          <w:rFonts w:ascii="Consolas" w:hAnsi="Consolas"/>
        </w:rPr>
        <w:t>Math.addExact(a, b);</w:t>
      </w:r>
      <w:r>
        <w:br/>
      </w:r>
      <w:r>
        <w:rPr>
          <w:rFonts w:ascii="Consolas" w:hAnsi="Consolas"/>
        </w:rPr>
        <w:t>Math.subtractExact(a, b);</w:t>
      </w:r>
      <w:r>
        <w:br/>
      </w:r>
      <w:r>
        <w:rPr>
          <w:rFonts w:ascii="Consolas" w:hAnsi="Consolas"/>
        </w:rPr>
        <w:t>Math.multiplyExact(a, b);</w:t>
      </w:r>
      <w:r>
        <w:br/>
      </w:r>
      <w:r>
        <w:rPr>
          <w:rFonts w:ascii="Consolas" w:hAnsi="Consolas"/>
        </w:rPr>
        <w:t>Math.incrementExact(a);</w:t>
      </w:r>
      <w:r>
        <w:br/>
      </w:r>
      <w:r>
        <w:rPr>
          <w:rFonts w:ascii="Consolas" w:hAnsi="Consolas"/>
        </w:rPr>
        <w:t>Math.negateExact(a);</w:t>
      </w:r>
      <w:r>
        <w:br/>
      </w:r>
      <w:r>
        <w:rPr>
          <w:rFonts w:ascii="Consolas" w:hAnsi="Consolas"/>
        </w:rPr>
        <w:t>Math.toIntExact(longValue);</w:t>
      </w:r>
    </w:p>
    <w:p>
      <w:r>
        <w:t>Special trap: -Integer.MIN_VALUE equals Integer.MIN_VALUE because the positive mathematical value does not fit in int. Consequently Math.abs(Integer.MIN_VALUE) is still negative.</w:t>
      </w:r>
    </w:p>
    <w:p>
      <w:pPr>
        <w:pStyle w:val="Heading2"/>
      </w:pPr>
      <w:r>
        <w:t>6.2 Floating-point overflow, underflow, NaN and Infinity</w:t>
      </w:r>
    </w:p>
    <w:p>
      <w:pPr>
        <w:pStyle w:val="CodeBlock"/>
        <w:shd w:fill="F7F7F7"/>
      </w:pPr>
      <w:r>
        <w:rPr>
          <w:rFonts w:ascii="Consolas" w:hAnsi="Consolas"/>
        </w:rPr>
        <w:t>double inf = 10.0 / 0.0;  // Infinity</w:t>
      </w:r>
      <w:r>
        <w:br/>
      </w:r>
      <w:r>
        <w:rPr>
          <w:rFonts w:ascii="Consolas" w:hAnsi="Consolas"/>
        </w:rPr>
        <w:t>double nan = 0.0 / 0.0;   // NaN</w:t>
      </w:r>
      <w:r>
        <w:br/>
      </w:r>
      <w:r>
        <w:rPr>
          <w:rFonts w:ascii="Consolas" w:hAnsi="Consolas"/>
        </w:rPr>
        <w:t>System.out.println(nan == nan); // false</w:t>
      </w:r>
    </w:p>
    <w:p>
      <w:r>
        <w:t>Floating-point overflow produces infinities. Underflow can move from normal values into subnormal values and eventually zero. Double.MIN_VALUE is the smallest positive non-zero double, not the most negative double. Use Double.isNaN, isInfinite and isFinite rather than naive equality checks for special values.</w:t>
      </w:r>
    </w:p>
    <w:p>
      <w:pPr>
        <w:pStyle w:val="Heading2"/>
      </w:pPr>
      <w:r>
        <w:t>6.3 Precision and domain modeling</w:t>
      </w:r>
    </w:p>
    <w:p>
      <w:r>
        <w:t>Binary floating point cannot exactly represent many decimal fractions, so 0.1 + 0.2 is not exactly 0.3 in double arithmetic. There is no universal epsilon suitable for every domain. Choose comparison tolerances from domain error bounds. For exact monetary semantics, use BigDecimal carefully (including explicit rounding where needed) or represent minor units as integers when appropriate.</w:t>
      </w:r>
    </w:p>
    <w:p>
      <w:pPr>
        <w:pStyle w:val="Heading1"/>
      </w:pPr>
      <w:r>
        <w:t>7. Operator Reference — Modernized from Legacy Notes</w:t>
      </w:r>
    </w:p>
    <w:p>
      <w:r>
        <w:t>The legacy Day 2 source also contained a broad operator reference. The table below preserves that material while correcting terminology and tying it to the expression rules above.</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CE6F1"/>
            <w:vAlign w:val="center"/>
          </w:tcPr>
          <w:p>
            <w:r>
              <w:rPr>
                <w:b/>
                <w:sz w:val="18"/>
              </w:rPr>
              <w:t>Group</w:t>
            </w:r>
          </w:p>
        </w:tc>
        <w:tc>
          <w:tcPr>
            <w:tcW w:type="dxa" w:w="3331"/>
            <w:shd w:fill="DCE6F1"/>
            <w:vAlign w:val="center"/>
          </w:tcPr>
          <w:p>
            <w:r>
              <w:rPr>
                <w:b/>
                <w:sz w:val="18"/>
              </w:rPr>
              <w:t>Operators</w:t>
            </w:r>
          </w:p>
        </w:tc>
        <w:tc>
          <w:tcPr>
            <w:tcW w:type="dxa" w:w="3331"/>
            <w:shd w:fill="DCE6F1"/>
            <w:vAlign w:val="center"/>
          </w:tcPr>
          <w:p>
            <w:r>
              <w:rPr>
                <w:b/>
                <w:sz w:val="18"/>
              </w:rPr>
              <w:t>Important semantics</w:t>
            </w:r>
          </w:p>
        </w:tc>
      </w:tr>
      <w:tr>
        <w:tc>
          <w:tcPr>
            <w:tcW w:type="dxa" w:w="3331"/>
            <w:vAlign w:val="top"/>
            <w:tcMar>
              <w:top w:w="90" w:type="dxa"/>
              <w:start w:w="100" w:type="dxa"/>
              <w:bottom w:w="90" w:type="dxa"/>
              <w:end w:w="100" w:type="dxa"/>
            </w:tcMar>
          </w:tcPr>
          <w:p>
            <w:r>
              <w:rPr>
                <w:sz w:val="17"/>
              </w:rPr>
              <w:t>Arithmetic</w:t>
            </w:r>
          </w:p>
        </w:tc>
        <w:tc>
          <w:tcPr>
            <w:tcW w:type="dxa" w:w="3331"/>
            <w:vAlign w:val="top"/>
            <w:tcMar>
              <w:top w:w="90" w:type="dxa"/>
              <w:start w:w="100" w:type="dxa"/>
              <w:bottom w:w="90" w:type="dxa"/>
              <w:end w:w="100" w:type="dxa"/>
            </w:tcMar>
          </w:tcPr>
          <w:p>
            <w:r>
              <w:rPr>
                <w:sz w:val="17"/>
              </w:rPr>
              <w:t>+  -  *  /  %</w:t>
            </w:r>
          </w:p>
        </w:tc>
        <w:tc>
          <w:tcPr>
            <w:tcW w:type="dxa" w:w="3331"/>
            <w:vAlign w:val="top"/>
            <w:tcMar>
              <w:top w:w="90" w:type="dxa"/>
              <w:start w:w="100" w:type="dxa"/>
              <w:bottom w:w="90" w:type="dxa"/>
              <w:end w:w="100" w:type="dxa"/>
            </w:tcMar>
          </w:tcPr>
          <w:p>
            <w:r>
              <w:rPr>
                <w:sz w:val="17"/>
              </w:rPr>
              <w:t>Numeric promotion applies; + also performs String concatenation in String contexts.</w:t>
            </w:r>
          </w:p>
        </w:tc>
      </w:tr>
      <w:tr>
        <w:tc>
          <w:tcPr>
            <w:tcW w:type="dxa" w:w="3331"/>
            <w:vAlign w:val="top"/>
            <w:tcMar>
              <w:top w:w="90" w:type="dxa"/>
              <w:start w:w="100" w:type="dxa"/>
              <w:bottom w:w="90" w:type="dxa"/>
              <w:end w:w="100" w:type="dxa"/>
            </w:tcMar>
          </w:tcPr>
          <w:p>
            <w:r>
              <w:rPr>
                <w:sz w:val="17"/>
              </w:rPr>
              <w:t>Unary</w:t>
            </w:r>
          </w:p>
        </w:tc>
        <w:tc>
          <w:tcPr>
            <w:tcW w:type="dxa" w:w="3331"/>
            <w:vAlign w:val="top"/>
            <w:tcMar>
              <w:top w:w="90" w:type="dxa"/>
              <w:start w:w="100" w:type="dxa"/>
              <w:bottom w:w="90" w:type="dxa"/>
              <w:end w:w="100" w:type="dxa"/>
            </w:tcMar>
          </w:tcPr>
          <w:p>
            <w:r>
              <w:rPr>
                <w:sz w:val="17"/>
              </w:rPr>
              <w:t>+  -  ++  --  !  ~</w:t>
            </w:r>
          </w:p>
        </w:tc>
        <w:tc>
          <w:tcPr>
            <w:tcW w:type="dxa" w:w="3331"/>
            <w:vAlign w:val="top"/>
            <w:tcMar>
              <w:top w:w="90" w:type="dxa"/>
              <w:start w:w="100" w:type="dxa"/>
              <w:bottom w:w="90" w:type="dxa"/>
              <w:end w:w="100" w:type="dxa"/>
            </w:tcMar>
          </w:tcPr>
          <w:p>
            <w:r>
              <w:rPr>
                <w:sz w:val="17"/>
              </w:rPr>
              <w:t>Unary numeric promotion applies where defined. ! is boolean logical negation; ~ is integral bitwise complement.</w:t>
            </w:r>
          </w:p>
        </w:tc>
      </w:tr>
      <w:tr>
        <w:tc>
          <w:tcPr>
            <w:tcW w:type="dxa" w:w="3331"/>
            <w:vAlign w:val="top"/>
            <w:tcMar>
              <w:top w:w="90" w:type="dxa"/>
              <w:start w:w="100" w:type="dxa"/>
              <w:bottom w:w="90" w:type="dxa"/>
              <w:end w:w="100" w:type="dxa"/>
            </w:tcMar>
          </w:tcPr>
          <w:p>
            <w:r>
              <w:rPr>
                <w:sz w:val="17"/>
              </w:rPr>
              <w:t>Relational</w:t>
            </w:r>
          </w:p>
        </w:tc>
        <w:tc>
          <w:tcPr>
            <w:tcW w:type="dxa" w:w="3331"/>
            <w:vAlign w:val="top"/>
            <w:tcMar>
              <w:top w:w="90" w:type="dxa"/>
              <w:start w:w="100" w:type="dxa"/>
              <w:bottom w:w="90" w:type="dxa"/>
              <w:end w:w="100" w:type="dxa"/>
            </w:tcMar>
          </w:tcPr>
          <w:p>
            <w:r>
              <w:rPr>
                <w:sz w:val="17"/>
              </w:rPr>
              <w:t>&lt;  &lt;=  &gt;  &gt;=</w:t>
            </w:r>
          </w:p>
        </w:tc>
        <w:tc>
          <w:tcPr>
            <w:tcW w:type="dxa" w:w="3331"/>
            <w:vAlign w:val="top"/>
            <w:tcMar>
              <w:top w:w="90" w:type="dxa"/>
              <w:start w:w="100" w:type="dxa"/>
              <w:bottom w:w="90" w:type="dxa"/>
              <w:end w:w="100" w:type="dxa"/>
            </w:tcMar>
          </w:tcPr>
          <w:p>
            <w:r>
              <w:rPr>
                <w:sz w:val="17"/>
              </w:rPr>
              <w:t>Numeric operands are promoted before comparison.</w:t>
            </w:r>
          </w:p>
        </w:tc>
      </w:tr>
      <w:tr>
        <w:tc>
          <w:tcPr>
            <w:tcW w:type="dxa" w:w="3331"/>
            <w:vAlign w:val="top"/>
            <w:tcMar>
              <w:top w:w="90" w:type="dxa"/>
              <w:start w:w="100" w:type="dxa"/>
              <w:bottom w:w="90" w:type="dxa"/>
              <w:end w:w="100" w:type="dxa"/>
            </w:tcMar>
          </w:tcPr>
          <w:p>
            <w:r>
              <w:rPr>
                <w:sz w:val="17"/>
              </w:rPr>
              <w:t>Equality</w:t>
            </w:r>
          </w:p>
        </w:tc>
        <w:tc>
          <w:tcPr>
            <w:tcW w:type="dxa" w:w="3331"/>
            <w:vAlign w:val="top"/>
            <w:tcMar>
              <w:top w:w="90" w:type="dxa"/>
              <w:start w:w="100" w:type="dxa"/>
              <w:bottom w:w="90" w:type="dxa"/>
              <w:end w:w="100" w:type="dxa"/>
            </w:tcMar>
          </w:tcPr>
          <w:p>
            <w:r>
              <w:rPr>
                <w:sz w:val="17"/>
              </w:rPr>
              <w:t>==  !=</w:t>
            </w:r>
          </w:p>
        </w:tc>
        <w:tc>
          <w:tcPr>
            <w:tcW w:type="dxa" w:w="3331"/>
            <w:vAlign w:val="top"/>
            <w:tcMar>
              <w:top w:w="90" w:type="dxa"/>
              <w:start w:w="100" w:type="dxa"/>
              <w:bottom w:w="90" w:type="dxa"/>
              <w:end w:w="100" w:type="dxa"/>
            </w:tcMar>
          </w:tcPr>
          <w:p>
            <w:r>
              <w:rPr>
                <w:sz w:val="17"/>
              </w:rPr>
              <w:t>Primitives compare values after applicable promotion; references compare identity/reference equality.</w:t>
            </w:r>
          </w:p>
        </w:tc>
      </w:tr>
      <w:tr>
        <w:tc>
          <w:tcPr>
            <w:tcW w:type="dxa" w:w="3331"/>
            <w:vAlign w:val="top"/>
            <w:tcMar>
              <w:top w:w="90" w:type="dxa"/>
              <w:start w:w="100" w:type="dxa"/>
              <w:bottom w:w="90" w:type="dxa"/>
              <w:end w:w="100" w:type="dxa"/>
            </w:tcMar>
          </w:tcPr>
          <w:p>
            <w:r>
              <w:rPr>
                <w:sz w:val="17"/>
              </w:rPr>
              <w:t>Conditional logical</w:t>
            </w:r>
          </w:p>
        </w:tc>
        <w:tc>
          <w:tcPr>
            <w:tcW w:type="dxa" w:w="3331"/>
            <w:vAlign w:val="top"/>
            <w:tcMar>
              <w:top w:w="90" w:type="dxa"/>
              <w:start w:w="100" w:type="dxa"/>
              <w:bottom w:w="90" w:type="dxa"/>
              <w:end w:w="100" w:type="dxa"/>
            </w:tcMar>
          </w:tcPr>
          <w:p>
            <w:r>
              <w:rPr>
                <w:sz w:val="17"/>
              </w:rPr>
              <w:t>&amp;&amp;  ||</w:t>
            </w:r>
          </w:p>
        </w:tc>
        <w:tc>
          <w:tcPr>
            <w:tcW w:type="dxa" w:w="3331"/>
            <w:vAlign w:val="top"/>
            <w:tcMar>
              <w:top w:w="90" w:type="dxa"/>
              <w:start w:w="100" w:type="dxa"/>
              <w:bottom w:w="90" w:type="dxa"/>
              <w:end w:w="100" w:type="dxa"/>
            </w:tcMar>
          </w:tcPr>
          <w:p>
            <w:r>
              <w:rPr>
                <w:sz w:val="17"/>
              </w:rPr>
              <w:t>Boolean-only and short-circuiting.</w:t>
            </w:r>
          </w:p>
        </w:tc>
      </w:tr>
      <w:tr>
        <w:tc>
          <w:tcPr>
            <w:tcW w:type="dxa" w:w="3331"/>
            <w:vAlign w:val="top"/>
            <w:tcMar>
              <w:top w:w="90" w:type="dxa"/>
              <w:start w:w="100" w:type="dxa"/>
              <w:bottom w:w="90" w:type="dxa"/>
              <w:end w:w="100" w:type="dxa"/>
            </w:tcMar>
          </w:tcPr>
          <w:p>
            <w:r>
              <w:rPr>
                <w:sz w:val="17"/>
              </w:rPr>
              <w:t>Bitwise/logical</w:t>
            </w:r>
          </w:p>
        </w:tc>
        <w:tc>
          <w:tcPr>
            <w:tcW w:type="dxa" w:w="3331"/>
            <w:vAlign w:val="top"/>
            <w:tcMar>
              <w:top w:w="90" w:type="dxa"/>
              <w:start w:w="100" w:type="dxa"/>
              <w:bottom w:w="90" w:type="dxa"/>
              <w:end w:w="100" w:type="dxa"/>
            </w:tcMar>
          </w:tcPr>
          <w:p>
            <w:r>
              <w:rPr>
                <w:sz w:val="17"/>
              </w:rPr>
              <w:t>&amp;  |  ^</w:t>
            </w:r>
          </w:p>
        </w:tc>
        <w:tc>
          <w:tcPr>
            <w:tcW w:type="dxa" w:w="3331"/>
            <w:vAlign w:val="top"/>
            <w:tcMar>
              <w:top w:w="90" w:type="dxa"/>
              <w:start w:w="100" w:type="dxa"/>
              <w:bottom w:w="90" w:type="dxa"/>
              <w:end w:w="100" w:type="dxa"/>
            </w:tcMar>
          </w:tcPr>
          <w:p>
            <w:r>
              <w:rPr>
                <w:sz w:val="17"/>
              </w:rPr>
              <w:t>Integral bitwise operations; also non-short-circuit boolean operations when operands are boolean.</w:t>
            </w:r>
          </w:p>
        </w:tc>
      </w:tr>
      <w:tr>
        <w:tc>
          <w:tcPr>
            <w:tcW w:type="dxa" w:w="3331"/>
            <w:vAlign w:val="top"/>
            <w:tcMar>
              <w:top w:w="90" w:type="dxa"/>
              <w:start w:w="100" w:type="dxa"/>
              <w:bottom w:w="90" w:type="dxa"/>
              <w:end w:w="100" w:type="dxa"/>
            </w:tcMar>
          </w:tcPr>
          <w:p>
            <w:r>
              <w:rPr>
                <w:sz w:val="17"/>
              </w:rPr>
              <w:t>Shift</w:t>
            </w:r>
          </w:p>
        </w:tc>
        <w:tc>
          <w:tcPr>
            <w:tcW w:type="dxa" w:w="3331"/>
            <w:vAlign w:val="top"/>
            <w:tcMar>
              <w:top w:w="90" w:type="dxa"/>
              <w:start w:w="100" w:type="dxa"/>
              <w:bottom w:w="90" w:type="dxa"/>
              <w:end w:w="100" w:type="dxa"/>
            </w:tcMar>
          </w:tcPr>
          <w:p>
            <w:r>
              <w:rPr>
                <w:sz w:val="17"/>
              </w:rPr>
              <w:t>&lt;&lt;  &gt;&gt;  &gt;&gt;&gt;</w:t>
            </w:r>
          </w:p>
        </w:tc>
        <w:tc>
          <w:tcPr>
            <w:tcW w:type="dxa" w:w="3331"/>
            <w:vAlign w:val="top"/>
            <w:tcMar>
              <w:top w:w="90" w:type="dxa"/>
              <w:start w:w="100" w:type="dxa"/>
              <w:bottom w:w="90" w:type="dxa"/>
              <w:end w:w="100" w:type="dxa"/>
            </w:tcMar>
          </w:tcPr>
          <w:p>
            <w:r>
              <w:rPr>
                <w:sz w:val="17"/>
              </w:rPr>
              <w:t>Left shift, signed right shift, unsigned right shift; integral promotion rules apply.</w:t>
            </w:r>
          </w:p>
        </w:tc>
      </w:tr>
      <w:tr>
        <w:tc>
          <w:tcPr>
            <w:tcW w:type="dxa" w:w="3331"/>
            <w:vAlign w:val="top"/>
            <w:tcMar>
              <w:top w:w="90" w:type="dxa"/>
              <w:start w:w="100" w:type="dxa"/>
              <w:bottom w:w="90" w:type="dxa"/>
              <w:end w:w="100" w:type="dxa"/>
            </w:tcMar>
          </w:tcPr>
          <w:p>
            <w:r>
              <w:rPr>
                <w:sz w:val="17"/>
              </w:rPr>
              <w:t>Assignment</w:t>
            </w:r>
          </w:p>
        </w:tc>
        <w:tc>
          <w:tcPr>
            <w:tcW w:type="dxa" w:w="3331"/>
            <w:vAlign w:val="top"/>
            <w:tcMar>
              <w:top w:w="90" w:type="dxa"/>
              <w:start w:w="100" w:type="dxa"/>
              <w:bottom w:w="90" w:type="dxa"/>
              <w:end w:w="100" w:type="dxa"/>
            </w:tcMar>
          </w:tcPr>
          <w:p>
            <w:r>
              <w:rPr>
                <w:sz w:val="17"/>
              </w:rPr>
              <w:t>=  +=  -=  *=  /=  %=  &amp;=  |=  ^=  &lt;&lt;=  &gt;&gt;=  &gt;&gt;&gt;=</w:t>
            </w:r>
          </w:p>
        </w:tc>
        <w:tc>
          <w:tcPr>
            <w:tcW w:type="dxa" w:w="3331"/>
            <w:vAlign w:val="top"/>
            <w:tcMar>
              <w:top w:w="90" w:type="dxa"/>
              <w:start w:w="100" w:type="dxa"/>
              <w:bottom w:w="90" w:type="dxa"/>
              <w:end w:w="100" w:type="dxa"/>
            </w:tcMar>
          </w:tcPr>
          <w:p>
            <w:r>
              <w:rPr>
                <w:sz w:val="17"/>
              </w:rPr>
              <w:t>Compound assignment includes implicit conversion to the left-hand type.</w:t>
            </w:r>
          </w:p>
        </w:tc>
      </w:tr>
      <w:tr>
        <w:tc>
          <w:tcPr>
            <w:tcW w:type="dxa" w:w="3331"/>
            <w:vAlign w:val="top"/>
            <w:tcMar>
              <w:top w:w="90" w:type="dxa"/>
              <w:start w:w="100" w:type="dxa"/>
              <w:bottom w:w="90" w:type="dxa"/>
              <w:end w:w="100" w:type="dxa"/>
            </w:tcMar>
          </w:tcPr>
          <w:p>
            <w:r>
              <w:rPr>
                <w:sz w:val="17"/>
              </w:rPr>
              <w:t>Conditional</w:t>
            </w:r>
          </w:p>
        </w:tc>
        <w:tc>
          <w:tcPr>
            <w:tcW w:type="dxa" w:w="3331"/>
            <w:vAlign w:val="top"/>
            <w:tcMar>
              <w:top w:w="90" w:type="dxa"/>
              <w:start w:w="100" w:type="dxa"/>
              <w:bottom w:w="90" w:type="dxa"/>
              <w:end w:w="100" w:type="dxa"/>
            </w:tcMar>
          </w:tcPr>
          <w:p>
            <w:r>
              <w:rPr>
                <w:sz w:val="17"/>
              </w:rPr>
              <w:t>?:</w:t>
            </w:r>
          </w:p>
        </w:tc>
        <w:tc>
          <w:tcPr>
            <w:tcW w:type="dxa" w:w="3331"/>
            <w:vAlign w:val="top"/>
            <w:tcMar>
              <w:top w:w="90" w:type="dxa"/>
              <w:start w:w="100" w:type="dxa"/>
              <w:bottom w:w="90" w:type="dxa"/>
              <w:end w:w="100" w:type="dxa"/>
            </w:tcMar>
          </w:tcPr>
          <w:p>
            <w:r>
              <w:rPr>
                <w:sz w:val="17"/>
              </w:rPr>
              <w:t>Conditional expression type follows Java typing rules; numeric operands may undergo promotion.</w:t>
            </w:r>
          </w:p>
        </w:tc>
      </w:tr>
      <w:tr>
        <w:tc>
          <w:tcPr>
            <w:tcW w:type="dxa" w:w="3331"/>
            <w:vAlign w:val="top"/>
            <w:tcMar>
              <w:top w:w="90" w:type="dxa"/>
              <w:start w:w="100" w:type="dxa"/>
              <w:bottom w:w="90" w:type="dxa"/>
              <w:end w:w="100" w:type="dxa"/>
            </w:tcMar>
          </w:tcPr>
          <w:p>
            <w:r>
              <w:rPr>
                <w:sz w:val="17"/>
              </w:rPr>
              <w:t>Type test / patterns</w:t>
            </w:r>
          </w:p>
        </w:tc>
        <w:tc>
          <w:tcPr>
            <w:tcW w:type="dxa" w:w="3331"/>
            <w:vAlign w:val="top"/>
            <w:tcMar>
              <w:top w:w="90" w:type="dxa"/>
              <w:start w:w="100" w:type="dxa"/>
              <w:bottom w:w="90" w:type="dxa"/>
              <w:end w:w="100" w:type="dxa"/>
            </w:tcMar>
          </w:tcPr>
          <w:p>
            <w:r>
              <w:rPr>
                <w:sz w:val="17"/>
              </w:rPr>
              <w:t>instanceof</w:t>
            </w:r>
          </w:p>
        </w:tc>
        <w:tc>
          <w:tcPr>
            <w:tcW w:type="dxa" w:w="3331"/>
            <w:vAlign w:val="top"/>
            <w:tcMar>
              <w:top w:w="90" w:type="dxa"/>
              <w:start w:w="100" w:type="dxa"/>
              <w:bottom w:w="90" w:type="dxa"/>
              <w:end w:w="100" w:type="dxa"/>
            </w:tcMar>
          </w:tcPr>
          <w:p>
            <w:r>
              <w:rPr>
                <w:sz w:val="17"/>
              </w:rPr>
              <w:t>Reference-type test; modern Java may bind a pattern variable. Full pattern matching is covered later.</w:t>
            </w:r>
          </w:p>
        </w:tc>
      </w:tr>
    </w:tbl>
    <w:p/>
    <w:p>
      <w:pPr>
        <w:pStyle w:val="Heading1"/>
      </w:pPr>
      <w:r>
        <w:t>8. Senior-Level Checklist</w:t>
      </w:r>
    </w:p>
    <w:p>
      <w:pPr>
        <w:pStyle w:val="ListNumber"/>
      </w:pPr>
      <w:r>
        <w:t>Identify the literal and operand types before looking at the destination variable.</w:t>
      </w:r>
    </w:p>
    <w:p>
      <w:pPr>
        <w:pStyle w:val="ListNumber"/>
      </w:pPr>
      <w:r>
        <w:t>Distinguish widening from exactness; floating widening can still lose precision.</w:t>
      </w:r>
    </w:p>
    <w:p>
      <w:pPr>
        <w:pStyle w:val="ListNumber"/>
      </w:pPr>
      <w:r>
        <w:t>Treat explicit casts as potentially lossy conversions, not safety checks.</w:t>
      </w:r>
    </w:p>
    <w:p>
      <w:pPr>
        <w:pStyle w:val="ListNumber"/>
      </w:pPr>
      <w:r>
        <w:t>Remember that byte/short/char arithmetic normally becomes int.</w:t>
      </w:r>
    </w:p>
    <w:p>
      <w:pPr>
        <w:pStyle w:val="ListNumber"/>
      </w:pPr>
      <w:r>
        <w:t>Expect ordinary integer overflow to wrap unless an exact helper is used.</w:t>
      </w:r>
    </w:p>
    <w:p>
      <w:pPr>
        <w:pStyle w:val="ListNumber"/>
      </w:pPr>
      <w:r>
        <w:t>Separate Java language semantics from optimized JVM physical placement.</w:t>
      </w:r>
    </w:p>
    <w:sectPr w:rsidR="00FC693F" w:rsidRPr="0006063C" w:rsidSect="00034616">
      <w:headerReference w:type="default" r:id="rId9"/>
      <w:footerReference w:type="default" r:id="rId10"/>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1F4E79"/>
        <w:sz w:val="16"/>
      </w:rPr>
      <w:t>CAREER MASTERY • JAVA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w:hAnsi="Aptos"/>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ptos" w:hAnsi="Aptos"/>
      <w:b/>
      <w:color w:val="1F4E79"/>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259" w:right="259"/>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