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5CB4E" w14:textId="77777777" w:rsidR="009C283F" w:rsidRDefault="009C283F">
      <w:pPr>
        <w:spacing w:before="1400"/>
      </w:pPr>
    </w:p>
    <w:p w14:paraId="76152295" w14:textId="77777777" w:rsidR="009C283F" w:rsidRDefault="00000000">
      <w:pPr>
        <w:spacing w:after="100"/>
        <w:jc w:val="center"/>
      </w:pPr>
      <w:r>
        <w:rPr>
          <w:b/>
          <w:bCs/>
          <w:sz w:val="34"/>
          <w:szCs w:val="34"/>
        </w:rPr>
        <w:t>SPATIAL ASSESSMENT OF 15-MINUTE URBAN ACCESSIBILITY</w:t>
      </w:r>
    </w:p>
    <w:p w14:paraId="23DCB7A0" w14:textId="77777777" w:rsidR="009C283F" w:rsidRDefault="00000000">
      <w:pPr>
        <w:spacing w:after="500"/>
        <w:jc w:val="center"/>
      </w:pPr>
      <w:r>
        <w:rPr>
          <w:b/>
          <w:bCs/>
          <w:i/>
          <w:iCs/>
          <w:sz w:val="28"/>
          <w:szCs w:val="28"/>
        </w:rPr>
        <w:t>A GIS-Based Walkability Index for Central Ahmedabad</w:t>
      </w:r>
    </w:p>
    <w:p w14:paraId="657D3496" w14:textId="77777777" w:rsidR="009C283F" w:rsidRDefault="009C283F">
      <w:pPr>
        <w:pBdr>
          <w:top w:val="single" w:sz="6" w:space="8" w:color="1A1A1A"/>
        </w:pBdr>
        <w:spacing w:after="500"/>
      </w:pPr>
    </w:p>
    <w:p w14:paraId="0F5758EE" w14:textId="6A0A3D91" w:rsidR="009C283F" w:rsidRPr="007B5A6A" w:rsidRDefault="00000000">
      <w:pPr>
        <w:spacing w:after="180"/>
        <w:jc w:val="center"/>
      </w:pPr>
      <w:r>
        <w:rPr>
          <w:b/>
          <w:bCs/>
        </w:rPr>
        <w:t xml:space="preserve">Author: </w:t>
      </w:r>
      <w:r w:rsidR="007B5A6A">
        <w:t>Adithy Praveen – Ahmedabad University</w:t>
      </w:r>
    </w:p>
    <w:p w14:paraId="24FB4E4C" w14:textId="77777777" w:rsidR="009C283F" w:rsidRDefault="00000000">
      <w:pPr>
        <w:spacing w:after="180"/>
        <w:jc w:val="center"/>
      </w:pPr>
      <w:r>
        <w:rPr>
          <w:b/>
          <w:bCs/>
        </w:rPr>
        <w:t xml:space="preserve">Location Focus:  </w:t>
      </w:r>
      <w:r>
        <w:t xml:space="preserve">Central Ahmedabad — </w:t>
      </w:r>
      <w:proofErr w:type="spellStart"/>
      <w:r>
        <w:t>Navrangpura</w:t>
      </w:r>
      <w:proofErr w:type="spellEnd"/>
      <w:r>
        <w:t>, Ashram Road, Sabarmati Riverfront Corridor, Old City &amp; Eastern Transit Nodes</w:t>
      </w:r>
    </w:p>
    <w:p w14:paraId="57F7770D" w14:textId="77777777" w:rsidR="009C283F" w:rsidRDefault="00000000">
      <w:pPr>
        <w:spacing w:after="180"/>
        <w:jc w:val="center"/>
      </w:pPr>
      <w:r>
        <w:rPr>
          <w:b/>
          <w:bCs/>
        </w:rPr>
        <w:t xml:space="preserve">Software Environment:  </w:t>
      </w:r>
      <w:r>
        <w:t>QGIS 3.x — Network Analysis, Spatial Processing &amp; Vector Analytics</w:t>
      </w:r>
    </w:p>
    <w:p w14:paraId="4B9F0577" w14:textId="77777777" w:rsidR="009C283F" w:rsidRDefault="00000000">
      <w:pPr>
        <w:spacing w:after="180"/>
        <w:jc w:val="center"/>
      </w:pPr>
      <w:r>
        <w:rPr>
          <w:b/>
          <w:bCs/>
        </w:rPr>
        <w:t xml:space="preserve">Data Sources:  </w:t>
      </w:r>
      <w:r>
        <w:t xml:space="preserve">OpenStreetMap (OSM) via </w:t>
      </w:r>
      <w:proofErr w:type="spellStart"/>
      <w:r>
        <w:t>QuickOSM</w:t>
      </w:r>
      <w:proofErr w:type="spellEnd"/>
      <w:r>
        <w:t>; OpenStreetMap Standard Base Tiles</w:t>
      </w:r>
    </w:p>
    <w:p w14:paraId="2EA1749B" w14:textId="77777777" w:rsidR="009C283F" w:rsidRDefault="00000000">
      <w:pPr>
        <w:spacing w:after="180"/>
        <w:jc w:val="center"/>
      </w:pPr>
      <w:r>
        <w:rPr>
          <w:b/>
          <w:bCs/>
        </w:rPr>
        <w:t xml:space="preserve">Date of Completion:  </w:t>
      </w:r>
      <w:r>
        <w:t>August 2026</w:t>
      </w:r>
    </w:p>
    <w:p w14:paraId="03033800" w14:textId="77777777" w:rsidR="009C283F" w:rsidRDefault="00000000">
      <w:r>
        <w:br w:type="page"/>
      </w:r>
    </w:p>
    <w:p w14:paraId="2D881BBD" w14:textId="09FFD37B" w:rsidR="009C283F" w:rsidRDefault="007B5A6A">
      <w:pPr>
        <w:pStyle w:val="Heading1"/>
        <w:pBdr>
          <w:bottom w:val="single" w:sz="6" w:space="4" w:color="1F1F1F"/>
        </w:pBdr>
        <w:spacing w:before="380" w:after="200"/>
      </w:pPr>
      <w:r>
        <w:rPr>
          <w:b/>
          <w:bCs/>
          <w:color w:val="1A1A1A"/>
          <w:sz w:val="30"/>
          <w:szCs w:val="30"/>
        </w:rPr>
        <w:lastRenderedPageBreak/>
        <w:t>Cor</w:t>
      </w:r>
      <w:r w:rsidR="00000000">
        <w:rPr>
          <w:b/>
          <w:bCs/>
          <w:color w:val="1A1A1A"/>
          <w:sz w:val="30"/>
          <w:szCs w:val="30"/>
        </w:rPr>
        <w:t>e Summary</w:t>
      </w:r>
    </w:p>
    <w:p w14:paraId="599CDCEE" w14:textId="77777777" w:rsidR="009C283F" w:rsidRDefault="00000000">
      <w:pPr>
        <w:spacing w:after="160" w:line="276" w:lineRule="auto"/>
        <w:jc w:val="both"/>
      </w:pPr>
      <w:r>
        <w:t>This report documents the spatial modelling, data architecture, and analytical findings of a 15-Minute City Walkability Index generated for the central metropolitan area of Ahmedabad, Gujarat, India. Using an integrated vector network analysis approach in QGIS, pedestrian catchment zones (network service areas) were modelled across five core amenity categories: daily retail and groceries, public transit nodes, educational institutions, healthcare facilities, and public green spaces.</w:t>
      </w:r>
    </w:p>
    <w:p w14:paraId="71D47AF0" w14:textId="77777777" w:rsidR="009C283F" w:rsidRDefault="00000000">
      <w:pPr>
        <w:spacing w:after="160" w:line="276" w:lineRule="auto"/>
        <w:jc w:val="both"/>
      </w:pPr>
      <w:r>
        <w:t xml:space="preserve">By applying a hexagonal tessellation mesh across the study area and evaluating spatial intersections through a </w:t>
      </w:r>
      <w:proofErr w:type="gramStart"/>
      <w:r>
        <w:t>multi-criteria</w:t>
      </w:r>
      <w:proofErr w:type="gramEnd"/>
      <w:r>
        <w:t xml:space="preserve"> weighted index formula, the study identifies sharp micro-spatial disparities in pedestrian accessibility. Western core precincts — specifically </w:t>
      </w:r>
      <w:proofErr w:type="spellStart"/>
      <w:r>
        <w:t>Navrangpura</w:t>
      </w:r>
      <w:proofErr w:type="spellEnd"/>
      <w:r>
        <w:t xml:space="preserve">, </w:t>
      </w:r>
      <w:proofErr w:type="spellStart"/>
      <w:r>
        <w:t>Paldi</w:t>
      </w:r>
      <w:proofErr w:type="spellEnd"/>
      <w:r>
        <w:t xml:space="preserve">, </w:t>
      </w:r>
      <w:proofErr w:type="spellStart"/>
      <w:r>
        <w:t>Usmanpura</w:t>
      </w:r>
      <w:proofErr w:type="spellEnd"/>
      <w:r>
        <w:t>, and the Ashram Road corridor — demonstrate optimal walkability (85–100 score), whereas eastern zones beyond the main railway corridor and peripheral zones exhibit pronounced spatial service gaps (0–45 score).</w:t>
      </w:r>
    </w:p>
    <w:p w14:paraId="7F7D3947" w14:textId="77777777" w:rsidR="009C283F" w:rsidRDefault="00000000">
      <w:pPr>
        <w:pStyle w:val="Heading1"/>
        <w:pBdr>
          <w:bottom w:val="single" w:sz="6" w:space="4" w:color="1F1F1F"/>
        </w:pBdr>
        <w:spacing w:before="380" w:after="200"/>
      </w:pPr>
      <w:r>
        <w:rPr>
          <w:b/>
          <w:bCs/>
          <w:color w:val="1A1A1A"/>
          <w:sz w:val="30"/>
          <w:szCs w:val="30"/>
        </w:rPr>
        <w:t>1. Introduction &amp; Theoretical Framework</w:t>
      </w:r>
    </w:p>
    <w:p w14:paraId="020B4ECF" w14:textId="77777777" w:rsidR="009C283F" w:rsidRDefault="00000000">
      <w:pPr>
        <w:pStyle w:val="Heading2"/>
        <w:spacing w:before="280" w:after="140"/>
      </w:pPr>
      <w:proofErr w:type="gramStart"/>
      <w:r>
        <w:rPr>
          <w:b/>
          <w:bCs/>
          <w:color w:val="1A1A1A"/>
        </w:rPr>
        <w:t>1.1  The</w:t>
      </w:r>
      <w:proofErr w:type="gramEnd"/>
      <w:r>
        <w:rPr>
          <w:b/>
          <w:bCs/>
          <w:color w:val="1A1A1A"/>
        </w:rPr>
        <w:t xml:space="preserve"> 15-Minute City Paradigm</w:t>
      </w:r>
    </w:p>
    <w:p w14:paraId="06DB11FA" w14:textId="77777777" w:rsidR="009C283F" w:rsidRDefault="00000000">
      <w:pPr>
        <w:spacing w:after="160" w:line="276" w:lineRule="auto"/>
        <w:jc w:val="both"/>
      </w:pPr>
      <w:r>
        <w:t>The 15-Minute City framework, popularised by Carlos Moreno, posits that urban residents should be able to access most of their daily essential needs — living, working, supplying, caring, learning, and enjoying — within a 15-minute walk or cycle from their doorstep. In rapidly densifying South Asian metropolises like Ahmedabad, evaluating urban accessibility through network-constrained pedestrian metrics offers vital empirical guidance for transport planning, mixed-use zoning, and equitable public service delivery.</w:t>
      </w:r>
    </w:p>
    <w:p w14:paraId="1D4D4ED5" w14:textId="77777777" w:rsidR="009C283F" w:rsidRDefault="00000000">
      <w:pPr>
        <w:pStyle w:val="Heading2"/>
        <w:spacing w:before="280" w:after="140"/>
      </w:pPr>
      <w:proofErr w:type="gramStart"/>
      <w:r>
        <w:rPr>
          <w:b/>
          <w:bCs/>
          <w:color w:val="1A1A1A"/>
        </w:rPr>
        <w:t>1.2  Objectives</w:t>
      </w:r>
      <w:proofErr w:type="gramEnd"/>
    </w:p>
    <w:p w14:paraId="39D615E4" w14:textId="77777777" w:rsidR="009C283F" w:rsidRDefault="00000000">
      <w:pPr>
        <w:pStyle w:val="ListParagraph"/>
        <w:numPr>
          <w:ilvl w:val="0"/>
          <w:numId w:val="2"/>
        </w:numPr>
        <w:spacing w:after="140" w:line="276" w:lineRule="auto"/>
        <w:jc w:val="both"/>
      </w:pPr>
      <w:r>
        <w:t>Consolidate Spatial Infrastructure: Extract and clean high-resolution pedestrian networks and point-of-interest (POI) spatial datasets for Central Ahmedabad.</w:t>
      </w:r>
    </w:p>
    <w:p w14:paraId="65129239" w14:textId="77777777" w:rsidR="009C283F" w:rsidRDefault="00000000">
      <w:pPr>
        <w:pStyle w:val="ListParagraph"/>
        <w:numPr>
          <w:ilvl w:val="0"/>
          <w:numId w:val="2"/>
        </w:numPr>
        <w:spacing w:after="140" w:line="276" w:lineRule="auto"/>
        <w:jc w:val="both"/>
      </w:pPr>
      <w:r>
        <w:t>Execute Network-Constrained Catchments: Model realistic 15-minute walking distance catchments along connected street topologies rather than unconstrained Euclidean buffers.</w:t>
      </w:r>
    </w:p>
    <w:p w14:paraId="14807452" w14:textId="77777777" w:rsidR="009C283F" w:rsidRDefault="00000000">
      <w:pPr>
        <w:pStyle w:val="ListParagraph"/>
        <w:numPr>
          <w:ilvl w:val="0"/>
          <w:numId w:val="2"/>
        </w:numPr>
        <w:spacing w:after="140" w:line="276" w:lineRule="auto"/>
        <w:jc w:val="both"/>
      </w:pPr>
      <w:r>
        <w:t>Construct Hexagonal Grid Index: Partition the urban fabric into equidistant hexagons to evaluate multi-amenity overlap.</w:t>
      </w:r>
    </w:p>
    <w:p w14:paraId="1EFB1893" w14:textId="77777777" w:rsidR="009C283F" w:rsidRDefault="00000000">
      <w:pPr>
        <w:pStyle w:val="ListParagraph"/>
        <w:numPr>
          <w:ilvl w:val="0"/>
          <w:numId w:val="2"/>
        </w:numPr>
        <w:spacing w:after="140" w:line="276" w:lineRule="auto"/>
        <w:jc w:val="both"/>
      </w:pPr>
      <w:r>
        <w:t>Formulate Policy Insights: Identify primary spatial barriers (such as river corridors and rail line buffers) and recommend targeted urban interventions to bridge accessibility gaps.</w:t>
      </w:r>
    </w:p>
    <w:p w14:paraId="3A6DF76E" w14:textId="77777777" w:rsidR="007B5A6A" w:rsidRDefault="007B5A6A" w:rsidP="007B5A6A">
      <w:pPr>
        <w:pStyle w:val="ListParagraph"/>
        <w:spacing w:after="140" w:line="276" w:lineRule="auto"/>
        <w:ind w:left="460"/>
        <w:jc w:val="both"/>
      </w:pPr>
    </w:p>
    <w:p w14:paraId="21EA8E61" w14:textId="77777777" w:rsidR="009C283F" w:rsidRDefault="00000000">
      <w:pPr>
        <w:pStyle w:val="Heading1"/>
        <w:pBdr>
          <w:bottom w:val="single" w:sz="6" w:space="4" w:color="1F1F1F"/>
        </w:pBdr>
        <w:spacing w:before="380" w:after="200"/>
      </w:pPr>
      <w:r>
        <w:rPr>
          <w:b/>
          <w:bCs/>
          <w:color w:val="1A1A1A"/>
          <w:sz w:val="30"/>
          <w:szCs w:val="30"/>
        </w:rPr>
        <w:lastRenderedPageBreak/>
        <w:t>2. Study Area Profile: Central Ahmedabad</w:t>
      </w:r>
    </w:p>
    <w:p w14:paraId="3E64E3F3" w14:textId="77777777" w:rsidR="009C283F" w:rsidRDefault="00000000">
      <w:pPr>
        <w:spacing w:after="160" w:line="276" w:lineRule="auto"/>
        <w:jc w:val="both"/>
      </w:pPr>
      <w:r>
        <w:t>The geographic domain of this study encompasses Central Ahmedabad along both banks of the Sabarmati River:</w:t>
      </w:r>
    </w:p>
    <w:p w14:paraId="3F89AA68" w14:textId="77777777" w:rsidR="009C283F" w:rsidRDefault="00000000">
      <w:pPr>
        <w:pStyle w:val="ListParagraph"/>
        <w:numPr>
          <w:ilvl w:val="0"/>
          <w:numId w:val="3"/>
        </w:numPr>
        <w:spacing w:after="100" w:line="276" w:lineRule="auto"/>
        <w:jc w:val="both"/>
      </w:pPr>
      <w:r>
        <w:rPr>
          <w:b/>
          <w:bCs/>
        </w:rPr>
        <w:t xml:space="preserve">Western Precincts: </w:t>
      </w:r>
      <w:proofErr w:type="spellStart"/>
      <w:r>
        <w:t>Navrangpura</w:t>
      </w:r>
      <w:proofErr w:type="spellEnd"/>
      <w:r>
        <w:t xml:space="preserve">, </w:t>
      </w:r>
      <w:proofErr w:type="spellStart"/>
      <w:r>
        <w:t>Paldi</w:t>
      </w:r>
      <w:proofErr w:type="spellEnd"/>
      <w:r>
        <w:t xml:space="preserve">, </w:t>
      </w:r>
      <w:proofErr w:type="spellStart"/>
      <w:r>
        <w:t>Usmanpura</w:t>
      </w:r>
      <w:proofErr w:type="spellEnd"/>
      <w:r>
        <w:t xml:space="preserve">, </w:t>
      </w:r>
      <w:proofErr w:type="spellStart"/>
      <w:r>
        <w:t>Ambawadi</w:t>
      </w:r>
      <w:proofErr w:type="spellEnd"/>
      <w:r>
        <w:t xml:space="preserve">, </w:t>
      </w:r>
      <w:proofErr w:type="spellStart"/>
      <w:r>
        <w:t>Gulbai</w:t>
      </w:r>
      <w:proofErr w:type="spellEnd"/>
      <w:r>
        <w:t xml:space="preserve"> </w:t>
      </w:r>
      <w:proofErr w:type="spellStart"/>
      <w:r>
        <w:t>Tekra</w:t>
      </w:r>
      <w:proofErr w:type="spellEnd"/>
      <w:r>
        <w:t>, and the Gujarat University precinct. These areas are characterised by fine-grain street grids, mixed-use commercial corridors, high institutional density, and extensive BRTS/AMTS bus coverage.</w:t>
      </w:r>
    </w:p>
    <w:p w14:paraId="1F5B3C6A" w14:textId="77777777" w:rsidR="009C283F" w:rsidRDefault="00000000">
      <w:pPr>
        <w:pStyle w:val="ListParagraph"/>
        <w:numPr>
          <w:ilvl w:val="0"/>
          <w:numId w:val="3"/>
        </w:numPr>
        <w:spacing w:after="100" w:line="276" w:lineRule="auto"/>
        <w:jc w:val="both"/>
      </w:pPr>
      <w:r>
        <w:rPr>
          <w:b/>
          <w:bCs/>
        </w:rPr>
        <w:t xml:space="preserve">Central Riverfront Corridor: </w:t>
      </w:r>
      <w:r>
        <w:t>The Sabarmati Riverfront and associated arterial roadways (Ashram Road, Sabarmati Riverfront Road).</w:t>
      </w:r>
    </w:p>
    <w:p w14:paraId="0A295FD0" w14:textId="77777777" w:rsidR="009C283F" w:rsidRDefault="00000000">
      <w:pPr>
        <w:pStyle w:val="ListParagraph"/>
        <w:numPr>
          <w:ilvl w:val="0"/>
          <w:numId w:val="3"/>
        </w:numPr>
        <w:spacing w:after="100" w:line="276" w:lineRule="auto"/>
        <w:jc w:val="both"/>
      </w:pPr>
      <w:r>
        <w:rPr>
          <w:b/>
          <w:bCs/>
        </w:rPr>
        <w:t xml:space="preserve">Eastern / Historic Core: </w:t>
      </w:r>
      <w:proofErr w:type="spellStart"/>
      <w:r>
        <w:t>Khadia</w:t>
      </w:r>
      <w:proofErr w:type="spellEnd"/>
      <w:r>
        <w:t xml:space="preserve">, Manek Chowk, </w:t>
      </w:r>
      <w:proofErr w:type="spellStart"/>
      <w:r>
        <w:t>Dariyapur</w:t>
      </w:r>
      <w:proofErr w:type="spellEnd"/>
      <w:r>
        <w:t xml:space="preserve">, Shahpur, </w:t>
      </w:r>
      <w:proofErr w:type="spellStart"/>
      <w:r>
        <w:t>Asarwa</w:t>
      </w:r>
      <w:proofErr w:type="spellEnd"/>
      <w:r>
        <w:t xml:space="preserve">, </w:t>
      </w:r>
      <w:proofErr w:type="spellStart"/>
      <w:r>
        <w:t>Sarangpur</w:t>
      </w:r>
      <w:proofErr w:type="spellEnd"/>
      <w:r>
        <w:t xml:space="preserve">, </w:t>
      </w:r>
      <w:proofErr w:type="spellStart"/>
      <w:r>
        <w:t>Gomtipur</w:t>
      </w:r>
      <w:proofErr w:type="spellEnd"/>
      <w:r>
        <w:t xml:space="preserve">, Rajpur </w:t>
      </w:r>
      <w:proofErr w:type="spellStart"/>
      <w:r>
        <w:t>Gomtipur</w:t>
      </w:r>
      <w:proofErr w:type="spellEnd"/>
      <w:r>
        <w:t xml:space="preserve">, and the </w:t>
      </w:r>
      <w:proofErr w:type="spellStart"/>
      <w:r>
        <w:t>Kankaria</w:t>
      </w:r>
      <w:proofErr w:type="spellEnd"/>
      <w:r>
        <w:t xml:space="preserve"> Lake surrounding precincts.</w:t>
      </w:r>
    </w:p>
    <w:p w14:paraId="704D75F7" w14:textId="77777777" w:rsidR="009C283F" w:rsidRDefault="00000000">
      <w:pPr>
        <w:pStyle w:val="Heading1"/>
        <w:pBdr>
          <w:bottom w:val="single" w:sz="6" w:space="4" w:color="1F1F1F"/>
        </w:pBdr>
        <w:spacing w:before="380" w:after="200"/>
      </w:pPr>
      <w:r>
        <w:rPr>
          <w:b/>
          <w:bCs/>
          <w:color w:val="1A1A1A"/>
          <w:sz w:val="30"/>
          <w:szCs w:val="30"/>
        </w:rPr>
        <w:t>3. Spatial Data Architecture &amp; Preprocessing</w:t>
      </w:r>
    </w:p>
    <w:p w14:paraId="66B388E7" w14:textId="77777777" w:rsidR="009C283F" w:rsidRDefault="00000000">
      <w:pPr>
        <w:spacing w:after="160" w:line="276" w:lineRule="auto"/>
        <w:jc w:val="both"/>
      </w:pPr>
      <w:r>
        <w:t xml:space="preserve">All spatial layers were extracted via the OpenStreetMap API using the </w:t>
      </w:r>
      <w:proofErr w:type="spellStart"/>
      <w:r>
        <w:t>QuickOSM</w:t>
      </w:r>
      <w:proofErr w:type="spellEnd"/>
      <w:r>
        <w:t xml:space="preserve"> plugin in QGIS, bounded strictly to the active canvas extent of Central Ahmedabad to minimise computational overhead and storage footprint.</w:t>
      </w:r>
    </w:p>
    <w:p w14:paraId="1097EFA5" w14:textId="77777777" w:rsidR="009C283F" w:rsidRDefault="00000000">
      <w:pPr>
        <w:pStyle w:val="Heading2"/>
        <w:spacing w:before="280" w:after="140"/>
      </w:pPr>
      <w:proofErr w:type="gramStart"/>
      <w:r>
        <w:rPr>
          <w:b/>
          <w:bCs/>
          <w:color w:val="1A1A1A"/>
        </w:rPr>
        <w:t>3.1  Primary</w:t>
      </w:r>
      <w:proofErr w:type="gramEnd"/>
      <w:r>
        <w:rPr>
          <w:b/>
          <w:bCs/>
          <w:color w:val="1A1A1A"/>
        </w:rPr>
        <w:t xml:space="preserve"> Vector Datasets</w:t>
      </w:r>
    </w:p>
    <w:tbl>
      <w:tblPr>
        <w:tblW w:w="90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100"/>
        <w:gridCol w:w="2340"/>
      </w:tblGrid>
      <w:tr w:rsidR="009C283F" w14:paraId="0ED3FBC6" w14:textId="77777777">
        <w:tblPrEx>
          <w:tblCellMar>
            <w:top w:w="0" w:type="dxa"/>
            <w:bottom w:w="0" w:type="dxa"/>
          </w:tblCellMar>
        </w:tblPrEx>
        <w:trPr>
          <w:tblHeader/>
          <w:jc w:val="center"/>
        </w:trPr>
        <w:tc>
          <w:tcPr>
            <w:tcW w:w="2400" w:type="dxa"/>
            <w:tcBorders>
              <w:top w:val="single" w:sz="4" w:space="0" w:color="999999"/>
              <w:left w:val="single" w:sz="4" w:space="0" w:color="999999"/>
              <w:bottom w:val="single" w:sz="4" w:space="0" w:color="999999"/>
              <w:right w:val="single" w:sz="4" w:space="0" w:color="999999"/>
            </w:tcBorders>
            <w:shd w:val="clear" w:color="auto" w:fill="2C3E50"/>
            <w:tcMar>
              <w:top w:w="80" w:type="dxa"/>
              <w:left w:w="100" w:type="dxa"/>
              <w:bottom w:w="80" w:type="dxa"/>
              <w:right w:w="100" w:type="dxa"/>
            </w:tcMar>
            <w:vAlign w:val="center"/>
          </w:tcPr>
          <w:p w14:paraId="2FD14BBC" w14:textId="77777777" w:rsidR="009C283F" w:rsidRDefault="00000000">
            <w:pPr>
              <w:jc w:val="center"/>
            </w:pPr>
            <w:r>
              <w:rPr>
                <w:b/>
                <w:bCs/>
                <w:color w:val="FFFFFF"/>
                <w:sz w:val="20"/>
                <w:szCs w:val="20"/>
              </w:rPr>
              <w:t>Amenity / Network Category</w:t>
            </w:r>
          </w:p>
        </w:tc>
        <w:tc>
          <w:tcPr>
            <w:tcW w:w="2200" w:type="dxa"/>
            <w:tcBorders>
              <w:top w:val="single" w:sz="4" w:space="0" w:color="999999"/>
              <w:left w:val="single" w:sz="4" w:space="0" w:color="999999"/>
              <w:bottom w:val="single" w:sz="4" w:space="0" w:color="999999"/>
              <w:right w:val="single" w:sz="4" w:space="0" w:color="999999"/>
            </w:tcBorders>
            <w:shd w:val="clear" w:color="auto" w:fill="2C3E50"/>
            <w:tcMar>
              <w:top w:w="80" w:type="dxa"/>
              <w:left w:w="100" w:type="dxa"/>
              <w:bottom w:w="80" w:type="dxa"/>
              <w:right w:w="100" w:type="dxa"/>
            </w:tcMar>
            <w:vAlign w:val="center"/>
          </w:tcPr>
          <w:p w14:paraId="0B532705" w14:textId="77777777" w:rsidR="009C283F" w:rsidRDefault="00000000">
            <w:pPr>
              <w:jc w:val="center"/>
            </w:pPr>
            <w:r>
              <w:rPr>
                <w:b/>
                <w:bCs/>
                <w:color w:val="FFFFFF"/>
                <w:sz w:val="20"/>
                <w:szCs w:val="20"/>
              </w:rPr>
              <w:t>OSM Key / Value Filtering</w:t>
            </w:r>
          </w:p>
        </w:tc>
        <w:tc>
          <w:tcPr>
            <w:tcW w:w="2100" w:type="dxa"/>
            <w:tcBorders>
              <w:top w:val="single" w:sz="4" w:space="0" w:color="999999"/>
              <w:left w:val="single" w:sz="4" w:space="0" w:color="999999"/>
              <w:bottom w:val="single" w:sz="4" w:space="0" w:color="999999"/>
              <w:right w:val="single" w:sz="4" w:space="0" w:color="999999"/>
            </w:tcBorders>
            <w:shd w:val="clear" w:color="auto" w:fill="2C3E50"/>
            <w:tcMar>
              <w:top w:w="80" w:type="dxa"/>
              <w:left w:w="100" w:type="dxa"/>
              <w:bottom w:w="80" w:type="dxa"/>
              <w:right w:w="100" w:type="dxa"/>
            </w:tcMar>
            <w:vAlign w:val="center"/>
          </w:tcPr>
          <w:p w14:paraId="100C9561" w14:textId="77777777" w:rsidR="009C283F" w:rsidRDefault="00000000">
            <w:pPr>
              <w:jc w:val="center"/>
            </w:pPr>
            <w:r>
              <w:rPr>
                <w:b/>
                <w:bCs/>
                <w:color w:val="FFFFFF"/>
                <w:sz w:val="20"/>
                <w:szCs w:val="20"/>
              </w:rPr>
              <w:t>GIS Geometry Type</w:t>
            </w:r>
          </w:p>
        </w:tc>
        <w:tc>
          <w:tcPr>
            <w:tcW w:w="2340" w:type="dxa"/>
            <w:tcBorders>
              <w:top w:val="single" w:sz="4" w:space="0" w:color="999999"/>
              <w:left w:val="single" w:sz="4" w:space="0" w:color="999999"/>
              <w:bottom w:val="single" w:sz="4" w:space="0" w:color="999999"/>
              <w:right w:val="single" w:sz="4" w:space="0" w:color="999999"/>
            </w:tcBorders>
            <w:shd w:val="clear" w:color="auto" w:fill="2C3E50"/>
            <w:tcMar>
              <w:top w:w="80" w:type="dxa"/>
              <w:left w:w="100" w:type="dxa"/>
              <w:bottom w:w="80" w:type="dxa"/>
              <w:right w:w="100" w:type="dxa"/>
            </w:tcMar>
            <w:vAlign w:val="center"/>
          </w:tcPr>
          <w:p w14:paraId="4DCB644F" w14:textId="77777777" w:rsidR="009C283F" w:rsidRDefault="00000000">
            <w:pPr>
              <w:jc w:val="center"/>
            </w:pPr>
            <w:r>
              <w:rPr>
                <w:b/>
                <w:bCs/>
                <w:color w:val="FFFFFF"/>
                <w:sz w:val="20"/>
                <w:szCs w:val="20"/>
              </w:rPr>
              <w:t>Master Layer Name</w:t>
            </w:r>
          </w:p>
        </w:tc>
      </w:tr>
      <w:tr w:rsidR="009C283F" w14:paraId="5408ECDC" w14:textId="77777777">
        <w:tblPrEx>
          <w:tblCellMar>
            <w:top w:w="0" w:type="dxa"/>
            <w:bottom w:w="0" w:type="dxa"/>
          </w:tblCellMar>
        </w:tblPrEx>
        <w:trPr>
          <w:jc w:val="center"/>
        </w:trPr>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56EA2EF" w14:textId="77777777" w:rsidR="009C283F" w:rsidRDefault="00000000">
            <w:pPr>
              <w:spacing w:after="40"/>
            </w:pPr>
            <w:r>
              <w:rPr>
                <w:sz w:val="20"/>
                <w:szCs w:val="20"/>
              </w:rPr>
              <w:t>Pedestrian Road Network</w:t>
            </w:r>
          </w:p>
        </w:tc>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06D9A05" w14:textId="77777777" w:rsidR="009C283F" w:rsidRDefault="00000000">
            <w:pPr>
              <w:spacing w:after="40"/>
            </w:pPr>
            <w:r>
              <w:rPr>
                <w:sz w:val="20"/>
                <w:szCs w:val="20"/>
              </w:rPr>
              <w:t>highway=* (Primary, Secondary, Tertiary, Residential, Pedestrian, Unclassified)</w:t>
            </w:r>
          </w:p>
        </w:tc>
        <w:tc>
          <w:tcPr>
            <w:tcW w:w="21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7BA7A92" w14:textId="77777777" w:rsidR="009C283F" w:rsidRDefault="00000000">
            <w:pPr>
              <w:spacing w:after="40"/>
            </w:pPr>
            <w:r>
              <w:rPr>
                <w:sz w:val="20"/>
                <w:szCs w:val="20"/>
              </w:rPr>
              <w:t>Vector Line</w:t>
            </w:r>
          </w:p>
        </w:tc>
        <w:tc>
          <w:tcPr>
            <w:tcW w:w="234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7FD1B30" w14:textId="77777777" w:rsidR="009C283F" w:rsidRDefault="00000000">
            <w:pPr>
              <w:spacing w:after="40"/>
            </w:pPr>
            <w:r>
              <w:rPr>
                <w:sz w:val="20"/>
                <w:szCs w:val="20"/>
              </w:rPr>
              <w:t>Master Road Network</w:t>
            </w:r>
          </w:p>
        </w:tc>
      </w:tr>
      <w:tr w:rsidR="009C283F" w14:paraId="1E76474C" w14:textId="77777777">
        <w:tblPrEx>
          <w:tblCellMar>
            <w:top w:w="0" w:type="dxa"/>
            <w:bottom w:w="0" w:type="dxa"/>
          </w:tblCellMar>
        </w:tblPrEx>
        <w:trPr>
          <w:jc w:val="center"/>
        </w:trPr>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75738764" w14:textId="77777777" w:rsidR="009C283F" w:rsidRDefault="00000000">
            <w:pPr>
              <w:spacing w:after="40"/>
            </w:pPr>
            <w:r>
              <w:rPr>
                <w:sz w:val="20"/>
                <w:szCs w:val="20"/>
              </w:rPr>
              <w:t>Daily Essentials &amp; Retail</w:t>
            </w:r>
          </w:p>
        </w:tc>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6C1DEE81" w14:textId="77777777" w:rsidR="009C283F" w:rsidRDefault="00000000">
            <w:pPr>
              <w:spacing w:after="40"/>
            </w:pPr>
            <w:r>
              <w:rPr>
                <w:sz w:val="20"/>
                <w:szCs w:val="20"/>
              </w:rPr>
              <w:t>shop=*</w:t>
            </w:r>
          </w:p>
        </w:tc>
        <w:tc>
          <w:tcPr>
            <w:tcW w:w="21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5353A959" w14:textId="77777777" w:rsidR="009C283F" w:rsidRDefault="00000000">
            <w:pPr>
              <w:spacing w:after="40"/>
            </w:pPr>
            <w:r>
              <w:rPr>
                <w:sz w:val="20"/>
                <w:szCs w:val="20"/>
              </w:rPr>
              <w:t>Vector Point</w:t>
            </w:r>
          </w:p>
        </w:tc>
        <w:tc>
          <w:tcPr>
            <w:tcW w:w="234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4B94971E" w14:textId="77777777" w:rsidR="009C283F" w:rsidRDefault="00000000">
            <w:pPr>
              <w:spacing w:after="40"/>
            </w:pPr>
            <w:r>
              <w:rPr>
                <w:sz w:val="20"/>
                <w:szCs w:val="20"/>
              </w:rPr>
              <w:t>Shops</w:t>
            </w:r>
          </w:p>
        </w:tc>
      </w:tr>
      <w:tr w:rsidR="009C283F" w14:paraId="5680DD8F" w14:textId="77777777">
        <w:tblPrEx>
          <w:tblCellMar>
            <w:top w:w="0" w:type="dxa"/>
            <w:bottom w:w="0" w:type="dxa"/>
          </w:tblCellMar>
        </w:tblPrEx>
        <w:trPr>
          <w:jc w:val="center"/>
        </w:trPr>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A99E994" w14:textId="77777777" w:rsidR="009C283F" w:rsidRDefault="00000000">
            <w:pPr>
              <w:spacing w:after="40"/>
            </w:pPr>
            <w:r>
              <w:rPr>
                <w:sz w:val="20"/>
                <w:szCs w:val="20"/>
              </w:rPr>
              <w:t>Public Transit Nodes</w:t>
            </w:r>
          </w:p>
        </w:tc>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DA2AABB" w14:textId="77777777" w:rsidR="009C283F" w:rsidRDefault="00000000">
            <w:pPr>
              <w:spacing w:after="40"/>
            </w:pPr>
            <w:r>
              <w:rPr>
                <w:sz w:val="20"/>
                <w:szCs w:val="20"/>
              </w:rPr>
              <w:t>highway=</w:t>
            </w:r>
            <w:proofErr w:type="spellStart"/>
            <w:r>
              <w:rPr>
                <w:sz w:val="20"/>
                <w:szCs w:val="20"/>
              </w:rPr>
              <w:t>bus_stop</w:t>
            </w:r>
            <w:proofErr w:type="spellEnd"/>
            <w:r>
              <w:rPr>
                <w:sz w:val="20"/>
                <w:szCs w:val="20"/>
              </w:rPr>
              <w:t>, railway=station</w:t>
            </w:r>
          </w:p>
        </w:tc>
        <w:tc>
          <w:tcPr>
            <w:tcW w:w="21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47CAB37" w14:textId="77777777" w:rsidR="009C283F" w:rsidRDefault="00000000">
            <w:pPr>
              <w:spacing w:after="40"/>
            </w:pPr>
            <w:r>
              <w:rPr>
                <w:sz w:val="20"/>
                <w:szCs w:val="20"/>
              </w:rPr>
              <w:t>Vector Point</w:t>
            </w:r>
          </w:p>
        </w:tc>
        <w:tc>
          <w:tcPr>
            <w:tcW w:w="234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DC12A4E" w14:textId="77777777" w:rsidR="009C283F" w:rsidRDefault="00000000">
            <w:pPr>
              <w:spacing w:after="40"/>
            </w:pPr>
            <w:r>
              <w:rPr>
                <w:sz w:val="20"/>
                <w:szCs w:val="20"/>
              </w:rPr>
              <w:t>Transit</w:t>
            </w:r>
          </w:p>
        </w:tc>
      </w:tr>
      <w:tr w:rsidR="009C283F" w14:paraId="58CCA8F5" w14:textId="77777777">
        <w:tblPrEx>
          <w:tblCellMar>
            <w:top w:w="0" w:type="dxa"/>
            <w:bottom w:w="0" w:type="dxa"/>
          </w:tblCellMar>
        </w:tblPrEx>
        <w:trPr>
          <w:jc w:val="center"/>
        </w:trPr>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28C08E05" w14:textId="77777777" w:rsidR="009C283F" w:rsidRDefault="00000000">
            <w:pPr>
              <w:spacing w:after="40"/>
            </w:pPr>
            <w:r>
              <w:rPr>
                <w:sz w:val="20"/>
                <w:szCs w:val="20"/>
              </w:rPr>
              <w:t>Healthcare Facilities</w:t>
            </w:r>
          </w:p>
        </w:tc>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7E150BD6" w14:textId="77777777" w:rsidR="009C283F" w:rsidRDefault="00000000">
            <w:pPr>
              <w:spacing w:after="40"/>
            </w:pPr>
            <w:r>
              <w:rPr>
                <w:sz w:val="20"/>
                <w:szCs w:val="20"/>
              </w:rPr>
              <w:t>amenity=hospital, amenity=clinic</w:t>
            </w:r>
          </w:p>
        </w:tc>
        <w:tc>
          <w:tcPr>
            <w:tcW w:w="21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08740F86" w14:textId="77777777" w:rsidR="009C283F" w:rsidRDefault="00000000">
            <w:pPr>
              <w:spacing w:after="40"/>
            </w:pPr>
            <w:r>
              <w:rPr>
                <w:sz w:val="20"/>
                <w:szCs w:val="20"/>
              </w:rPr>
              <w:t>Vector Point / Centroids</w:t>
            </w:r>
          </w:p>
        </w:tc>
        <w:tc>
          <w:tcPr>
            <w:tcW w:w="234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6784480A" w14:textId="77777777" w:rsidR="009C283F" w:rsidRDefault="00000000">
            <w:pPr>
              <w:spacing w:after="40"/>
            </w:pPr>
            <w:r>
              <w:rPr>
                <w:sz w:val="20"/>
                <w:szCs w:val="20"/>
              </w:rPr>
              <w:t>Healthcare</w:t>
            </w:r>
          </w:p>
        </w:tc>
      </w:tr>
      <w:tr w:rsidR="009C283F" w14:paraId="058680B7" w14:textId="77777777">
        <w:tblPrEx>
          <w:tblCellMar>
            <w:top w:w="0" w:type="dxa"/>
            <w:bottom w:w="0" w:type="dxa"/>
          </w:tblCellMar>
        </w:tblPrEx>
        <w:trPr>
          <w:jc w:val="center"/>
        </w:trPr>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E7AAC79" w14:textId="77777777" w:rsidR="009C283F" w:rsidRDefault="00000000">
            <w:pPr>
              <w:spacing w:after="40"/>
            </w:pPr>
            <w:r>
              <w:rPr>
                <w:sz w:val="20"/>
                <w:szCs w:val="20"/>
              </w:rPr>
              <w:t>Educational Institutions</w:t>
            </w:r>
          </w:p>
        </w:tc>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3378643" w14:textId="77777777" w:rsidR="009C283F" w:rsidRDefault="00000000">
            <w:pPr>
              <w:spacing w:after="40"/>
            </w:pPr>
            <w:r>
              <w:rPr>
                <w:sz w:val="20"/>
                <w:szCs w:val="20"/>
              </w:rPr>
              <w:t>amenity=school</w:t>
            </w:r>
          </w:p>
        </w:tc>
        <w:tc>
          <w:tcPr>
            <w:tcW w:w="21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42665D3" w14:textId="77777777" w:rsidR="009C283F" w:rsidRDefault="00000000">
            <w:pPr>
              <w:spacing w:after="40"/>
            </w:pPr>
            <w:r>
              <w:rPr>
                <w:sz w:val="20"/>
                <w:szCs w:val="20"/>
              </w:rPr>
              <w:t>Vector Point / Centroids</w:t>
            </w:r>
          </w:p>
        </w:tc>
        <w:tc>
          <w:tcPr>
            <w:tcW w:w="234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01D0CF2" w14:textId="77777777" w:rsidR="009C283F" w:rsidRDefault="00000000">
            <w:pPr>
              <w:spacing w:after="40"/>
            </w:pPr>
            <w:r>
              <w:rPr>
                <w:sz w:val="20"/>
                <w:szCs w:val="20"/>
              </w:rPr>
              <w:t>Education</w:t>
            </w:r>
          </w:p>
        </w:tc>
      </w:tr>
      <w:tr w:rsidR="009C283F" w14:paraId="000F9DDB" w14:textId="77777777">
        <w:tblPrEx>
          <w:tblCellMar>
            <w:top w:w="0" w:type="dxa"/>
            <w:bottom w:w="0" w:type="dxa"/>
          </w:tblCellMar>
        </w:tblPrEx>
        <w:trPr>
          <w:jc w:val="center"/>
        </w:trPr>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1404AAC0" w14:textId="77777777" w:rsidR="009C283F" w:rsidRDefault="00000000">
            <w:pPr>
              <w:spacing w:after="40"/>
            </w:pPr>
            <w:r>
              <w:rPr>
                <w:sz w:val="20"/>
                <w:szCs w:val="20"/>
              </w:rPr>
              <w:t>Parks &amp; Green Recreation</w:t>
            </w:r>
          </w:p>
        </w:tc>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1217390E" w14:textId="77777777" w:rsidR="009C283F" w:rsidRDefault="00000000">
            <w:pPr>
              <w:spacing w:after="40"/>
            </w:pPr>
            <w:r>
              <w:rPr>
                <w:sz w:val="20"/>
                <w:szCs w:val="20"/>
              </w:rPr>
              <w:t>leisure=park</w:t>
            </w:r>
          </w:p>
        </w:tc>
        <w:tc>
          <w:tcPr>
            <w:tcW w:w="21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1FF4957F" w14:textId="77777777" w:rsidR="009C283F" w:rsidRDefault="00000000">
            <w:pPr>
              <w:spacing w:after="40"/>
            </w:pPr>
            <w:r>
              <w:rPr>
                <w:sz w:val="20"/>
                <w:szCs w:val="20"/>
              </w:rPr>
              <w:t>Polygon Centroids</w:t>
            </w:r>
          </w:p>
        </w:tc>
        <w:tc>
          <w:tcPr>
            <w:tcW w:w="234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0517E096" w14:textId="77777777" w:rsidR="009C283F" w:rsidRDefault="00000000">
            <w:pPr>
              <w:spacing w:after="40"/>
            </w:pPr>
            <w:r>
              <w:rPr>
                <w:sz w:val="20"/>
                <w:szCs w:val="20"/>
              </w:rPr>
              <w:t>Parks</w:t>
            </w:r>
          </w:p>
        </w:tc>
      </w:tr>
    </w:tbl>
    <w:p w14:paraId="72279959" w14:textId="77777777" w:rsidR="009C283F" w:rsidRDefault="00000000">
      <w:pPr>
        <w:spacing w:before="100" w:after="300"/>
        <w:jc w:val="center"/>
      </w:pPr>
      <w:r>
        <w:rPr>
          <w:i/>
          <w:iCs/>
          <w:color w:val="444444"/>
          <w:sz w:val="20"/>
          <w:szCs w:val="20"/>
        </w:rPr>
        <w:t>Table 1. Amenity and network layers extracted from OpenStreetMap.</w:t>
      </w:r>
    </w:p>
    <w:p w14:paraId="258E37E4" w14:textId="77777777" w:rsidR="007B5A6A" w:rsidRDefault="007B5A6A">
      <w:pPr>
        <w:pStyle w:val="Heading2"/>
        <w:spacing w:before="280" w:after="140"/>
        <w:rPr>
          <w:b/>
          <w:bCs/>
          <w:color w:val="1A1A1A"/>
        </w:rPr>
      </w:pPr>
    </w:p>
    <w:p w14:paraId="7432CD69" w14:textId="27B9FF91" w:rsidR="009C283F" w:rsidRDefault="00000000">
      <w:pPr>
        <w:pStyle w:val="Heading2"/>
        <w:spacing w:before="280" w:after="140"/>
      </w:pPr>
      <w:proofErr w:type="gramStart"/>
      <w:r>
        <w:rPr>
          <w:b/>
          <w:bCs/>
          <w:color w:val="1A1A1A"/>
        </w:rPr>
        <w:lastRenderedPageBreak/>
        <w:t>3.2  Data</w:t>
      </w:r>
      <w:proofErr w:type="gramEnd"/>
      <w:r>
        <w:rPr>
          <w:b/>
          <w:bCs/>
          <w:color w:val="1A1A1A"/>
        </w:rPr>
        <w:t xml:space="preserve"> Preprocessing Steps</w:t>
      </w:r>
    </w:p>
    <w:p w14:paraId="5BFF3A24" w14:textId="77777777" w:rsidR="009C283F" w:rsidRDefault="00000000">
      <w:pPr>
        <w:pStyle w:val="ListParagraph"/>
        <w:numPr>
          <w:ilvl w:val="0"/>
          <w:numId w:val="4"/>
        </w:numPr>
        <w:spacing w:after="140" w:line="276" w:lineRule="auto"/>
        <w:jc w:val="both"/>
      </w:pPr>
      <w:r>
        <w:rPr>
          <w:b/>
          <w:bCs/>
        </w:rPr>
        <w:t xml:space="preserve">Geometry Standardization: </w:t>
      </w:r>
      <w:r>
        <w:t>Polygon amenities (such as large hospital campuses or public parks) were converted to single geometric points using the Vector → Geometry Tools → Centroids algorithm.</w:t>
      </w:r>
    </w:p>
    <w:p w14:paraId="696660CD" w14:textId="77777777" w:rsidR="009C283F" w:rsidRDefault="00000000">
      <w:pPr>
        <w:pStyle w:val="ListParagraph"/>
        <w:numPr>
          <w:ilvl w:val="0"/>
          <w:numId w:val="4"/>
        </w:numPr>
        <w:spacing w:after="140" w:line="276" w:lineRule="auto"/>
        <w:jc w:val="both"/>
      </w:pPr>
      <w:r>
        <w:rPr>
          <w:b/>
          <w:bCs/>
        </w:rPr>
        <w:t xml:space="preserve">Layer Consolidation: </w:t>
      </w:r>
      <w:r>
        <w:t xml:space="preserve">Duplicate POI outputs (e.g., individual shop layers and </w:t>
      </w:r>
      <w:proofErr w:type="spellStart"/>
      <w:r>
        <w:t>amenity_shop</w:t>
      </w:r>
      <w:proofErr w:type="spellEnd"/>
      <w:r>
        <w:t xml:space="preserve"> layers) were combined into master point layers using Vector → Data Management Tools → Merge Vector Layers.</w:t>
      </w:r>
    </w:p>
    <w:p w14:paraId="179C7DA1" w14:textId="77777777" w:rsidR="009C283F" w:rsidRDefault="00000000">
      <w:pPr>
        <w:pStyle w:val="ListParagraph"/>
        <w:numPr>
          <w:ilvl w:val="0"/>
          <w:numId w:val="4"/>
        </w:numPr>
        <w:spacing w:after="140" w:line="276" w:lineRule="auto"/>
        <w:jc w:val="both"/>
      </w:pPr>
      <w:r>
        <w:rPr>
          <w:b/>
          <w:bCs/>
        </w:rPr>
        <w:t xml:space="preserve">Network Cleanup: </w:t>
      </w:r>
      <w:r>
        <w:t>Minor road segments and unclassified shortcut pathways were merged with primary road vectors to ensure continuous topological connectivity across neighbourhood blocks.</w:t>
      </w:r>
    </w:p>
    <w:p w14:paraId="698C4534" w14:textId="77777777" w:rsidR="009C283F" w:rsidRDefault="00000000">
      <w:pPr>
        <w:pStyle w:val="Heading1"/>
        <w:pBdr>
          <w:bottom w:val="single" w:sz="6" w:space="4" w:color="1F1F1F"/>
        </w:pBdr>
        <w:spacing w:before="380" w:after="200"/>
      </w:pPr>
      <w:r>
        <w:rPr>
          <w:b/>
          <w:bCs/>
          <w:color w:val="1A1A1A"/>
          <w:sz w:val="30"/>
          <w:szCs w:val="30"/>
        </w:rPr>
        <w:t>4. Methodology &amp; Analytical Workflow</w:t>
      </w: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0"/>
      </w:tblGrid>
      <w:tr w:rsidR="009C283F" w14:paraId="6F7D45C7" w14:textId="77777777">
        <w:tblPrEx>
          <w:tblCellMar>
            <w:top w:w="0" w:type="dxa"/>
            <w:bottom w:w="0" w:type="dxa"/>
          </w:tblCellMar>
        </w:tblPrEx>
        <w:trPr>
          <w:jc w:val="center"/>
        </w:trPr>
        <w:tc>
          <w:tcPr>
            <w:tcW w:w="7200" w:type="dxa"/>
            <w:tcBorders>
              <w:top w:val="single" w:sz="8" w:space="0" w:color="2C3E50"/>
              <w:left w:val="single" w:sz="8" w:space="0" w:color="2C3E50"/>
              <w:bottom w:val="single" w:sz="8" w:space="0" w:color="2C3E50"/>
              <w:right w:val="single" w:sz="8" w:space="0" w:color="2C3E50"/>
            </w:tcBorders>
            <w:shd w:val="clear" w:color="auto" w:fill="EAF0F6"/>
            <w:tcMar>
              <w:top w:w="120" w:type="dxa"/>
              <w:left w:w="150" w:type="dxa"/>
              <w:bottom w:w="120" w:type="dxa"/>
              <w:right w:w="150" w:type="dxa"/>
            </w:tcMar>
          </w:tcPr>
          <w:p w14:paraId="4547D32D" w14:textId="77777777" w:rsidR="009C283F" w:rsidRDefault="00000000">
            <w:pPr>
              <w:jc w:val="center"/>
            </w:pPr>
            <w:r>
              <w:rPr>
                <w:b/>
                <w:bCs/>
                <w:color w:val="1A1A1A"/>
                <w:sz w:val="21"/>
                <w:szCs w:val="21"/>
              </w:rPr>
              <w:t>1.  Data Extraction &amp; Extent Bounding (</w:t>
            </w:r>
            <w:proofErr w:type="spellStart"/>
            <w:r>
              <w:rPr>
                <w:b/>
                <w:bCs/>
                <w:color w:val="1A1A1A"/>
                <w:sz w:val="21"/>
                <w:szCs w:val="21"/>
              </w:rPr>
              <w:t>QuickOSM</w:t>
            </w:r>
            <w:proofErr w:type="spellEnd"/>
            <w:r>
              <w:rPr>
                <w:b/>
                <w:bCs/>
                <w:color w:val="1A1A1A"/>
                <w:sz w:val="21"/>
                <w:szCs w:val="21"/>
              </w:rPr>
              <w:t>)</w:t>
            </w:r>
          </w:p>
        </w:tc>
      </w:tr>
    </w:tbl>
    <w:p w14:paraId="33EADABB" w14:textId="77777777" w:rsidR="009C283F" w:rsidRDefault="00000000">
      <w:pPr>
        <w:spacing w:before="20" w:after="20"/>
        <w:jc w:val="center"/>
      </w:pPr>
      <w:r>
        <w:rPr>
          <w:b/>
          <w:bCs/>
          <w:color w:val="2C3E50"/>
          <w:sz w:val="28"/>
          <w:szCs w:val="28"/>
        </w:rPr>
        <w:t>↓</w:t>
      </w: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0"/>
      </w:tblGrid>
      <w:tr w:rsidR="009C283F" w14:paraId="53CE491F" w14:textId="77777777">
        <w:tblPrEx>
          <w:tblCellMar>
            <w:top w:w="0" w:type="dxa"/>
            <w:bottom w:w="0" w:type="dxa"/>
          </w:tblCellMar>
        </w:tblPrEx>
        <w:trPr>
          <w:jc w:val="center"/>
        </w:trPr>
        <w:tc>
          <w:tcPr>
            <w:tcW w:w="7200" w:type="dxa"/>
            <w:tcBorders>
              <w:top w:val="single" w:sz="8" w:space="0" w:color="2C3E50"/>
              <w:left w:val="single" w:sz="8" w:space="0" w:color="2C3E50"/>
              <w:bottom w:val="single" w:sz="8" w:space="0" w:color="2C3E50"/>
              <w:right w:val="single" w:sz="8" w:space="0" w:color="2C3E50"/>
            </w:tcBorders>
            <w:shd w:val="clear" w:color="auto" w:fill="EAF0F6"/>
            <w:tcMar>
              <w:top w:w="120" w:type="dxa"/>
              <w:left w:w="150" w:type="dxa"/>
              <w:bottom w:w="120" w:type="dxa"/>
              <w:right w:w="150" w:type="dxa"/>
            </w:tcMar>
          </w:tcPr>
          <w:p w14:paraId="53D60017" w14:textId="77777777" w:rsidR="009C283F" w:rsidRDefault="00000000">
            <w:pPr>
              <w:jc w:val="center"/>
            </w:pPr>
            <w:r>
              <w:rPr>
                <w:b/>
                <w:bCs/>
                <w:color w:val="1A1A1A"/>
                <w:sz w:val="21"/>
                <w:szCs w:val="21"/>
              </w:rPr>
              <w:t>2.  Layer Merging &amp; Polygon Centroid Conversion</w:t>
            </w:r>
          </w:p>
        </w:tc>
      </w:tr>
    </w:tbl>
    <w:p w14:paraId="2BD81124" w14:textId="77777777" w:rsidR="009C283F" w:rsidRDefault="00000000">
      <w:pPr>
        <w:spacing w:before="20" w:after="20"/>
        <w:jc w:val="center"/>
      </w:pPr>
      <w:r>
        <w:rPr>
          <w:b/>
          <w:bCs/>
          <w:color w:val="2C3E50"/>
          <w:sz w:val="28"/>
          <w:szCs w:val="28"/>
        </w:rPr>
        <w:t>↓</w:t>
      </w: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0"/>
      </w:tblGrid>
      <w:tr w:rsidR="009C283F" w14:paraId="42B8F043" w14:textId="77777777">
        <w:tblPrEx>
          <w:tblCellMar>
            <w:top w:w="0" w:type="dxa"/>
            <w:bottom w:w="0" w:type="dxa"/>
          </w:tblCellMar>
        </w:tblPrEx>
        <w:trPr>
          <w:jc w:val="center"/>
        </w:trPr>
        <w:tc>
          <w:tcPr>
            <w:tcW w:w="7200" w:type="dxa"/>
            <w:tcBorders>
              <w:top w:val="single" w:sz="8" w:space="0" w:color="2C3E50"/>
              <w:left w:val="single" w:sz="8" w:space="0" w:color="2C3E50"/>
              <w:bottom w:val="single" w:sz="8" w:space="0" w:color="2C3E50"/>
              <w:right w:val="single" w:sz="8" w:space="0" w:color="2C3E50"/>
            </w:tcBorders>
            <w:shd w:val="clear" w:color="auto" w:fill="EAF0F6"/>
            <w:tcMar>
              <w:top w:w="120" w:type="dxa"/>
              <w:left w:w="150" w:type="dxa"/>
              <w:bottom w:w="120" w:type="dxa"/>
              <w:right w:w="150" w:type="dxa"/>
            </w:tcMar>
          </w:tcPr>
          <w:p w14:paraId="1B16549E" w14:textId="77777777" w:rsidR="009C283F" w:rsidRDefault="00000000">
            <w:pPr>
              <w:jc w:val="center"/>
            </w:pPr>
            <w:r>
              <w:rPr>
                <w:b/>
                <w:bCs/>
                <w:color w:val="1A1A1A"/>
                <w:sz w:val="21"/>
                <w:szCs w:val="21"/>
              </w:rPr>
              <w:t>3.  Network Service Area Calculation (1,200 m / 15 min)</w:t>
            </w:r>
          </w:p>
        </w:tc>
      </w:tr>
    </w:tbl>
    <w:p w14:paraId="4BE62364" w14:textId="77777777" w:rsidR="009C283F" w:rsidRDefault="00000000">
      <w:pPr>
        <w:spacing w:before="20" w:after="20"/>
        <w:jc w:val="center"/>
      </w:pPr>
      <w:r>
        <w:rPr>
          <w:b/>
          <w:bCs/>
          <w:color w:val="2C3E50"/>
          <w:sz w:val="28"/>
          <w:szCs w:val="28"/>
        </w:rPr>
        <w:t>↓</w:t>
      </w: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0"/>
      </w:tblGrid>
      <w:tr w:rsidR="009C283F" w14:paraId="308852CC" w14:textId="77777777">
        <w:tblPrEx>
          <w:tblCellMar>
            <w:top w:w="0" w:type="dxa"/>
            <w:bottom w:w="0" w:type="dxa"/>
          </w:tblCellMar>
        </w:tblPrEx>
        <w:trPr>
          <w:jc w:val="center"/>
        </w:trPr>
        <w:tc>
          <w:tcPr>
            <w:tcW w:w="7200" w:type="dxa"/>
            <w:tcBorders>
              <w:top w:val="single" w:sz="8" w:space="0" w:color="2C3E50"/>
              <w:left w:val="single" w:sz="8" w:space="0" w:color="2C3E50"/>
              <w:bottom w:val="single" w:sz="8" w:space="0" w:color="2C3E50"/>
              <w:right w:val="single" w:sz="8" w:space="0" w:color="2C3E50"/>
            </w:tcBorders>
            <w:shd w:val="clear" w:color="auto" w:fill="EAF0F6"/>
            <w:tcMar>
              <w:top w:w="120" w:type="dxa"/>
              <w:left w:w="150" w:type="dxa"/>
              <w:bottom w:w="120" w:type="dxa"/>
              <w:right w:w="150" w:type="dxa"/>
            </w:tcMar>
          </w:tcPr>
          <w:p w14:paraId="56E88021" w14:textId="77777777" w:rsidR="009C283F" w:rsidRDefault="00000000">
            <w:pPr>
              <w:jc w:val="center"/>
            </w:pPr>
            <w:r>
              <w:rPr>
                <w:b/>
                <w:bCs/>
                <w:color w:val="1A1A1A"/>
                <w:sz w:val="21"/>
                <w:szCs w:val="21"/>
              </w:rPr>
              <w:t>4.  Hexagonal Mesh Generation (150 m Cell Size)</w:t>
            </w:r>
          </w:p>
        </w:tc>
      </w:tr>
    </w:tbl>
    <w:p w14:paraId="78DD29A8" w14:textId="77777777" w:rsidR="009C283F" w:rsidRDefault="00000000">
      <w:pPr>
        <w:spacing w:before="20" w:after="20"/>
        <w:jc w:val="center"/>
      </w:pPr>
      <w:r>
        <w:rPr>
          <w:b/>
          <w:bCs/>
          <w:color w:val="2C3E50"/>
          <w:sz w:val="28"/>
          <w:szCs w:val="28"/>
        </w:rPr>
        <w:t>↓</w:t>
      </w: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0"/>
      </w:tblGrid>
      <w:tr w:rsidR="009C283F" w14:paraId="668979BF" w14:textId="77777777">
        <w:tblPrEx>
          <w:tblCellMar>
            <w:top w:w="0" w:type="dxa"/>
            <w:bottom w:w="0" w:type="dxa"/>
          </w:tblCellMar>
        </w:tblPrEx>
        <w:trPr>
          <w:jc w:val="center"/>
        </w:trPr>
        <w:tc>
          <w:tcPr>
            <w:tcW w:w="7200" w:type="dxa"/>
            <w:tcBorders>
              <w:top w:val="single" w:sz="8" w:space="0" w:color="2C3E50"/>
              <w:left w:val="single" w:sz="8" w:space="0" w:color="2C3E50"/>
              <w:bottom w:val="single" w:sz="8" w:space="0" w:color="2C3E50"/>
              <w:right w:val="single" w:sz="8" w:space="0" w:color="2C3E50"/>
            </w:tcBorders>
            <w:shd w:val="clear" w:color="auto" w:fill="EAF0F6"/>
            <w:tcMar>
              <w:top w:w="120" w:type="dxa"/>
              <w:left w:w="150" w:type="dxa"/>
              <w:bottom w:w="120" w:type="dxa"/>
              <w:right w:w="150" w:type="dxa"/>
            </w:tcMar>
          </w:tcPr>
          <w:p w14:paraId="57941228" w14:textId="77777777" w:rsidR="009C283F" w:rsidRDefault="00000000">
            <w:pPr>
              <w:jc w:val="center"/>
            </w:pPr>
            <w:r>
              <w:rPr>
                <w:b/>
                <w:bCs/>
                <w:color w:val="1A1A1A"/>
                <w:sz w:val="21"/>
                <w:szCs w:val="21"/>
              </w:rPr>
              <w:t>5.  Spatial Overlay &amp; Field Calculator Scoring</w:t>
            </w:r>
          </w:p>
        </w:tc>
      </w:tr>
    </w:tbl>
    <w:p w14:paraId="43107FD6" w14:textId="77777777" w:rsidR="009C283F" w:rsidRDefault="00000000">
      <w:pPr>
        <w:spacing w:before="20" w:after="20"/>
        <w:jc w:val="center"/>
      </w:pPr>
      <w:r>
        <w:rPr>
          <w:b/>
          <w:bCs/>
          <w:color w:val="2C3E50"/>
          <w:sz w:val="28"/>
          <w:szCs w:val="28"/>
        </w:rPr>
        <w:t>↓</w:t>
      </w: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0"/>
      </w:tblGrid>
      <w:tr w:rsidR="009C283F" w14:paraId="39051EB8" w14:textId="77777777">
        <w:tblPrEx>
          <w:tblCellMar>
            <w:top w:w="0" w:type="dxa"/>
            <w:bottom w:w="0" w:type="dxa"/>
          </w:tblCellMar>
        </w:tblPrEx>
        <w:trPr>
          <w:jc w:val="center"/>
        </w:trPr>
        <w:tc>
          <w:tcPr>
            <w:tcW w:w="7200" w:type="dxa"/>
            <w:tcBorders>
              <w:top w:val="single" w:sz="8" w:space="0" w:color="2C3E50"/>
              <w:left w:val="single" w:sz="8" w:space="0" w:color="2C3E50"/>
              <w:bottom w:val="single" w:sz="8" w:space="0" w:color="2C3E50"/>
              <w:right w:val="single" w:sz="8" w:space="0" w:color="2C3E50"/>
            </w:tcBorders>
            <w:shd w:val="clear" w:color="auto" w:fill="EAF0F6"/>
            <w:tcMar>
              <w:top w:w="120" w:type="dxa"/>
              <w:left w:w="150" w:type="dxa"/>
              <w:bottom w:w="120" w:type="dxa"/>
              <w:right w:w="150" w:type="dxa"/>
            </w:tcMar>
          </w:tcPr>
          <w:p w14:paraId="6B04FA59" w14:textId="77777777" w:rsidR="009C283F" w:rsidRDefault="00000000">
            <w:pPr>
              <w:jc w:val="center"/>
            </w:pPr>
            <w:r>
              <w:rPr>
                <w:b/>
                <w:bCs/>
                <w:color w:val="1A1A1A"/>
                <w:sz w:val="21"/>
                <w:szCs w:val="21"/>
              </w:rPr>
              <w:t>6.  Graduated Cartographic Heatmap Rendering</w:t>
            </w:r>
          </w:p>
        </w:tc>
      </w:tr>
    </w:tbl>
    <w:p w14:paraId="7856A8F7" w14:textId="77777777" w:rsidR="007B5A6A" w:rsidRDefault="007B5A6A">
      <w:pPr>
        <w:pStyle w:val="Heading2"/>
        <w:spacing w:before="280" w:after="140"/>
        <w:rPr>
          <w:b/>
          <w:bCs/>
          <w:color w:val="1A1A1A"/>
        </w:rPr>
      </w:pPr>
    </w:p>
    <w:p w14:paraId="3569F262" w14:textId="77777777" w:rsidR="007B5A6A" w:rsidRDefault="007B5A6A">
      <w:pPr>
        <w:pStyle w:val="Heading2"/>
        <w:spacing w:before="280" w:after="140"/>
        <w:rPr>
          <w:b/>
          <w:bCs/>
          <w:color w:val="1A1A1A"/>
        </w:rPr>
      </w:pPr>
    </w:p>
    <w:p w14:paraId="4113DECD" w14:textId="77777777" w:rsidR="007B5A6A" w:rsidRDefault="007B5A6A">
      <w:pPr>
        <w:pStyle w:val="Heading2"/>
        <w:spacing w:before="280" w:after="140"/>
        <w:rPr>
          <w:b/>
          <w:bCs/>
          <w:color w:val="1A1A1A"/>
        </w:rPr>
      </w:pPr>
    </w:p>
    <w:p w14:paraId="54A862CC" w14:textId="77777777" w:rsidR="007B5A6A" w:rsidRDefault="007B5A6A">
      <w:pPr>
        <w:pStyle w:val="Heading2"/>
        <w:spacing w:before="280" w:after="140"/>
        <w:rPr>
          <w:b/>
          <w:bCs/>
          <w:color w:val="1A1A1A"/>
        </w:rPr>
      </w:pPr>
    </w:p>
    <w:p w14:paraId="541FD929" w14:textId="77777777" w:rsidR="007B5A6A" w:rsidRDefault="007B5A6A">
      <w:pPr>
        <w:pStyle w:val="Heading2"/>
        <w:spacing w:before="280" w:after="140"/>
        <w:rPr>
          <w:b/>
          <w:bCs/>
          <w:color w:val="1A1A1A"/>
        </w:rPr>
      </w:pPr>
    </w:p>
    <w:p w14:paraId="14785263" w14:textId="5AE31169" w:rsidR="009C283F" w:rsidRDefault="00000000">
      <w:pPr>
        <w:pStyle w:val="Heading2"/>
        <w:spacing w:before="280" w:after="140"/>
      </w:pPr>
      <w:proofErr w:type="gramStart"/>
      <w:r>
        <w:rPr>
          <w:b/>
          <w:bCs/>
          <w:color w:val="1A1A1A"/>
        </w:rPr>
        <w:lastRenderedPageBreak/>
        <w:t>4.1  Network</w:t>
      </w:r>
      <w:proofErr w:type="gramEnd"/>
      <w:r>
        <w:rPr>
          <w:b/>
          <w:bCs/>
          <w:color w:val="1A1A1A"/>
        </w:rPr>
        <w:t xml:space="preserve"> Isochrone Modelling</w:t>
      </w:r>
    </w:p>
    <w:p w14:paraId="66FD55C3" w14:textId="77777777" w:rsidR="009C283F" w:rsidRDefault="00000000">
      <w:pPr>
        <w:spacing w:after="160" w:line="276" w:lineRule="auto"/>
        <w:jc w:val="both"/>
      </w:pPr>
      <w:r>
        <w:t>Walking travel cost was set to a maximum threshold of 1,200 metres, corresponding to a 15-minute walk assuming an average urban walking velocity of 4.8 km/h (≈ 80 metres per minute).</w:t>
      </w:r>
    </w:p>
    <w:tbl>
      <w:tblPr>
        <w:tblW w:w="6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50"/>
        <w:gridCol w:w="3150"/>
      </w:tblGrid>
      <w:tr w:rsidR="009C283F" w14:paraId="3AB0DB18" w14:textId="77777777">
        <w:tblPrEx>
          <w:tblCellMar>
            <w:top w:w="0" w:type="dxa"/>
            <w:bottom w:w="0" w:type="dxa"/>
          </w:tblCellMar>
        </w:tblPrEx>
        <w:trPr>
          <w:jc w:val="center"/>
        </w:trPr>
        <w:tc>
          <w:tcPr>
            <w:tcW w:w="31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FD003B7" w14:textId="77777777" w:rsidR="009C283F" w:rsidRDefault="00000000">
            <w:pPr>
              <w:spacing w:after="40"/>
            </w:pPr>
            <w:r>
              <w:rPr>
                <w:b/>
                <w:bCs/>
                <w:sz w:val="20"/>
                <w:szCs w:val="20"/>
              </w:rPr>
              <w:t>Maximum walking-cost threshold</w:t>
            </w:r>
          </w:p>
        </w:tc>
        <w:tc>
          <w:tcPr>
            <w:tcW w:w="31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A2B5036" w14:textId="77777777" w:rsidR="009C283F" w:rsidRDefault="00000000">
            <w:pPr>
              <w:spacing w:after="40"/>
            </w:pPr>
            <w:r>
              <w:rPr>
                <w:sz w:val="20"/>
                <w:szCs w:val="20"/>
              </w:rPr>
              <w:t>1,200 metres (15-minute walk)</w:t>
            </w:r>
          </w:p>
        </w:tc>
      </w:tr>
      <w:tr w:rsidR="009C283F" w14:paraId="5B944311" w14:textId="77777777">
        <w:tblPrEx>
          <w:tblCellMar>
            <w:top w:w="0" w:type="dxa"/>
            <w:bottom w:w="0" w:type="dxa"/>
          </w:tblCellMar>
        </w:tblPrEx>
        <w:trPr>
          <w:jc w:val="center"/>
        </w:trPr>
        <w:tc>
          <w:tcPr>
            <w:tcW w:w="315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2DD1F964" w14:textId="77777777" w:rsidR="009C283F" w:rsidRDefault="00000000">
            <w:pPr>
              <w:spacing w:after="40"/>
            </w:pPr>
            <w:r>
              <w:rPr>
                <w:b/>
                <w:bCs/>
                <w:sz w:val="20"/>
                <w:szCs w:val="20"/>
              </w:rPr>
              <w:t>Assumed walking speed</w:t>
            </w:r>
          </w:p>
        </w:tc>
        <w:tc>
          <w:tcPr>
            <w:tcW w:w="315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6B594AB7" w14:textId="77777777" w:rsidR="009C283F" w:rsidRDefault="00000000">
            <w:pPr>
              <w:spacing w:after="40"/>
            </w:pPr>
            <w:r>
              <w:rPr>
                <w:sz w:val="20"/>
                <w:szCs w:val="20"/>
              </w:rPr>
              <w:t>4.8 km/</w:t>
            </w:r>
            <w:proofErr w:type="gramStart"/>
            <w:r>
              <w:rPr>
                <w:sz w:val="20"/>
                <w:szCs w:val="20"/>
              </w:rPr>
              <w:t>h  (</w:t>
            </w:r>
            <w:proofErr w:type="gramEnd"/>
            <w:r>
              <w:rPr>
                <w:sz w:val="20"/>
                <w:szCs w:val="20"/>
              </w:rPr>
              <w:t>≈ 80 m/min)</w:t>
            </w:r>
          </w:p>
        </w:tc>
      </w:tr>
    </w:tbl>
    <w:p w14:paraId="61DDD54A" w14:textId="77777777" w:rsidR="009C283F" w:rsidRDefault="009C283F">
      <w:pPr>
        <w:spacing w:after="200"/>
      </w:pPr>
    </w:p>
    <w:p w14:paraId="164C6A3A" w14:textId="77777777" w:rsidR="009C283F" w:rsidRDefault="00000000">
      <w:pPr>
        <w:spacing w:after="160" w:line="276" w:lineRule="auto"/>
        <w:jc w:val="both"/>
      </w:pPr>
      <w:r>
        <w:t>Using the QGIS processing algorithm Service Area (from Layer), shortest-path network routes were calculated along the Master Road Network outwards from every POI in each master amenity layer, producing five 15-minute network catchments:</w:t>
      </w:r>
    </w:p>
    <w:p w14:paraId="0C93ED98" w14:textId="77777777" w:rsidR="009C283F" w:rsidRDefault="00000000">
      <w:pPr>
        <w:pStyle w:val="ListParagraph"/>
        <w:numPr>
          <w:ilvl w:val="0"/>
          <w:numId w:val="3"/>
        </w:numPr>
        <w:spacing w:after="100" w:line="276" w:lineRule="auto"/>
        <w:jc w:val="both"/>
      </w:pPr>
      <w:r>
        <w:t>Shops 15min</w:t>
      </w:r>
    </w:p>
    <w:p w14:paraId="220E8E60" w14:textId="77777777" w:rsidR="009C283F" w:rsidRDefault="00000000">
      <w:pPr>
        <w:pStyle w:val="ListParagraph"/>
        <w:numPr>
          <w:ilvl w:val="0"/>
          <w:numId w:val="3"/>
        </w:numPr>
        <w:spacing w:after="100" w:line="276" w:lineRule="auto"/>
        <w:jc w:val="both"/>
      </w:pPr>
      <w:r>
        <w:t>Transit 15min</w:t>
      </w:r>
    </w:p>
    <w:p w14:paraId="2378CE85" w14:textId="77777777" w:rsidR="009C283F" w:rsidRDefault="00000000">
      <w:pPr>
        <w:pStyle w:val="ListParagraph"/>
        <w:numPr>
          <w:ilvl w:val="0"/>
          <w:numId w:val="3"/>
        </w:numPr>
        <w:spacing w:after="100" w:line="276" w:lineRule="auto"/>
        <w:jc w:val="both"/>
      </w:pPr>
      <w:r>
        <w:t>Education 15min</w:t>
      </w:r>
    </w:p>
    <w:p w14:paraId="6C978F64" w14:textId="77777777" w:rsidR="009C283F" w:rsidRDefault="00000000">
      <w:pPr>
        <w:pStyle w:val="ListParagraph"/>
        <w:numPr>
          <w:ilvl w:val="0"/>
          <w:numId w:val="3"/>
        </w:numPr>
        <w:spacing w:after="100" w:line="276" w:lineRule="auto"/>
        <w:jc w:val="both"/>
      </w:pPr>
      <w:r>
        <w:t>Healthcare 15min</w:t>
      </w:r>
    </w:p>
    <w:p w14:paraId="0D64EFAF" w14:textId="77777777" w:rsidR="009C283F" w:rsidRDefault="00000000">
      <w:pPr>
        <w:pStyle w:val="ListParagraph"/>
        <w:numPr>
          <w:ilvl w:val="0"/>
          <w:numId w:val="3"/>
        </w:numPr>
        <w:spacing w:after="100" w:line="276" w:lineRule="auto"/>
        <w:jc w:val="both"/>
      </w:pPr>
      <w:r>
        <w:t>Parks 15min</w:t>
      </w:r>
    </w:p>
    <w:p w14:paraId="744BC5E4" w14:textId="77777777" w:rsidR="009C283F" w:rsidRDefault="00000000">
      <w:pPr>
        <w:pStyle w:val="Heading2"/>
        <w:spacing w:before="280" w:after="140"/>
      </w:pPr>
      <w:proofErr w:type="gramStart"/>
      <w:r>
        <w:rPr>
          <w:b/>
          <w:bCs/>
          <w:color w:val="1A1A1A"/>
        </w:rPr>
        <w:t>4.2  Hexagonal</w:t>
      </w:r>
      <w:proofErr w:type="gramEnd"/>
      <w:r>
        <w:rPr>
          <w:b/>
          <w:bCs/>
          <w:color w:val="1A1A1A"/>
        </w:rPr>
        <w:t xml:space="preserve"> Grid Generation</w:t>
      </w:r>
    </w:p>
    <w:p w14:paraId="19F3BA4F" w14:textId="77777777" w:rsidR="009C283F" w:rsidRDefault="00000000">
      <w:pPr>
        <w:spacing w:after="160" w:line="276" w:lineRule="auto"/>
        <w:jc w:val="both"/>
      </w:pPr>
      <w:r>
        <w:t>To eliminate corner-edge distance biases inherent in traditional square grids, a hexagonal mesh (“Walkability Grid”) was created using the Create Grid tool:</w:t>
      </w:r>
    </w:p>
    <w:p w14:paraId="363F338E" w14:textId="77777777" w:rsidR="009C283F" w:rsidRDefault="00000000">
      <w:pPr>
        <w:pStyle w:val="ListParagraph"/>
        <w:numPr>
          <w:ilvl w:val="0"/>
          <w:numId w:val="3"/>
        </w:numPr>
        <w:spacing w:after="100" w:line="276" w:lineRule="auto"/>
        <w:jc w:val="both"/>
      </w:pPr>
      <w:r>
        <w:rPr>
          <w:b/>
          <w:bCs/>
        </w:rPr>
        <w:t xml:space="preserve">Shape: </w:t>
      </w:r>
      <w:r>
        <w:t>Hexagon (Polygon)</w:t>
      </w:r>
    </w:p>
    <w:p w14:paraId="31A993AC" w14:textId="77777777" w:rsidR="009C283F" w:rsidRDefault="00000000">
      <w:pPr>
        <w:pStyle w:val="ListParagraph"/>
        <w:numPr>
          <w:ilvl w:val="0"/>
          <w:numId w:val="3"/>
        </w:numPr>
        <w:spacing w:after="100" w:line="276" w:lineRule="auto"/>
        <w:jc w:val="both"/>
      </w:pPr>
      <w:r>
        <w:rPr>
          <w:b/>
          <w:bCs/>
        </w:rPr>
        <w:t xml:space="preserve">Dimensions: </w:t>
      </w:r>
      <w:r>
        <w:t>150 m horizontal and vertical spacing</w:t>
      </w:r>
    </w:p>
    <w:p w14:paraId="5192F318" w14:textId="77777777" w:rsidR="009C283F" w:rsidRDefault="00000000">
      <w:pPr>
        <w:pStyle w:val="ListParagraph"/>
        <w:numPr>
          <w:ilvl w:val="0"/>
          <w:numId w:val="3"/>
        </w:numPr>
        <w:spacing w:after="100" w:line="276" w:lineRule="auto"/>
        <w:jc w:val="both"/>
      </w:pPr>
      <w:r>
        <w:rPr>
          <w:b/>
          <w:bCs/>
        </w:rPr>
        <w:t xml:space="preserve">CRS: </w:t>
      </w:r>
      <w:r>
        <w:t>EPSG:32643 (WGS 84 / UTM Zone 43N — Projected Metric System)</w:t>
      </w:r>
    </w:p>
    <w:p w14:paraId="0D84AFBF" w14:textId="77777777" w:rsidR="009C283F" w:rsidRDefault="00000000">
      <w:pPr>
        <w:pStyle w:val="Heading2"/>
        <w:spacing w:before="280" w:after="140"/>
      </w:pPr>
      <w:proofErr w:type="gramStart"/>
      <w:r>
        <w:rPr>
          <w:b/>
          <w:bCs/>
          <w:color w:val="1A1A1A"/>
        </w:rPr>
        <w:t>4.3  Multi</w:t>
      </w:r>
      <w:proofErr w:type="gramEnd"/>
      <w:r>
        <w:rPr>
          <w:b/>
          <w:bCs/>
          <w:color w:val="1A1A1A"/>
        </w:rPr>
        <w:t>-Criteria Weighted Scoring Algorithm</w:t>
      </w:r>
    </w:p>
    <w:p w14:paraId="3656E590" w14:textId="77777777" w:rsidR="009C283F" w:rsidRDefault="00000000">
      <w:pPr>
        <w:spacing w:after="160" w:line="276" w:lineRule="auto"/>
        <w:jc w:val="both"/>
      </w:pPr>
      <w:r>
        <w:t xml:space="preserve">Each grid cell in the Walkability Grid was evaluated for spatial intersection against the five 15-minute service-area layers using the </w:t>
      </w:r>
      <w:proofErr w:type="spellStart"/>
      <w:r>
        <w:t>overlay_</w:t>
      </w:r>
      <w:proofErr w:type="gramStart"/>
      <w:r>
        <w:t>intersects</w:t>
      </w:r>
      <w:proofErr w:type="spellEnd"/>
      <w:r>
        <w:t>(</w:t>
      </w:r>
      <w:proofErr w:type="gramEnd"/>
      <w:r>
        <w:t>) spatial function in the QGIS Field Calculator.</w:t>
      </w:r>
    </w:p>
    <w:p w14:paraId="3EB1A17A" w14:textId="77777777" w:rsidR="009C283F" w:rsidRDefault="00000000">
      <w:pPr>
        <w:pStyle w:val="Heading3"/>
        <w:spacing w:before="220" w:after="120"/>
      </w:pPr>
      <w:r>
        <w:rPr>
          <w:b/>
          <w:bCs/>
          <w:color w:val="1A1A1A"/>
        </w:rPr>
        <w:t xml:space="preserve">Binary Intersection </w:t>
      </w:r>
      <w:proofErr w:type="gramStart"/>
      <w:r>
        <w:rPr>
          <w:b/>
          <w:bCs/>
          <w:color w:val="1A1A1A"/>
        </w:rPr>
        <w:t>Fields  (</w:t>
      </w:r>
      <w:proofErr w:type="gramEnd"/>
      <w:r>
        <w:rPr>
          <w:b/>
          <w:bCs/>
          <w:color w:val="1A1A1A"/>
        </w:rPr>
        <w:t>Si ∈ {0, 1})</w:t>
      </w:r>
    </w:p>
    <w:tbl>
      <w:tblPr>
        <w:tblW w:w="90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40"/>
      </w:tblGrid>
      <w:tr w:rsidR="009C283F" w14:paraId="474187D8" w14:textId="77777777">
        <w:tblPrEx>
          <w:tblCellMar>
            <w:top w:w="0" w:type="dxa"/>
            <w:bottom w:w="0" w:type="dxa"/>
          </w:tblCellMar>
        </w:tblPrEx>
        <w:trPr>
          <w:jc w:val="center"/>
        </w:trPr>
        <w:tc>
          <w:tcPr>
            <w:tcW w:w="9040" w:type="dxa"/>
            <w:tcBorders>
              <w:top w:val="single" w:sz="4" w:space="0" w:color="999999"/>
              <w:left w:val="single" w:sz="4" w:space="0" w:color="999999"/>
              <w:bottom w:val="single" w:sz="4" w:space="0" w:color="999999"/>
              <w:right w:val="single" w:sz="4" w:space="0" w:color="999999"/>
            </w:tcBorders>
            <w:shd w:val="clear" w:color="auto" w:fill="F5F5F5"/>
            <w:tcMar>
              <w:top w:w="160" w:type="dxa"/>
              <w:left w:w="220" w:type="dxa"/>
              <w:bottom w:w="160" w:type="dxa"/>
              <w:right w:w="220" w:type="dxa"/>
            </w:tcMar>
          </w:tcPr>
          <w:p w14:paraId="3F8C88D5" w14:textId="77777777" w:rsidR="009C283F" w:rsidRDefault="00000000">
            <w:pPr>
              <w:spacing w:after="60"/>
            </w:pPr>
            <w:proofErr w:type="spellStart"/>
            <w:r>
              <w:rPr>
                <w:rFonts w:ascii="Courier New" w:eastAsia="Courier New" w:hAnsi="Courier New" w:cs="Courier New"/>
                <w:sz w:val="19"/>
                <w:szCs w:val="19"/>
              </w:rPr>
              <w:t>score_shop</w:t>
            </w:r>
            <w:proofErr w:type="spellEnd"/>
            <w:r>
              <w:rPr>
                <w:rFonts w:ascii="Courier New" w:eastAsia="Courier New" w:hAnsi="Courier New" w:cs="Courier New"/>
                <w:sz w:val="19"/>
                <w:szCs w:val="19"/>
              </w:rPr>
              <w:t xml:space="preserve"> = </w:t>
            </w:r>
            <w:proofErr w:type="gramStart"/>
            <w:r>
              <w:rPr>
                <w:rFonts w:ascii="Courier New" w:eastAsia="Courier New" w:hAnsi="Courier New" w:cs="Courier New"/>
                <w:sz w:val="19"/>
                <w:szCs w:val="19"/>
              </w:rPr>
              <w:t>if(</w:t>
            </w:r>
            <w:proofErr w:type="spellStart"/>
            <w:proofErr w:type="gramEnd"/>
            <w:r>
              <w:rPr>
                <w:rFonts w:ascii="Courier New" w:eastAsia="Courier New" w:hAnsi="Courier New" w:cs="Courier New"/>
                <w:sz w:val="19"/>
                <w:szCs w:val="19"/>
              </w:rPr>
              <w:t>overlay_</w:t>
            </w:r>
            <w:proofErr w:type="gramStart"/>
            <w:r>
              <w:rPr>
                <w:rFonts w:ascii="Courier New" w:eastAsia="Courier New" w:hAnsi="Courier New" w:cs="Courier New"/>
                <w:sz w:val="19"/>
                <w:szCs w:val="19"/>
              </w:rPr>
              <w:t>intersects</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'Shops 15min'), 1, 0)</w:t>
            </w:r>
          </w:p>
          <w:p w14:paraId="0D6A201C" w14:textId="77777777" w:rsidR="009C283F" w:rsidRDefault="00000000">
            <w:pPr>
              <w:spacing w:after="60"/>
            </w:pPr>
            <w:proofErr w:type="spellStart"/>
            <w:r>
              <w:rPr>
                <w:rFonts w:ascii="Courier New" w:eastAsia="Courier New" w:hAnsi="Courier New" w:cs="Courier New"/>
                <w:sz w:val="19"/>
                <w:szCs w:val="19"/>
              </w:rPr>
              <w:t>score_trns</w:t>
            </w:r>
            <w:proofErr w:type="spellEnd"/>
            <w:r>
              <w:rPr>
                <w:rFonts w:ascii="Courier New" w:eastAsia="Courier New" w:hAnsi="Courier New" w:cs="Courier New"/>
                <w:sz w:val="19"/>
                <w:szCs w:val="19"/>
              </w:rPr>
              <w:t xml:space="preserve"> = </w:t>
            </w:r>
            <w:proofErr w:type="gramStart"/>
            <w:r>
              <w:rPr>
                <w:rFonts w:ascii="Courier New" w:eastAsia="Courier New" w:hAnsi="Courier New" w:cs="Courier New"/>
                <w:sz w:val="19"/>
                <w:szCs w:val="19"/>
              </w:rPr>
              <w:t>if(</w:t>
            </w:r>
            <w:proofErr w:type="spellStart"/>
            <w:proofErr w:type="gramEnd"/>
            <w:r>
              <w:rPr>
                <w:rFonts w:ascii="Courier New" w:eastAsia="Courier New" w:hAnsi="Courier New" w:cs="Courier New"/>
                <w:sz w:val="19"/>
                <w:szCs w:val="19"/>
              </w:rPr>
              <w:t>overlay_</w:t>
            </w:r>
            <w:proofErr w:type="gramStart"/>
            <w:r>
              <w:rPr>
                <w:rFonts w:ascii="Courier New" w:eastAsia="Courier New" w:hAnsi="Courier New" w:cs="Courier New"/>
                <w:sz w:val="19"/>
                <w:szCs w:val="19"/>
              </w:rPr>
              <w:t>intersects</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'Transit 15min'), 1, 0)</w:t>
            </w:r>
          </w:p>
          <w:p w14:paraId="3B5E85A6" w14:textId="77777777" w:rsidR="009C283F" w:rsidRDefault="00000000">
            <w:pPr>
              <w:spacing w:after="60"/>
            </w:pPr>
            <w:proofErr w:type="spellStart"/>
            <w:r>
              <w:rPr>
                <w:rFonts w:ascii="Courier New" w:eastAsia="Courier New" w:hAnsi="Courier New" w:cs="Courier New"/>
                <w:sz w:val="19"/>
                <w:szCs w:val="19"/>
              </w:rPr>
              <w:t>score_schl</w:t>
            </w:r>
            <w:proofErr w:type="spellEnd"/>
            <w:r>
              <w:rPr>
                <w:rFonts w:ascii="Courier New" w:eastAsia="Courier New" w:hAnsi="Courier New" w:cs="Courier New"/>
                <w:sz w:val="19"/>
                <w:szCs w:val="19"/>
              </w:rPr>
              <w:t xml:space="preserve"> = </w:t>
            </w:r>
            <w:proofErr w:type="gramStart"/>
            <w:r>
              <w:rPr>
                <w:rFonts w:ascii="Courier New" w:eastAsia="Courier New" w:hAnsi="Courier New" w:cs="Courier New"/>
                <w:sz w:val="19"/>
                <w:szCs w:val="19"/>
              </w:rPr>
              <w:t>if(</w:t>
            </w:r>
            <w:proofErr w:type="spellStart"/>
            <w:proofErr w:type="gramEnd"/>
            <w:r>
              <w:rPr>
                <w:rFonts w:ascii="Courier New" w:eastAsia="Courier New" w:hAnsi="Courier New" w:cs="Courier New"/>
                <w:sz w:val="19"/>
                <w:szCs w:val="19"/>
              </w:rPr>
              <w:t>overlay_</w:t>
            </w:r>
            <w:proofErr w:type="gramStart"/>
            <w:r>
              <w:rPr>
                <w:rFonts w:ascii="Courier New" w:eastAsia="Courier New" w:hAnsi="Courier New" w:cs="Courier New"/>
                <w:sz w:val="19"/>
                <w:szCs w:val="19"/>
              </w:rPr>
              <w:t>intersects</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'Education 15min'), 1, 0)</w:t>
            </w:r>
          </w:p>
          <w:p w14:paraId="343A02FA" w14:textId="77777777" w:rsidR="009C283F" w:rsidRDefault="00000000">
            <w:pPr>
              <w:spacing w:after="60"/>
            </w:pPr>
            <w:proofErr w:type="spellStart"/>
            <w:r>
              <w:rPr>
                <w:rFonts w:ascii="Courier New" w:eastAsia="Courier New" w:hAnsi="Courier New" w:cs="Courier New"/>
                <w:sz w:val="19"/>
                <w:szCs w:val="19"/>
              </w:rPr>
              <w:t>score_hlth</w:t>
            </w:r>
            <w:proofErr w:type="spellEnd"/>
            <w:r>
              <w:rPr>
                <w:rFonts w:ascii="Courier New" w:eastAsia="Courier New" w:hAnsi="Courier New" w:cs="Courier New"/>
                <w:sz w:val="19"/>
                <w:szCs w:val="19"/>
              </w:rPr>
              <w:t xml:space="preserve"> = </w:t>
            </w:r>
            <w:proofErr w:type="gramStart"/>
            <w:r>
              <w:rPr>
                <w:rFonts w:ascii="Courier New" w:eastAsia="Courier New" w:hAnsi="Courier New" w:cs="Courier New"/>
                <w:sz w:val="19"/>
                <w:szCs w:val="19"/>
              </w:rPr>
              <w:t>if(</w:t>
            </w:r>
            <w:proofErr w:type="spellStart"/>
            <w:proofErr w:type="gramEnd"/>
            <w:r>
              <w:rPr>
                <w:rFonts w:ascii="Courier New" w:eastAsia="Courier New" w:hAnsi="Courier New" w:cs="Courier New"/>
                <w:sz w:val="19"/>
                <w:szCs w:val="19"/>
              </w:rPr>
              <w:t>overlay_</w:t>
            </w:r>
            <w:proofErr w:type="gramStart"/>
            <w:r>
              <w:rPr>
                <w:rFonts w:ascii="Courier New" w:eastAsia="Courier New" w:hAnsi="Courier New" w:cs="Courier New"/>
                <w:sz w:val="19"/>
                <w:szCs w:val="19"/>
              </w:rPr>
              <w:t>intersects</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'Healthcare 15min'), 1, 0)</w:t>
            </w:r>
          </w:p>
          <w:p w14:paraId="30910A36" w14:textId="77777777" w:rsidR="009C283F" w:rsidRDefault="00000000">
            <w:pPr>
              <w:spacing w:after="60"/>
            </w:pPr>
            <w:proofErr w:type="spellStart"/>
            <w:r>
              <w:rPr>
                <w:rFonts w:ascii="Courier New" w:eastAsia="Courier New" w:hAnsi="Courier New" w:cs="Courier New"/>
                <w:sz w:val="19"/>
                <w:szCs w:val="19"/>
              </w:rPr>
              <w:t>score_park</w:t>
            </w:r>
            <w:proofErr w:type="spellEnd"/>
            <w:r>
              <w:rPr>
                <w:rFonts w:ascii="Courier New" w:eastAsia="Courier New" w:hAnsi="Courier New" w:cs="Courier New"/>
                <w:sz w:val="19"/>
                <w:szCs w:val="19"/>
              </w:rPr>
              <w:t xml:space="preserve"> = </w:t>
            </w:r>
            <w:proofErr w:type="gramStart"/>
            <w:r>
              <w:rPr>
                <w:rFonts w:ascii="Courier New" w:eastAsia="Courier New" w:hAnsi="Courier New" w:cs="Courier New"/>
                <w:sz w:val="19"/>
                <w:szCs w:val="19"/>
              </w:rPr>
              <w:t>if(</w:t>
            </w:r>
            <w:proofErr w:type="spellStart"/>
            <w:proofErr w:type="gramEnd"/>
            <w:r>
              <w:rPr>
                <w:rFonts w:ascii="Courier New" w:eastAsia="Courier New" w:hAnsi="Courier New" w:cs="Courier New"/>
                <w:sz w:val="19"/>
                <w:szCs w:val="19"/>
              </w:rPr>
              <w:t>overlay_</w:t>
            </w:r>
            <w:proofErr w:type="gramStart"/>
            <w:r>
              <w:rPr>
                <w:rFonts w:ascii="Courier New" w:eastAsia="Courier New" w:hAnsi="Courier New" w:cs="Courier New"/>
                <w:sz w:val="19"/>
                <w:szCs w:val="19"/>
              </w:rPr>
              <w:t>intersects</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'Parks 15min'), 1, 0)</w:t>
            </w:r>
          </w:p>
        </w:tc>
      </w:tr>
    </w:tbl>
    <w:p w14:paraId="3D27205F" w14:textId="77777777" w:rsidR="007B5A6A" w:rsidRDefault="007B5A6A">
      <w:pPr>
        <w:pStyle w:val="Heading3"/>
        <w:spacing w:before="220" w:after="120"/>
        <w:rPr>
          <w:b/>
          <w:bCs/>
          <w:color w:val="1A1A1A"/>
        </w:rPr>
      </w:pPr>
    </w:p>
    <w:p w14:paraId="38053539" w14:textId="64DAE8F0" w:rsidR="009C283F" w:rsidRDefault="00000000">
      <w:pPr>
        <w:pStyle w:val="Heading3"/>
        <w:spacing w:before="220" w:after="120"/>
      </w:pPr>
      <w:r>
        <w:rPr>
          <w:b/>
          <w:bCs/>
          <w:color w:val="1A1A1A"/>
        </w:rPr>
        <w:lastRenderedPageBreak/>
        <w:t>Master Index Score Formula (WALK_INDEX)</w:t>
      </w:r>
    </w:p>
    <w:p w14:paraId="3AD797AF" w14:textId="77777777" w:rsidR="009C283F" w:rsidRDefault="00000000">
      <w:pPr>
        <w:spacing w:before="120" w:after="260"/>
        <w:jc w:val="center"/>
      </w:pPr>
      <w:r>
        <w:rPr>
          <w:i/>
          <w:iCs/>
        </w:rPr>
        <w:t>WALK_INDEX = (</w:t>
      </w:r>
      <w:proofErr w:type="spellStart"/>
      <w:r>
        <w:rPr>
          <w:i/>
          <w:iCs/>
        </w:rPr>
        <w:t>S</w:t>
      </w:r>
      <w:r>
        <w:rPr>
          <w:i/>
          <w:iCs/>
          <w:sz w:val="16"/>
          <w:szCs w:val="16"/>
          <w:vertAlign w:val="subscript"/>
        </w:rPr>
        <w:t>shop</w:t>
      </w:r>
      <w:proofErr w:type="spellEnd"/>
      <w:r>
        <w:rPr>
          <w:i/>
          <w:iCs/>
        </w:rPr>
        <w:t xml:space="preserve"> × 30) + (</w:t>
      </w:r>
      <w:proofErr w:type="spellStart"/>
      <w:r>
        <w:rPr>
          <w:i/>
          <w:iCs/>
        </w:rPr>
        <w:t>S</w:t>
      </w:r>
      <w:r>
        <w:rPr>
          <w:i/>
          <w:iCs/>
          <w:sz w:val="16"/>
          <w:szCs w:val="16"/>
          <w:vertAlign w:val="subscript"/>
        </w:rPr>
        <w:t>trns</w:t>
      </w:r>
      <w:proofErr w:type="spellEnd"/>
      <w:r>
        <w:rPr>
          <w:i/>
          <w:iCs/>
        </w:rPr>
        <w:t xml:space="preserve"> × 25) + (</w:t>
      </w:r>
      <w:proofErr w:type="spellStart"/>
      <w:r>
        <w:rPr>
          <w:i/>
          <w:iCs/>
        </w:rPr>
        <w:t>S</w:t>
      </w:r>
      <w:r>
        <w:rPr>
          <w:i/>
          <w:iCs/>
          <w:sz w:val="16"/>
          <w:szCs w:val="16"/>
          <w:vertAlign w:val="subscript"/>
        </w:rPr>
        <w:t>schl</w:t>
      </w:r>
      <w:proofErr w:type="spellEnd"/>
      <w:r>
        <w:rPr>
          <w:i/>
          <w:iCs/>
        </w:rPr>
        <w:t xml:space="preserve"> × 15) + (</w:t>
      </w:r>
      <w:proofErr w:type="spellStart"/>
      <w:r>
        <w:rPr>
          <w:i/>
          <w:iCs/>
        </w:rPr>
        <w:t>S</w:t>
      </w:r>
      <w:r>
        <w:rPr>
          <w:i/>
          <w:iCs/>
          <w:sz w:val="16"/>
          <w:szCs w:val="16"/>
          <w:vertAlign w:val="subscript"/>
        </w:rPr>
        <w:t>hlth</w:t>
      </w:r>
      <w:proofErr w:type="spellEnd"/>
      <w:r>
        <w:rPr>
          <w:i/>
          <w:iCs/>
        </w:rPr>
        <w:t xml:space="preserve"> × 15) + (S</w:t>
      </w:r>
      <w:r>
        <w:rPr>
          <w:i/>
          <w:iCs/>
          <w:sz w:val="16"/>
          <w:szCs w:val="16"/>
          <w:vertAlign w:val="subscript"/>
        </w:rPr>
        <w:t>park</w:t>
      </w:r>
      <w:r>
        <w:rPr>
          <w:i/>
          <w:iCs/>
        </w:rPr>
        <w:t xml:space="preserve"> × 15)</w:t>
      </w:r>
    </w:p>
    <w:p w14:paraId="7BE2F574" w14:textId="77777777" w:rsidR="009C283F" w:rsidRDefault="00000000">
      <w:pPr>
        <w:pStyle w:val="Heading3"/>
        <w:spacing w:before="220" w:after="120"/>
      </w:pPr>
      <w:r>
        <w:rPr>
          <w:b/>
          <w:bCs/>
          <w:color w:val="1A1A1A"/>
        </w:rPr>
        <w:t>Weight Rationale</w:t>
      </w:r>
    </w:p>
    <w:p w14:paraId="4CEF5E06" w14:textId="77777777" w:rsidR="009C283F" w:rsidRDefault="00000000">
      <w:pPr>
        <w:pStyle w:val="ListParagraph"/>
        <w:numPr>
          <w:ilvl w:val="0"/>
          <w:numId w:val="3"/>
        </w:numPr>
        <w:spacing w:after="100" w:line="276" w:lineRule="auto"/>
        <w:jc w:val="both"/>
      </w:pPr>
      <w:r>
        <w:rPr>
          <w:b/>
          <w:bCs/>
        </w:rPr>
        <w:t xml:space="preserve">Shops (30%): </w:t>
      </w:r>
      <w:r>
        <w:t>Highest daily operational frequency (grocery, food, personal supplies).</w:t>
      </w:r>
    </w:p>
    <w:p w14:paraId="15F6E1D3" w14:textId="77777777" w:rsidR="009C283F" w:rsidRDefault="00000000">
      <w:pPr>
        <w:pStyle w:val="ListParagraph"/>
        <w:numPr>
          <w:ilvl w:val="0"/>
          <w:numId w:val="3"/>
        </w:numPr>
        <w:spacing w:after="100" w:line="276" w:lineRule="auto"/>
        <w:jc w:val="both"/>
      </w:pPr>
      <w:r>
        <w:rPr>
          <w:b/>
          <w:bCs/>
        </w:rPr>
        <w:t xml:space="preserve">Public Transit (25%): </w:t>
      </w:r>
      <w:r>
        <w:t>Critical anchor for city-wide mobility and non-motorised regional connectivity.</w:t>
      </w:r>
    </w:p>
    <w:p w14:paraId="3B4226BB" w14:textId="77777777" w:rsidR="009C283F" w:rsidRDefault="00000000">
      <w:pPr>
        <w:pStyle w:val="ListParagraph"/>
        <w:numPr>
          <w:ilvl w:val="0"/>
          <w:numId w:val="3"/>
        </w:numPr>
        <w:spacing w:after="100" w:line="276" w:lineRule="auto"/>
        <w:jc w:val="both"/>
      </w:pPr>
      <w:r>
        <w:rPr>
          <w:b/>
          <w:bCs/>
        </w:rPr>
        <w:t xml:space="preserve">Education (15%): </w:t>
      </w:r>
      <w:r>
        <w:t xml:space="preserve">Key determinant of family-oriented residential </w:t>
      </w:r>
      <w:proofErr w:type="spellStart"/>
      <w:r>
        <w:t>livability</w:t>
      </w:r>
      <w:proofErr w:type="spellEnd"/>
      <w:r>
        <w:t>.</w:t>
      </w:r>
    </w:p>
    <w:p w14:paraId="73D4ADEB" w14:textId="77777777" w:rsidR="009C283F" w:rsidRDefault="00000000">
      <w:pPr>
        <w:pStyle w:val="ListParagraph"/>
        <w:numPr>
          <w:ilvl w:val="0"/>
          <w:numId w:val="3"/>
        </w:numPr>
        <w:spacing w:after="100" w:line="276" w:lineRule="auto"/>
        <w:jc w:val="both"/>
      </w:pPr>
      <w:r>
        <w:rPr>
          <w:b/>
          <w:bCs/>
        </w:rPr>
        <w:t xml:space="preserve">Healthcare (15%): </w:t>
      </w:r>
      <w:r>
        <w:t>Crucial social safety net and emergency access factor.</w:t>
      </w:r>
    </w:p>
    <w:p w14:paraId="41211658" w14:textId="77777777" w:rsidR="009C283F" w:rsidRDefault="00000000">
      <w:pPr>
        <w:pStyle w:val="ListParagraph"/>
        <w:numPr>
          <w:ilvl w:val="0"/>
          <w:numId w:val="3"/>
        </w:numPr>
        <w:spacing w:after="100" w:line="276" w:lineRule="auto"/>
        <w:jc w:val="both"/>
      </w:pPr>
      <w:r>
        <w:rPr>
          <w:b/>
          <w:bCs/>
        </w:rPr>
        <w:t xml:space="preserve">Parks / Recreation (15%): </w:t>
      </w:r>
      <w:r>
        <w:t>Essential for urban health, active recreation, and environmental well-being.</w:t>
      </w:r>
    </w:p>
    <w:p w14:paraId="2D62FF1E" w14:textId="77777777" w:rsidR="009C283F" w:rsidRDefault="00000000">
      <w:r>
        <w:br w:type="page"/>
      </w:r>
    </w:p>
    <w:p w14:paraId="49E1F0DF" w14:textId="77777777" w:rsidR="009C283F" w:rsidRDefault="00000000">
      <w:pPr>
        <w:pStyle w:val="Heading1"/>
        <w:pBdr>
          <w:bottom w:val="single" w:sz="6" w:space="4" w:color="1F1F1F"/>
        </w:pBdr>
        <w:spacing w:before="380" w:after="200"/>
      </w:pPr>
      <w:r>
        <w:rPr>
          <w:b/>
          <w:bCs/>
          <w:color w:val="1A1A1A"/>
          <w:sz w:val="30"/>
          <w:szCs w:val="30"/>
        </w:rPr>
        <w:lastRenderedPageBreak/>
        <w:t>5. Analytical Findings &amp; Spatial Interpretation</w:t>
      </w:r>
    </w:p>
    <w:p w14:paraId="7BE28615" w14:textId="77777777" w:rsidR="009C283F" w:rsidRDefault="00000000">
      <w:pPr>
        <w:spacing w:after="160" w:line="276" w:lineRule="auto"/>
        <w:jc w:val="both"/>
      </w:pPr>
      <w:r>
        <w:t>Based on the generated map output (15-Minute City Walkability Index — Central Ahmedabad), the spatial distribution of scores yields several key urban insights.</w:t>
      </w:r>
    </w:p>
    <w:p w14:paraId="3C3EC31F" w14:textId="77777777" w:rsidR="009C283F" w:rsidRDefault="00000000">
      <w:pPr>
        <w:spacing w:before="200" w:after="80"/>
        <w:jc w:val="center"/>
      </w:pPr>
      <w:r>
        <w:rPr>
          <w:noProof/>
        </w:rPr>
        <w:drawing>
          <wp:inline distT="0" distB="0" distL="0" distR="0" wp14:anchorId="41FD6B2C" wp14:editId="32055A91">
            <wp:extent cx="5760720" cy="40779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60720" cy="4077970"/>
                    </a:xfrm>
                    <a:prstGeom prst="rect">
                      <a:avLst/>
                    </a:prstGeom>
                  </pic:spPr>
                </pic:pic>
              </a:graphicData>
            </a:graphic>
          </wp:inline>
        </w:drawing>
      </w:r>
    </w:p>
    <w:p w14:paraId="4ED060E4" w14:textId="77777777" w:rsidR="009C283F" w:rsidRDefault="00000000">
      <w:pPr>
        <w:spacing w:before="100" w:after="300"/>
        <w:jc w:val="center"/>
      </w:pPr>
      <w:r>
        <w:rPr>
          <w:i/>
          <w:iCs/>
          <w:color w:val="444444"/>
          <w:sz w:val="20"/>
          <w:szCs w:val="20"/>
        </w:rPr>
        <w:t>Figure 1. 15-Minute City Walkability Index — Central Ahmedabad (hexagonal grid, 150 m cell size).</w:t>
      </w:r>
    </w:p>
    <w:p w14:paraId="2B21E27F" w14:textId="77777777" w:rsidR="009C283F" w:rsidRDefault="00000000">
      <w:pPr>
        <w:pStyle w:val="Heading3"/>
        <w:spacing w:before="220" w:after="120"/>
      </w:pPr>
      <w:r>
        <w:rPr>
          <w:b/>
          <w:bCs/>
          <w:color w:val="1A1A1A"/>
        </w:rPr>
        <w:t>Score Classification Legend</w:t>
      </w:r>
    </w:p>
    <w:tbl>
      <w:tblPr>
        <w:tblW w:w="9040" w:type="dxa"/>
        <w:jc w:val="center"/>
        <w:tblCellMar>
          <w:left w:w="10" w:type="dxa"/>
          <w:right w:w="10" w:type="dxa"/>
        </w:tblCellMar>
        <w:tblLook w:val="0000" w:firstRow="0" w:lastRow="0" w:firstColumn="0" w:lastColumn="0" w:noHBand="0" w:noVBand="0"/>
      </w:tblPr>
      <w:tblGrid>
        <w:gridCol w:w="500"/>
        <w:gridCol w:w="1400"/>
        <w:gridCol w:w="7140"/>
      </w:tblGrid>
      <w:tr w:rsidR="009C283F" w14:paraId="2CA8659B" w14:textId="77777777">
        <w:tblPrEx>
          <w:tblCellMar>
            <w:top w:w="0" w:type="dxa"/>
            <w:bottom w:w="0" w:type="dxa"/>
          </w:tblCellMar>
        </w:tblPrEx>
        <w:trPr>
          <w:jc w:val="center"/>
        </w:trPr>
        <w:tc>
          <w:tcPr>
            <w:tcW w:w="500" w:type="dxa"/>
            <w:shd w:val="clear" w:color="auto" w:fill="3B5C8A"/>
            <w:tcMar>
              <w:top w:w="40" w:type="dxa"/>
              <w:left w:w="0" w:type="dxa"/>
              <w:bottom w:w="40" w:type="dxa"/>
              <w:right w:w="0" w:type="dxa"/>
            </w:tcMar>
          </w:tcPr>
          <w:p w14:paraId="4DFAE98B" w14:textId="77777777" w:rsidR="009C283F" w:rsidRDefault="00000000">
            <w:r>
              <w:t xml:space="preserve"> </w:t>
            </w:r>
          </w:p>
        </w:tc>
        <w:tc>
          <w:tcPr>
            <w:tcW w:w="1400" w:type="dxa"/>
            <w:tcMar>
              <w:top w:w="40" w:type="dxa"/>
              <w:left w:w="120" w:type="dxa"/>
              <w:bottom w:w="40" w:type="dxa"/>
              <w:right w:w="80" w:type="dxa"/>
            </w:tcMar>
            <w:vAlign w:val="center"/>
          </w:tcPr>
          <w:p w14:paraId="2DDE574F" w14:textId="77777777" w:rsidR="009C283F" w:rsidRDefault="00000000">
            <w:r>
              <w:rPr>
                <w:b/>
                <w:bCs/>
                <w:sz w:val="20"/>
                <w:szCs w:val="20"/>
              </w:rPr>
              <w:t>85 – 100</w:t>
            </w:r>
          </w:p>
        </w:tc>
        <w:tc>
          <w:tcPr>
            <w:tcW w:w="7140" w:type="dxa"/>
            <w:tcMar>
              <w:top w:w="40" w:type="dxa"/>
              <w:left w:w="120" w:type="dxa"/>
              <w:bottom w:w="40" w:type="dxa"/>
              <w:right w:w="80" w:type="dxa"/>
            </w:tcMar>
            <w:vAlign w:val="center"/>
          </w:tcPr>
          <w:p w14:paraId="45C8350F" w14:textId="77777777" w:rsidR="009C283F" w:rsidRDefault="00000000">
            <w:r>
              <w:rPr>
                <w:sz w:val="20"/>
                <w:szCs w:val="20"/>
              </w:rPr>
              <w:t>Optimal 15-Minute Walkability (all 5 amenities covered)</w:t>
            </w:r>
          </w:p>
        </w:tc>
      </w:tr>
      <w:tr w:rsidR="009C283F" w14:paraId="1938D3D5" w14:textId="77777777">
        <w:tblPrEx>
          <w:tblCellMar>
            <w:top w:w="0" w:type="dxa"/>
            <w:bottom w:w="0" w:type="dxa"/>
          </w:tblCellMar>
        </w:tblPrEx>
        <w:trPr>
          <w:jc w:val="center"/>
        </w:trPr>
        <w:tc>
          <w:tcPr>
            <w:tcW w:w="500" w:type="dxa"/>
            <w:shd w:val="clear" w:color="auto" w:fill="8FB3D9"/>
            <w:tcMar>
              <w:top w:w="40" w:type="dxa"/>
              <w:left w:w="0" w:type="dxa"/>
              <w:bottom w:w="40" w:type="dxa"/>
              <w:right w:w="0" w:type="dxa"/>
            </w:tcMar>
          </w:tcPr>
          <w:p w14:paraId="534EA707" w14:textId="77777777" w:rsidR="009C283F" w:rsidRDefault="00000000">
            <w:r>
              <w:t xml:space="preserve"> </w:t>
            </w:r>
          </w:p>
        </w:tc>
        <w:tc>
          <w:tcPr>
            <w:tcW w:w="1400" w:type="dxa"/>
            <w:tcMar>
              <w:top w:w="40" w:type="dxa"/>
              <w:left w:w="120" w:type="dxa"/>
              <w:bottom w:w="40" w:type="dxa"/>
              <w:right w:w="80" w:type="dxa"/>
            </w:tcMar>
            <w:vAlign w:val="center"/>
          </w:tcPr>
          <w:p w14:paraId="0B6A8878" w14:textId="77777777" w:rsidR="009C283F" w:rsidRDefault="00000000">
            <w:r>
              <w:rPr>
                <w:b/>
                <w:bCs/>
                <w:sz w:val="20"/>
                <w:szCs w:val="20"/>
              </w:rPr>
              <w:t>70 – 85</w:t>
            </w:r>
          </w:p>
        </w:tc>
        <w:tc>
          <w:tcPr>
            <w:tcW w:w="7140" w:type="dxa"/>
            <w:tcMar>
              <w:top w:w="40" w:type="dxa"/>
              <w:left w:w="120" w:type="dxa"/>
              <w:bottom w:w="40" w:type="dxa"/>
              <w:right w:w="80" w:type="dxa"/>
            </w:tcMar>
            <w:vAlign w:val="center"/>
          </w:tcPr>
          <w:p w14:paraId="11021DAB" w14:textId="77777777" w:rsidR="009C283F" w:rsidRDefault="00000000">
            <w:r>
              <w:rPr>
                <w:sz w:val="20"/>
                <w:szCs w:val="20"/>
              </w:rPr>
              <w:t>High Walkability (4 amenities covered)</w:t>
            </w:r>
          </w:p>
        </w:tc>
      </w:tr>
      <w:tr w:rsidR="009C283F" w14:paraId="489F886F" w14:textId="77777777">
        <w:tblPrEx>
          <w:tblCellMar>
            <w:top w:w="0" w:type="dxa"/>
            <w:bottom w:w="0" w:type="dxa"/>
          </w:tblCellMar>
        </w:tblPrEx>
        <w:trPr>
          <w:jc w:val="center"/>
        </w:trPr>
        <w:tc>
          <w:tcPr>
            <w:tcW w:w="500" w:type="dxa"/>
            <w:shd w:val="clear" w:color="auto" w:fill="EDE4A6"/>
            <w:tcMar>
              <w:top w:w="40" w:type="dxa"/>
              <w:left w:w="0" w:type="dxa"/>
              <w:bottom w:w="40" w:type="dxa"/>
              <w:right w:w="0" w:type="dxa"/>
            </w:tcMar>
          </w:tcPr>
          <w:p w14:paraId="34235A63" w14:textId="77777777" w:rsidR="009C283F" w:rsidRDefault="00000000">
            <w:r>
              <w:t xml:space="preserve"> </w:t>
            </w:r>
          </w:p>
        </w:tc>
        <w:tc>
          <w:tcPr>
            <w:tcW w:w="1400" w:type="dxa"/>
            <w:tcMar>
              <w:top w:w="40" w:type="dxa"/>
              <w:left w:w="120" w:type="dxa"/>
              <w:bottom w:w="40" w:type="dxa"/>
              <w:right w:w="80" w:type="dxa"/>
            </w:tcMar>
            <w:vAlign w:val="center"/>
          </w:tcPr>
          <w:p w14:paraId="4B4F50CB" w14:textId="77777777" w:rsidR="009C283F" w:rsidRDefault="00000000">
            <w:r>
              <w:rPr>
                <w:b/>
                <w:bCs/>
                <w:sz w:val="20"/>
                <w:szCs w:val="20"/>
              </w:rPr>
              <w:t>45 – 70</w:t>
            </w:r>
          </w:p>
        </w:tc>
        <w:tc>
          <w:tcPr>
            <w:tcW w:w="7140" w:type="dxa"/>
            <w:tcMar>
              <w:top w:w="40" w:type="dxa"/>
              <w:left w:w="120" w:type="dxa"/>
              <w:bottom w:w="40" w:type="dxa"/>
              <w:right w:w="80" w:type="dxa"/>
            </w:tcMar>
            <w:vAlign w:val="center"/>
          </w:tcPr>
          <w:p w14:paraId="3CDB6ADE" w14:textId="77777777" w:rsidR="009C283F" w:rsidRDefault="00000000">
            <w:r>
              <w:rPr>
                <w:sz w:val="20"/>
                <w:szCs w:val="20"/>
              </w:rPr>
              <w:t>Moderate Walkability (2–3 amenities covered)</w:t>
            </w:r>
          </w:p>
        </w:tc>
      </w:tr>
      <w:tr w:rsidR="009C283F" w14:paraId="5AAA924D" w14:textId="77777777">
        <w:tblPrEx>
          <w:tblCellMar>
            <w:top w:w="0" w:type="dxa"/>
            <w:bottom w:w="0" w:type="dxa"/>
          </w:tblCellMar>
        </w:tblPrEx>
        <w:trPr>
          <w:jc w:val="center"/>
        </w:trPr>
        <w:tc>
          <w:tcPr>
            <w:tcW w:w="500" w:type="dxa"/>
            <w:shd w:val="clear" w:color="auto" w:fill="EFAE6E"/>
            <w:tcMar>
              <w:top w:w="40" w:type="dxa"/>
              <w:left w:w="0" w:type="dxa"/>
              <w:bottom w:w="40" w:type="dxa"/>
              <w:right w:w="0" w:type="dxa"/>
            </w:tcMar>
          </w:tcPr>
          <w:p w14:paraId="2B41F699" w14:textId="77777777" w:rsidR="009C283F" w:rsidRDefault="00000000">
            <w:r>
              <w:t xml:space="preserve"> </w:t>
            </w:r>
          </w:p>
        </w:tc>
        <w:tc>
          <w:tcPr>
            <w:tcW w:w="1400" w:type="dxa"/>
            <w:tcMar>
              <w:top w:w="40" w:type="dxa"/>
              <w:left w:w="120" w:type="dxa"/>
              <w:bottom w:w="40" w:type="dxa"/>
              <w:right w:w="80" w:type="dxa"/>
            </w:tcMar>
            <w:vAlign w:val="center"/>
          </w:tcPr>
          <w:p w14:paraId="1C9E111E" w14:textId="77777777" w:rsidR="009C283F" w:rsidRDefault="00000000">
            <w:r>
              <w:rPr>
                <w:b/>
                <w:bCs/>
                <w:sz w:val="20"/>
                <w:szCs w:val="20"/>
              </w:rPr>
              <w:t>15 – 45</w:t>
            </w:r>
          </w:p>
        </w:tc>
        <w:tc>
          <w:tcPr>
            <w:tcW w:w="7140" w:type="dxa"/>
            <w:tcMar>
              <w:top w:w="40" w:type="dxa"/>
              <w:left w:w="120" w:type="dxa"/>
              <w:bottom w:w="40" w:type="dxa"/>
              <w:right w:w="80" w:type="dxa"/>
            </w:tcMar>
            <w:vAlign w:val="center"/>
          </w:tcPr>
          <w:p w14:paraId="770374F3" w14:textId="77777777" w:rsidR="009C283F" w:rsidRDefault="00000000">
            <w:r>
              <w:rPr>
                <w:sz w:val="20"/>
                <w:szCs w:val="20"/>
              </w:rPr>
              <w:t>Low Walkability (1 amenity covered)</w:t>
            </w:r>
          </w:p>
        </w:tc>
      </w:tr>
      <w:tr w:rsidR="009C283F" w14:paraId="3269A657" w14:textId="77777777">
        <w:tblPrEx>
          <w:tblCellMar>
            <w:top w:w="0" w:type="dxa"/>
            <w:bottom w:w="0" w:type="dxa"/>
          </w:tblCellMar>
        </w:tblPrEx>
        <w:trPr>
          <w:jc w:val="center"/>
        </w:trPr>
        <w:tc>
          <w:tcPr>
            <w:tcW w:w="500" w:type="dxa"/>
            <w:shd w:val="clear" w:color="auto" w:fill="C0504D"/>
            <w:tcMar>
              <w:top w:w="40" w:type="dxa"/>
              <w:left w:w="0" w:type="dxa"/>
              <w:bottom w:w="40" w:type="dxa"/>
              <w:right w:w="0" w:type="dxa"/>
            </w:tcMar>
          </w:tcPr>
          <w:p w14:paraId="5CBB6FE9" w14:textId="77777777" w:rsidR="009C283F" w:rsidRDefault="00000000">
            <w:r>
              <w:t xml:space="preserve"> </w:t>
            </w:r>
          </w:p>
        </w:tc>
        <w:tc>
          <w:tcPr>
            <w:tcW w:w="1400" w:type="dxa"/>
            <w:tcMar>
              <w:top w:w="40" w:type="dxa"/>
              <w:left w:w="120" w:type="dxa"/>
              <w:bottom w:w="40" w:type="dxa"/>
              <w:right w:w="80" w:type="dxa"/>
            </w:tcMar>
            <w:vAlign w:val="center"/>
          </w:tcPr>
          <w:p w14:paraId="1DC1129E" w14:textId="77777777" w:rsidR="009C283F" w:rsidRDefault="00000000">
            <w:r>
              <w:rPr>
                <w:b/>
                <w:bCs/>
                <w:sz w:val="20"/>
                <w:szCs w:val="20"/>
              </w:rPr>
              <w:t>0 – 15</w:t>
            </w:r>
          </w:p>
        </w:tc>
        <w:tc>
          <w:tcPr>
            <w:tcW w:w="7140" w:type="dxa"/>
            <w:tcMar>
              <w:top w:w="40" w:type="dxa"/>
              <w:left w:w="120" w:type="dxa"/>
              <w:bottom w:w="40" w:type="dxa"/>
              <w:right w:w="80" w:type="dxa"/>
            </w:tcMar>
            <w:vAlign w:val="center"/>
          </w:tcPr>
          <w:p w14:paraId="12F3EA21" w14:textId="77777777" w:rsidR="009C283F" w:rsidRDefault="00000000">
            <w:r>
              <w:rPr>
                <w:sz w:val="20"/>
                <w:szCs w:val="20"/>
              </w:rPr>
              <w:t>Critical Walkability Deficit (no direct walkable access)</w:t>
            </w:r>
          </w:p>
        </w:tc>
      </w:tr>
    </w:tbl>
    <w:p w14:paraId="1A1F33D8" w14:textId="77777777" w:rsidR="009C283F" w:rsidRDefault="009C283F">
      <w:pPr>
        <w:spacing w:after="200"/>
      </w:pPr>
    </w:p>
    <w:p w14:paraId="3D2EE7A8" w14:textId="77777777" w:rsidR="007B5A6A" w:rsidRDefault="007B5A6A">
      <w:pPr>
        <w:pStyle w:val="Heading2"/>
        <w:spacing w:before="280" w:after="140"/>
        <w:rPr>
          <w:b/>
          <w:bCs/>
          <w:color w:val="1A1A1A"/>
        </w:rPr>
      </w:pPr>
    </w:p>
    <w:p w14:paraId="1E440094" w14:textId="77777777" w:rsidR="007B5A6A" w:rsidRDefault="007B5A6A">
      <w:pPr>
        <w:pStyle w:val="Heading2"/>
        <w:spacing w:before="280" w:after="140"/>
        <w:rPr>
          <w:b/>
          <w:bCs/>
          <w:color w:val="1A1A1A"/>
        </w:rPr>
      </w:pPr>
    </w:p>
    <w:p w14:paraId="1B8EB912" w14:textId="77777777" w:rsidR="007B5A6A" w:rsidRDefault="007B5A6A">
      <w:pPr>
        <w:pStyle w:val="Heading2"/>
        <w:spacing w:before="280" w:after="140"/>
        <w:rPr>
          <w:b/>
          <w:bCs/>
          <w:color w:val="1A1A1A"/>
        </w:rPr>
      </w:pPr>
    </w:p>
    <w:p w14:paraId="3A14AFF3" w14:textId="31D6E151" w:rsidR="009C283F" w:rsidRDefault="00000000">
      <w:pPr>
        <w:pStyle w:val="Heading2"/>
        <w:spacing w:before="280" w:after="140"/>
      </w:pPr>
      <w:proofErr w:type="gramStart"/>
      <w:r>
        <w:rPr>
          <w:b/>
          <w:bCs/>
          <w:color w:val="1A1A1A"/>
        </w:rPr>
        <w:lastRenderedPageBreak/>
        <w:t>5.1  Western</w:t>
      </w:r>
      <w:proofErr w:type="gramEnd"/>
      <w:r>
        <w:rPr>
          <w:b/>
          <w:bCs/>
          <w:color w:val="1A1A1A"/>
        </w:rPr>
        <w:t xml:space="preserve"> Core: High Walkability </w:t>
      </w:r>
      <w:proofErr w:type="gramStart"/>
      <w:r>
        <w:rPr>
          <w:b/>
          <w:bCs/>
          <w:color w:val="1A1A1A"/>
        </w:rPr>
        <w:t>Dominance  (</w:t>
      </w:r>
      <w:proofErr w:type="gramEnd"/>
      <w:r>
        <w:rPr>
          <w:b/>
          <w:bCs/>
          <w:color w:val="1A1A1A"/>
        </w:rPr>
        <w:t>70–100)</w:t>
      </w:r>
    </w:p>
    <w:p w14:paraId="46AEC5E2" w14:textId="77777777" w:rsidR="009C283F" w:rsidRDefault="00000000">
      <w:pPr>
        <w:pStyle w:val="ListParagraph"/>
        <w:numPr>
          <w:ilvl w:val="0"/>
          <w:numId w:val="3"/>
        </w:numPr>
        <w:spacing w:after="100" w:line="276" w:lineRule="auto"/>
        <w:jc w:val="both"/>
      </w:pPr>
      <w:r>
        <w:t xml:space="preserve">Precincts across </w:t>
      </w:r>
      <w:proofErr w:type="spellStart"/>
      <w:r>
        <w:t>Navrangpura</w:t>
      </w:r>
      <w:proofErr w:type="spellEnd"/>
      <w:r>
        <w:t xml:space="preserve">, </w:t>
      </w:r>
      <w:proofErr w:type="spellStart"/>
      <w:r>
        <w:t>Usmanpura</w:t>
      </w:r>
      <w:proofErr w:type="spellEnd"/>
      <w:r>
        <w:t xml:space="preserve">, </w:t>
      </w:r>
      <w:proofErr w:type="spellStart"/>
      <w:r>
        <w:t>Paldi</w:t>
      </w:r>
      <w:proofErr w:type="spellEnd"/>
      <w:r>
        <w:t xml:space="preserve">, and </w:t>
      </w:r>
      <w:proofErr w:type="spellStart"/>
      <w:r>
        <w:t>Ambawadi</w:t>
      </w:r>
      <w:proofErr w:type="spellEnd"/>
      <w:r>
        <w:t xml:space="preserve"> form a contiguous blue cluster (85–100 score).</w:t>
      </w:r>
    </w:p>
    <w:p w14:paraId="39EA4951" w14:textId="77777777" w:rsidR="009C283F" w:rsidRDefault="00000000">
      <w:pPr>
        <w:pStyle w:val="ListParagraph"/>
        <w:numPr>
          <w:ilvl w:val="0"/>
          <w:numId w:val="3"/>
        </w:numPr>
        <w:spacing w:after="100" w:line="276" w:lineRule="auto"/>
        <w:jc w:val="both"/>
      </w:pPr>
      <w:r>
        <w:rPr>
          <w:b/>
          <w:bCs/>
        </w:rPr>
        <w:t xml:space="preserve">Key Drivers: </w:t>
      </w:r>
      <w:r>
        <w:t>High street network connectivity, dense integration of commercial shopfronts along arterial corridors (C.G. Road, Ashram Road), well-spaced BRTS bus stops, and a high concentration of schools and private clinics.</w:t>
      </w:r>
    </w:p>
    <w:p w14:paraId="6C0B7693" w14:textId="77777777" w:rsidR="009C283F" w:rsidRDefault="00000000">
      <w:pPr>
        <w:pStyle w:val="Heading2"/>
        <w:spacing w:before="280" w:after="140"/>
      </w:pPr>
      <w:proofErr w:type="gramStart"/>
      <w:r>
        <w:rPr>
          <w:b/>
          <w:bCs/>
          <w:color w:val="1A1A1A"/>
        </w:rPr>
        <w:t xml:space="preserve">5.2  </w:t>
      </w:r>
      <w:proofErr w:type="spellStart"/>
      <w:r>
        <w:rPr>
          <w:b/>
          <w:bCs/>
          <w:color w:val="1A1A1A"/>
        </w:rPr>
        <w:t>Kankaria</w:t>
      </w:r>
      <w:proofErr w:type="spellEnd"/>
      <w:proofErr w:type="gramEnd"/>
      <w:r>
        <w:rPr>
          <w:b/>
          <w:bCs/>
          <w:color w:val="1A1A1A"/>
        </w:rPr>
        <w:t xml:space="preserve"> Lake Cluster: Secondary High-Access Node</w:t>
      </w:r>
    </w:p>
    <w:p w14:paraId="0ED0D08E" w14:textId="77777777" w:rsidR="009C283F" w:rsidRDefault="00000000">
      <w:pPr>
        <w:pStyle w:val="ListParagraph"/>
        <w:numPr>
          <w:ilvl w:val="0"/>
          <w:numId w:val="3"/>
        </w:numPr>
        <w:spacing w:after="100" w:line="276" w:lineRule="auto"/>
        <w:jc w:val="both"/>
      </w:pPr>
      <w:r>
        <w:t xml:space="preserve">A distinct southern cluster of high walkability (85–100, dark blue) appears surrounding </w:t>
      </w:r>
      <w:proofErr w:type="spellStart"/>
      <w:r>
        <w:t>Kankaria</w:t>
      </w:r>
      <w:proofErr w:type="spellEnd"/>
      <w:r>
        <w:t xml:space="preserve"> Lake, </w:t>
      </w:r>
      <w:proofErr w:type="spellStart"/>
      <w:r>
        <w:t>Rambaug</w:t>
      </w:r>
      <w:proofErr w:type="spellEnd"/>
      <w:r>
        <w:t xml:space="preserve">, and </w:t>
      </w:r>
      <w:proofErr w:type="spellStart"/>
      <w:r>
        <w:t>Khokhra</w:t>
      </w:r>
      <w:proofErr w:type="spellEnd"/>
      <w:r>
        <w:t>.</w:t>
      </w:r>
    </w:p>
    <w:p w14:paraId="7BDD8178" w14:textId="77777777" w:rsidR="009C283F" w:rsidRDefault="00000000">
      <w:pPr>
        <w:pStyle w:val="ListParagraph"/>
        <w:numPr>
          <w:ilvl w:val="0"/>
          <w:numId w:val="3"/>
        </w:numPr>
        <w:spacing w:after="100" w:line="276" w:lineRule="auto"/>
        <w:jc w:val="both"/>
      </w:pPr>
      <w:r>
        <w:rPr>
          <w:b/>
          <w:bCs/>
        </w:rPr>
        <w:t xml:space="preserve">Key Drivers: </w:t>
      </w:r>
      <w:r>
        <w:t xml:space="preserve">The recreational anchor of </w:t>
      </w:r>
      <w:proofErr w:type="spellStart"/>
      <w:r>
        <w:t>Kankaria</w:t>
      </w:r>
      <w:proofErr w:type="spellEnd"/>
      <w:r>
        <w:t xml:space="preserve"> Lake Park, combined with dense surrounding residential layout and transit stops, creates a highly self-contained 15-minute neighbourhood environment.</w:t>
      </w:r>
    </w:p>
    <w:p w14:paraId="7BBCC709" w14:textId="77777777" w:rsidR="009C283F" w:rsidRDefault="00000000">
      <w:pPr>
        <w:pStyle w:val="Heading2"/>
        <w:spacing w:before="280" w:after="140"/>
      </w:pPr>
      <w:proofErr w:type="gramStart"/>
      <w:r>
        <w:rPr>
          <w:b/>
          <w:bCs/>
          <w:color w:val="1A1A1A"/>
        </w:rPr>
        <w:t>5.3  Physical</w:t>
      </w:r>
      <w:proofErr w:type="gramEnd"/>
      <w:r>
        <w:rPr>
          <w:b/>
          <w:bCs/>
          <w:color w:val="1A1A1A"/>
        </w:rPr>
        <w:t xml:space="preserve"> Infrastructure Barriers &amp; Service Drops</w:t>
      </w:r>
    </w:p>
    <w:p w14:paraId="142C9A96" w14:textId="77777777" w:rsidR="009C283F" w:rsidRDefault="00000000">
      <w:pPr>
        <w:pStyle w:val="ListParagraph"/>
        <w:numPr>
          <w:ilvl w:val="0"/>
          <w:numId w:val="3"/>
        </w:numPr>
        <w:spacing w:after="100" w:line="276" w:lineRule="auto"/>
        <w:jc w:val="both"/>
      </w:pPr>
      <w:r>
        <w:rPr>
          <w:b/>
          <w:bCs/>
        </w:rPr>
        <w:t xml:space="preserve">Sabarmati River Bank Buffer: </w:t>
      </w:r>
      <w:r>
        <w:t>Linear bands of lower scores (0–45, red/orange) occur along portions of the immediate riverfront buffer, reflecting areas where non-pedestrian embankment zones disrupt continuous street grids.</w:t>
      </w:r>
    </w:p>
    <w:p w14:paraId="0E3318C7" w14:textId="77777777" w:rsidR="009C283F" w:rsidRDefault="00000000">
      <w:pPr>
        <w:pStyle w:val="ListParagraph"/>
        <w:numPr>
          <w:ilvl w:val="0"/>
          <w:numId w:val="3"/>
        </w:numPr>
        <w:spacing w:after="100" w:line="276" w:lineRule="auto"/>
        <w:jc w:val="both"/>
      </w:pPr>
      <w:r>
        <w:rPr>
          <w:b/>
          <w:bCs/>
        </w:rPr>
        <w:t xml:space="preserve">Central Railway Corridor Cut-off: </w:t>
      </w:r>
      <w:r>
        <w:t xml:space="preserve">A sharp vertical divide occurs along the north–south railway line passing east of the Old City (near </w:t>
      </w:r>
      <w:proofErr w:type="spellStart"/>
      <w:r>
        <w:t>Sarangpur</w:t>
      </w:r>
      <w:proofErr w:type="spellEnd"/>
      <w:r>
        <w:t xml:space="preserve">, </w:t>
      </w:r>
      <w:proofErr w:type="spellStart"/>
      <w:r>
        <w:t>Asarwa</w:t>
      </w:r>
      <w:proofErr w:type="spellEnd"/>
      <w:r>
        <w:t xml:space="preserve">, and </w:t>
      </w:r>
      <w:proofErr w:type="spellStart"/>
      <w:r>
        <w:t>Kankaria</w:t>
      </w:r>
      <w:proofErr w:type="spellEnd"/>
      <w:r>
        <w:t xml:space="preserve"> freight corridors). This rail line acts as a hard spatial severance barrier, causing adjacent hex cells to drop into the 0–15 (red) score range due to limited pedestrian underpasses and overbridges.</w:t>
      </w:r>
    </w:p>
    <w:p w14:paraId="594A4B2E" w14:textId="77777777" w:rsidR="009C283F" w:rsidRDefault="00000000">
      <w:pPr>
        <w:pStyle w:val="Heading2"/>
        <w:spacing w:before="280" w:after="140"/>
      </w:pPr>
      <w:proofErr w:type="gramStart"/>
      <w:r>
        <w:rPr>
          <w:b/>
          <w:bCs/>
          <w:color w:val="1A1A1A"/>
        </w:rPr>
        <w:t>5.4  Eastern</w:t>
      </w:r>
      <w:proofErr w:type="gramEnd"/>
      <w:r>
        <w:rPr>
          <w:b/>
          <w:bCs/>
          <w:color w:val="1A1A1A"/>
        </w:rPr>
        <w:t xml:space="preserve"> Periphery: Structural Accessibility </w:t>
      </w:r>
      <w:proofErr w:type="gramStart"/>
      <w:r>
        <w:rPr>
          <w:b/>
          <w:bCs/>
          <w:color w:val="1A1A1A"/>
        </w:rPr>
        <w:t>Deficit  (</w:t>
      </w:r>
      <w:proofErr w:type="gramEnd"/>
      <w:r>
        <w:rPr>
          <w:b/>
          <w:bCs/>
          <w:color w:val="1A1A1A"/>
        </w:rPr>
        <w:t>0–45)</w:t>
      </w:r>
    </w:p>
    <w:p w14:paraId="12330918" w14:textId="77777777" w:rsidR="009C283F" w:rsidRDefault="00000000">
      <w:pPr>
        <w:pStyle w:val="ListParagraph"/>
        <w:numPr>
          <w:ilvl w:val="0"/>
          <w:numId w:val="3"/>
        </w:numPr>
        <w:spacing w:after="100" w:line="276" w:lineRule="auto"/>
        <w:jc w:val="both"/>
      </w:pPr>
      <w:r>
        <w:t xml:space="preserve">Moving eastward toward </w:t>
      </w:r>
      <w:proofErr w:type="spellStart"/>
      <w:r>
        <w:t>Asarwa</w:t>
      </w:r>
      <w:proofErr w:type="spellEnd"/>
      <w:r>
        <w:t xml:space="preserve">, </w:t>
      </w:r>
      <w:proofErr w:type="spellStart"/>
      <w:r>
        <w:t>Gomtipur</w:t>
      </w:r>
      <w:proofErr w:type="spellEnd"/>
      <w:r>
        <w:t xml:space="preserve">, Rajpur </w:t>
      </w:r>
      <w:proofErr w:type="spellStart"/>
      <w:r>
        <w:t>Gomtipur</w:t>
      </w:r>
      <w:proofErr w:type="spellEnd"/>
      <w:r>
        <w:t xml:space="preserve">, and </w:t>
      </w:r>
      <w:proofErr w:type="spellStart"/>
      <w:r>
        <w:t>Amraiwadi</w:t>
      </w:r>
      <w:proofErr w:type="spellEnd"/>
      <w:r>
        <w:t>, large continuous spatial blocks turn orange and red (0–45 score).</w:t>
      </w:r>
    </w:p>
    <w:p w14:paraId="4AF087FA" w14:textId="77777777" w:rsidR="009C283F" w:rsidRDefault="00000000">
      <w:pPr>
        <w:pStyle w:val="ListParagraph"/>
        <w:numPr>
          <w:ilvl w:val="0"/>
          <w:numId w:val="3"/>
        </w:numPr>
        <w:spacing w:after="100" w:line="276" w:lineRule="auto"/>
        <w:jc w:val="both"/>
      </w:pPr>
      <w:r>
        <w:rPr>
          <w:b/>
          <w:bCs/>
        </w:rPr>
        <w:t xml:space="preserve">Key Drivers: </w:t>
      </w:r>
      <w:r>
        <w:t>Industrial land-use legacy, wider block structures, lower density of formal public parks, and fragmented pedestrian infrastructure.</w:t>
      </w:r>
    </w:p>
    <w:p w14:paraId="40BE6204" w14:textId="77777777" w:rsidR="007B5A6A" w:rsidRDefault="007B5A6A">
      <w:pPr>
        <w:pStyle w:val="Heading1"/>
        <w:pBdr>
          <w:bottom w:val="single" w:sz="6" w:space="4" w:color="1F1F1F"/>
        </w:pBdr>
        <w:spacing w:before="380" w:after="200"/>
        <w:rPr>
          <w:b/>
          <w:bCs/>
          <w:color w:val="1A1A1A"/>
          <w:sz w:val="30"/>
          <w:szCs w:val="30"/>
        </w:rPr>
      </w:pPr>
    </w:p>
    <w:p w14:paraId="6D3E464F" w14:textId="77777777" w:rsidR="007B5A6A" w:rsidRDefault="007B5A6A">
      <w:pPr>
        <w:pStyle w:val="Heading1"/>
        <w:pBdr>
          <w:bottom w:val="single" w:sz="6" w:space="4" w:color="1F1F1F"/>
        </w:pBdr>
        <w:spacing w:before="380" w:after="200"/>
        <w:rPr>
          <w:b/>
          <w:bCs/>
          <w:color w:val="1A1A1A"/>
          <w:sz w:val="30"/>
          <w:szCs w:val="30"/>
        </w:rPr>
      </w:pPr>
    </w:p>
    <w:p w14:paraId="18227691" w14:textId="77777777" w:rsidR="007B5A6A" w:rsidRDefault="007B5A6A">
      <w:pPr>
        <w:pStyle w:val="Heading1"/>
        <w:pBdr>
          <w:bottom w:val="single" w:sz="6" w:space="4" w:color="1F1F1F"/>
        </w:pBdr>
        <w:spacing w:before="380" w:after="200"/>
        <w:rPr>
          <w:b/>
          <w:bCs/>
          <w:color w:val="1A1A1A"/>
          <w:sz w:val="30"/>
          <w:szCs w:val="30"/>
        </w:rPr>
      </w:pPr>
    </w:p>
    <w:p w14:paraId="0459C036" w14:textId="77777777" w:rsidR="007B5A6A" w:rsidRDefault="007B5A6A">
      <w:pPr>
        <w:pStyle w:val="Heading1"/>
        <w:pBdr>
          <w:bottom w:val="single" w:sz="6" w:space="4" w:color="1F1F1F"/>
        </w:pBdr>
        <w:spacing w:before="380" w:after="200"/>
        <w:rPr>
          <w:b/>
          <w:bCs/>
          <w:color w:val="1A1A1A"/>
          <w:sz w:val="30"/>
          <w:szCs w:val="30"/>
        </w:rPr>
      </w:pPr>
    </w:p>
    <w:p w14:paraId="089D6CBF" w14:textId="7D2B61F4" w:rsidR="009C283F" w:rsidRDefault="00000000">
      <w:pPr>
        <w:pStyle w:val="Heading1"/>
        <w:pBdr>
          <w:bottom w:val="single" w:sz="6" w:space="4" w:color="1F1F1F"/>
        </w:pBdr>
        <w:spacing w:before="380" w:after="200"/>
      </w:pPr>
      <w:r>
        <w:rPr>
          <w:b/>
          <w:bCs/>
          <w:color w:val="1A1A1A"/>
          <w:sz w:val="30"/>
          <w:szCs w:val="30"/>
        </w:rPr>
        <w:lastRenderedPageBreak/>
        <w:t>6. Urban Policy &amp; Planning Recommendations</w:t>
      </w:r>
    </w:p>
    <w:p w14:paraId="1A619695" w14:textId="77777777" w:rsidR="009C283F" w:rsidRDefault="00000000">
      <w:pPr>
        <w:pStyle w:val="ListParagraph"/>
        <w:numPr>
          <w:ilvl w:val="0"/>
          <w:numId w:val="5"/>
        </w:numPr>
        <w:spacing w:after="140" w:line="276" w:lineRule="auto"/>
        <w:jc w:val="both"/>
      </w:pPr>
      <w:r>
        <w:rPr>
          <w:b/>
          <w:bCs/>
        </w:rPr>
        <w:t>Pedestrian Rail Crossings (Bridging the Railway Severance)</w:t>
      </w:r>
    </w:p>
    <w:p w14:paraId="2CDA98A3" w14:textId="77777777" w:rsidR="009C283F" w:rsidRDefault="00000000">
      <w:pPr>
        <w:pStyle w:val="ListParagraph"/>
        <w:numPr>
          <w:ilvl w:val="1"/>
          <w:numId w:val="3"/>
        </w:numPr>
        <w:spacing w:after="100" w:line="276" w:lineRule="auto"/>
        <w:jc w:val="both"/>
      </w:pPr>
      <w:r>
        <w:rPr>
          <w:b/>
          <w:bCs/>
        </w:rPr>
        <w:t xml:space="preserve">Issue: </w:t>
      </w:r>
      <w:r>
        <w:t xml:space="preserve">High walkability drops drastically around rail tracks near </w:t>
      </w:r>
      <w:proofErr w:type="spellStart"/>
      <w:r>
        <w:t>Asarwa</w:t>
      </w:r>
      <w:proofErr w:type="spellEnd"/>
      <w:r>
        <w:t xml:space="preserve"> and </w:t>
      </w:r>
      <w:proofErr w:type="spellStart"/>
      <w:r>
        <w:t>Sarangpur</w:t>
      </w:r>
      <w:proofErr w:type="spellEnd"/>
      <w:r>
        <w:t>.</w:t>
      </w:r>
    </w:p>
    <w:p w14:paraId="591E7C21" w14:textId="77777777" w:rsidR="009C283F" w:rsidRDefault="00000000">
      <w:pPr>
        <w:pStyle w:val="ListParagraph"/>
        <w:numPr>
          <w:ilvl w:val="1"/>
          <w:numId w:val="3"/>
        </w:numPr>
        <w:spacing w:after="100" w:line="276" w:lineRule="auto"/>
        <w:jc w:val="both"/>
      </w:pPr>
      <w:r>
        <w:rPr>
          <w:b/>
          <w:bCs/>
        </w:rPr>
        <w:t xml:space="preserve">Action: </w:t>
      </w:r>
      <w:r>
        <w:t>Construct dedicated, well-lit pedestrian foot overbridges (FOBs) and underpasses at key severance points along the rail corridor to restore continuous pedestrian connectivity between the Old City and eastern precincts.</w:t>
      </w:r>
    </w:p>
    <w:p w14:paraId="018CF2CE" w14:textId="77777777" w:rsidR="009C283F" w:rsidRDefault="00000000">
      <w:pPr>
        <w:pStyle w:val="ListParagraph"/>
        <w:numPr>
          <w:ilvl w:val="0"/>
          <w:numId w:val="5"/>
        </w:numPr>
        <w:spacing w:after="140" w:line="276" w:lineRule="auto"/>
        <w:jc w:val="both"/>
      </w:pPr>
      <w:r>
        <w:rPr>
          <w:b/>
          <w:bCs/>
        </w:rPr>
        <w:t>Riverfront Pedestrian Permeability</w:t>
      </w:r>
    </w:p>
    <w:p w14:paraId="174B8322" w14:textId="77777777" w:rsidR="009C283F" w:rsidRDefault="00000000">
      <w:pPr>
        <w:pStyle w:val="ListParagraph"/>
        <w:numPr>
          <w:ilvl w:val="1"/>
          <w:numId w:val="3"/>
        </w:numPr>
        <w:spacing w:after="100" w:line="276" w:lineRule="auto"/>
        <w:jc w:val="both"/>
      </w:pPr>
      <w:r>
        <w:rPr>
          <w:b/>
          <w:bCs/>
        </w:rPr>
        <w:t xml:space="preserve">Issue: </w:t>
      </w:r>
      <w:r>
        <w:t>Linear bands of low walkability occur along the immediate Sabarmati riverfront buffer, where embankment infrastructure interrupts continuous street grids and forces long detours to reach the opposite bank.</w:t>
      </w:r>
    </w:p>
    <w:p w14:paraId="46F26EF7" w14:textId="77777777" w:rsidR="009C283F" w:rsidRDefault="00000000">
      <w:pPr>
        <w:pStyle w:val="ListParagraph"/>
        <w:numPr>
          <w:ilvl w:val="1"/>
          <w:numId w:val="3"/>
        </w:numPr>
        <w:spacing w:after="100" w:line="276" w:lineRule="auto"/>
        <w:jc w:val="both"/>
      </w:pPr>
      <w:r>
        <w:rPr>
          <w:b/>
          <w:bCs/>
        </w:rPr>
        <w:t xml:space="preserve">Action: </w:t>
      </w:r>
      <w:r>
        <w:t>Increase the frequency of at-grade pedestrian access points and signalised crossings along the Riverfront corridor, and extend the existing Riverfront promenade network with direct links into adjoining residential lanes rather than routing pedestrians onto arterial bridge carriageways.</w:t>
      </w:r>
    </w:p>
    <w:p w14:paraId="5D97E73D" w14:textId="77777777" w:rsidR="009C283F" w:rsidRDefault="00000000">
      <w:pPr>
        <w:pStyle w:val="ListParagraph"/>
        <w:numPr>
          <w:ilvl w:val="0"/>
          <w:numId w:val="5"/>
        </w:numPr>
        <w:spacing w:after="140" w:line="276" w:lineRule="auto"/>
        <w:jc w:val="both"/>
      </w:pPr>
      <w:r>
        <w:rPr>
          <w:b/>
          <w:bCs/>
        </w:rPr>
        <w:t xml:space="preserve">Replicating the </w:t>
      </w:r>
      <w:proofErr w:type="spellStart"/>
      <w:r>
        <w:rPr>
          <w:b/>
          <w:bCs/>
        </w:rPr>
        <w:t>Kankaria</w:t>
      </w:r>
      <w:proofErr w:type="spellEnd"/>
      <w:r>
        <w:rPr>
          <w:b/>
          <w:bCs/>
        </w:rPr>
        <w:t xml:space="preserve"> Neighbourhood-Anchor Model</w:t>
      </w:r>
    </w:p>
    <w:p w14:paraId="278EE7BA" w14:textId="77777777" w:rsidR="009C283F" w:rsidRDefault="00000000">
      <w:pPr>
        <w:pStyle w:val="ListParagraph"/>
        <w:numPr>
          <w:ilvl w:val="1"/>
          <w:numId w:val="3"/>
        </w:numPr>
        <w:spacing w:after="100" w:line="276" w:lineRule="auto"/>
        <w:jc w:val="both"/>
      </w:pPr>
      <w:r>
        <w:rPr>
          <w:b/>
          <w:bCs/>
        </w:rPr>
        <w:t xml:space="preserve">Issue: </w:t>
      </w:r>
      <w:r>
        <w:t xml:space="preserve">High-walkability clusters in this study are consistently anchored by a single strong multi-purpose destination (a park, lake, or institutional cluster) surrounded by fine-grain residential streets, as seen at </w:t>
      </w:r>
      <w:proofErr w:type="spellStart"/>
      <w:r>
        <w:t>Kankaria</w:t>
      </w:r>
      <w:proofErr w:type="spellEnd"/>
      <w:r>
        <w:t xml:space="preserve"> Lake.</w:t>
      </w:r>
    </w:p>
    <w:p w14:paraId="305C98DF" w14:textId="77777777" w:rsidR="009C283F" w:rsidRDefault="00000000">
      <w:pPr>
        <w:pStyle w:val="ListParagraph"/>
        <w:numPr>
          <w:ilvl w:val="1"/>
          <w:numId w:val="3"/>
        </w:numPr>
        <w:spacing w:after="100" w:line="276" w:lineRule="auto"/>
        <w:jc w:val="both"/>
      </w:pPr>
      <w:r>
        <w:rPr>
          <w:b/>
          <w:bCs/>
        </w:rPr>
        <w:t xml:space="preserve">Action: </w:t>
      </w:r>
      <w:r>
        <w:t>Identify under-served hex cells in the 45–70 range that sit near an existing but under-utilised open space or public building, and prioritise these sites for small-scale park development, market upgrades, or community health posts to create new neighbourhood anchors at minimal land-acquisition cost.</w:t>
      </w:r>
    </w:p>
    <w:p w14:paraId="6B6175BB" w14:textId="77777777" w:rsidR="009C283F" w:rsidRDefault="00000000">
      <w:pPr>
        <w:pStyle w:val="ListParagraph"/>
        <w:numPr>
          <w:ilvl w:val="0"/>
          <w:numId w:val="5"/>
        </w:numPr>
        <w:spacing w:after="140" w:line="276" w:lineRule="auto"/>
        <w:jc w:val="both"/>
      </w:pPr>
      <w:r>
        <w:rPr>
          <w:b/>
          <w:bCs/>
        </w:rPr>
        <w:t>Eastern Periphery Amenity Densification</w:t>
      </w:r>
    </w:p>
    <w:p w14:paraId="14EE7528" w14:textId="77777777" w:rsidR="009C283F" w:rsidRDefault="00000000">
      <w:pPr>
        <w:pStyle w:val="ListParagraph"/>
        <w:numPr>
          <w:ilvl w:val="1"/>
          <w:numId w:val="3"/>
        </w:numPr>
        <w:spacing w:after="100" w:line="276" w:lineRule="auto"/>
        <w:jc w:val="both"/>
      </w:pPr>
      <w:r>
        <w:rPr>
          <w:b/>
          <w:bCs/>
        </w:rPr>
        <w:t xml:space="preserve">Issue: </w:t>
      </w:r>
      <w:proofErr w:type="spellStart"/>
      <w:r>
        <w:t>Asarwa</w:t>
      </w:r>
      <w:proofErr w:type="spellEnd"/>
      <w:r>
        <w:t xml:space="preserve">, </w:t>
      </w:r>
      <w:proofErr w:type="spellStart"/>
      <w:r>
        <w:t>Gomtipur</w:t>
      </w:r>
      <w:proofErr w:type="spellEnd"/>
      <w:r>
        <w:t xml:space="preserve">, Rajpur </w:t>
      </w:r>
      <w:proofErr w:type="spellStart"/>
      <w:r>
        <w:t>Gomtipur</w:t>
      </w:r>
      <w:proofErr w:type="spellEnd"/>
      <w:r>
        <w:t xml:space="preserve">, and </w:t>
      </w:r>
      <w:proofErr w:type="spellStart"/>
      <w:r>
        <w:t>Amraiwadi</w:t>
      </w:r>
      <w:proofErr w:type="spellEnd"/>
      <w:r>
        <w:t xml:space="preserve"> show large contiguous zones of critical walkability deficit, driven by industrial land-use legacy, wide block structures, and a shortage of schools, clinics, and formal parks.</w:t>
      </w:r>
    </w:p>
    <w:p w14:paraId="1B113A81" w14:textId="77777777" w:rsidR="009C283F" w:rsidRDefault="00000000">
      <w:pPr>
        <w:pStyle w:val="ListParagraph"/>
        <w:numPr>
          <w:ilvl w:val="1"/>
          <w:numId w:val="3"/>
        </w:numPr>
        <w:spacing w:after="100" w:line="276" w:lineRule="auto"/>
        <w:jc w:val="both"/>
      </w:pPr>
      <w:r>
        <w:rPr>
          <w:b/>
          <w:bCs/>
        </w:rPr>
        <w:t xml:space="preserve">Action: </w:t>
      </w:r>
      <w:r>
        <w:t>Direct municipal capital works and public–private incentive schemes toward infill healthcare posts, primary schools, and pocket parks in these wards, prioritised using the WALK_INDEX raster to target the lowest-scoring hex cells first for maximum marginal accessibility gain per rupee invested.</w:t>
      </w:r>
    </w:p>
    <w:p w14:paraId="7EFE1876" w14:textId="77777777" w:rsidR="009C283F" w:rsidRDefault="00000000">
      <w:pPr>
        <w:pStyle w:val="ListParagraph"/>
        <w:numPr>
          <w:ilvl w:val="0"/>
          <w:numId w:val="5"/>
        </w:numPr>
        <w:spacing w:after="140" w:line="276" w:lineRule="auto"/>
        <w:jc w:val="both"/>
      </w:pPr>
      <w:r>
        <w:rPr>
          <w:b/>
          <w:bCs/>
        </w:rPr>
        <w:t>Last-Mile Transit Extension to Peripheral Wards</w:t>
      </w:r>
    </w:p>
    <w:p w14:paraId="74FD7082" w14:textId="77777777" w:rsidR="009C283F" w:rsidRDefault="00000000">
      <w:pPr>
        <w:pStyle w:val="ListParagraph"/>
        <w:numPr>
          <w:ilvl w:val="1"/>
          <w:numId w:val="3"/>
        </w:numPr>
        <w:spacing w:after="100" w:line="276" w:lineRule="auto"/>
        <w:jc w:val="both"/>
      </w:pPr>
      <w:r>
        <w:rPr>
          <w:b/>
          <w:bCs/>
        </w:rPr>
        <w:t xml:space="preserve">Issue: </w:t>
      </w:r>
      <w:r>
        <w:t>The 15-minute transit catchment thins sharply beyond the BRTS/AMTS-dense western core, leaving eastern and peripheral wards reliant on longer, unshaded walks to the nearest stop.</w:t>
      </w:r>
    </w:p>
    <w:p w14:paraId="39D21EFE" w14:textId="77777777" w:rsidR="009C283F" w:rsidRDefault="00000000">
      <w:pPr>
        <w:pStyle w:val="ListParagraph"/>
        <w:numPr>
          <w:ilvl w:val="1"/>
          <w:numId w:val="3"/>
        </w:numPr>
        <w:spacing w:after="100" w:line="276" w:lineRule="auto"/>
        <w:jc w:val="both"/>
      </w:pPr>
      <w:r>
        <w:rPr>
          <w:b/>
          <w:bCs/>
        </w:rPr>
        <w:lastRenderedPageBreak/>
        <w:t xml:space="preserve">Action: </w:t>
      </w:r>
      <w:r>
        <w:t>Extend feeder bus or shared-mobility routes into the 0–45 scoring zones identified in Section 5.4, and pair new stops with shaded, paved footpath connections to nearby residential lanes so that transit access translates into genuine walkable coverage rather than isolated stops.</w:t>
      </w:r>
    </w:p>
    <w:p w14:paraId="4CFBC22D" w14:textId="77777777" w:rsidR="009C283F" w:rsidRDefault="00000000">
      <w:pPr>
        <w:pStyle w:val="Heading1"/>
        <w:pBdr>
          <w:bottom w:val="single" w:sz="6" w:space="4" w:color="1F1F1F"/>
        </w:pBdr>
        <w:spacing w:before="380" w:after="200"/>
      </w:pPr>
      <w:r>
        <w:rPr>
          <w:b/>
          <w:bCs/>
          <w:color w:val="1A1A1A"/>
          <w:sz w:val="30"/>
          <w:szCs w:val="30"/>
        </w:rPr>
        <w:t>7. References</w:t>
      </w:r>
    </w:p>
    <w:p w14:paraId="71551242" w14:textId="77777777" w:rsidR="009C283F" w:rsidRDefault="00000000">
      <w:pPr>
        <w:spacing w:after="200" w:line="264" w:lineRule="auto"/>
        <w:ind w:left="460" w:hanging="460"/>
      </w:pPr>
      <w:r>
        <w:rPr>
          <w:sz w:val="22"/>
          <w:szCs w:val="22"/>
        </w:rPr>
        <w:t xml:space="preserve">Moreno, C., Allam, Z., Chabaud, D., Gall, C., &amp; </w:t>
      </w:r>
      <w:proofErr w:type="spellStart"/>
      <w:r>
        <w:rPr>
          <w:sz w:val="22"/>
          <w:szCs w:val="22"/>
        </w:rPr>
        <w:t>Pratlong</w:t>
      </w:r>
      <w:proofErr w:type="spellEnd"/>
      <w:r>
        <w:rPr>
          <w:sz w:val="22"/>
          <w:szCs w:val="22"/>
        </w:rPr>
        <w:t>, F. (2021). Introducing the “15-Minute City”: Sustainability, resilience and place identity in future post-pandemic cities. Smart Cities, 4(1), 93–111.</w:t>
      </w:r>
    </w:p>
    <w:p w14:paraId="67AA6CFA" w14:textId="77777777" w:rsidR="009C283F" w:rsidRDefault="00000000">
      <w:pPr>
        <w:spacing w:after="200" w:line="264" w:lineRule="auto"/>
        <w:ind w:left="460" w:hanging="460"/>
      </w:pPr>
      <w:r>
        <w:rPr>
          <w:sz w:val="22"/>
          <w:szCs w:val="22"/>
        </w:rPr>
        <w:t>C40 Cities Climate Leadership Group. (2020). How to Build Back Better with a 15-Minute City. C40 Knowledge Hub.</w:t>
      </w:r>
    </w:p>
    <w:p w14:paraId="1023AE88" w14:textId="77777777" w:rsidR="009C283F" w:rsidRDefault="00000000">
      <w:pPr>
        <w:spacing w:after="200" w:line="264" w:lineRule="auto"/>
        <w:ind w:left="460" w:hanging="460"/>
      </w:pPr>
      <w:r>
        <w:rPr>
          <w:sz w:val="22"/>
          <w:szCs w:val="22"/>
        </w:rPr>
        <w:t>Institute for Transportation and Development Policy (ITDP). Pedestrians First: Tools for a Walkable City.</w:t>
      </w:r>
    </w:p>
    <w:p w14:paraId="43EB469C" w14:textId="77777777" w:rsidR="009C283F" w:rsidRDefault="00000000">
      <w:pPr>
        <w:spacing w:after="200" w:line="264" w:lineRule="auto"/>
        <w:ind w:left="460" w:hanging="460"/>
      </w:pPr>
      <w:r>
        <w:rPr>
          <w:sz w:val="22"/>
          <w:szCs w:val="22"/>
        </w:rPr>
        <w:t xml:space="preserve">OpenStreetMap Contributors. (2026). OpenStreetMap [Vector and raster basemap data]. Retrieved via the </w:t>
      </w:r>
      <w:proofErr w:type="spellStart"/>
      <w:r>
        <w:rPr>
          <w:sz w:val="22"/>
          <w:szCs w:val="22"/>
        </w:rPr>
        <w:t>QuickOSM</w:t>
      </w:r>
      <w:proofErr w:type="spellEnd"/>
      <w:r>
        <w:rPr>
          <w:sz w:val="22"/>
          <w:szCs w:val="22"/>
        </w:rPr>
        <w:t xml:space="preserve"> plugin. https://www.openstreetmap.org</w:t>
      </w:r>
    </w:p>
    <w:p w14:paraId="3400B925" w14:textId="77777777" w:rsidR="009C283F" w:rsidRDefault="00000000">
      <w:pPr>
        <w:spacing w:after="200" w:line="264" w:lineRule="auto"/>
        <w:ind w:left="460" w:hanging="460"/>
      </w:pPr>
      <w:r>
        <w:rPr>
          <w:sz w:val="22"/>
          <w:szCs w:val="22"/>
        </w:rPr>
        <w:t>QGIS Development Team. (2026). QGIS Geographic Information System, Version 3.x. QGIS Association. https://qgis.org</w:t>
      </w:r>
    </w:p>
    <w:p w14:paraId="1ACB9E8E" w14:textId="77777777" w:rsidR="009C283F" w:rsidRDefault="00000000">
      <w:pPr>
        <w:spacing w:after="200" w:line="264" w:lineRule="auto"/>
        <w:ind w:left="460" w:hanging="460"/>
      </w:pPr>
      <w:proofErr w:type="spellStart"/>
      <w:r>
        <w:rPr>
          <w:sz w:val="22"/>
          <w:szCs w:val="22"/>
        </w:rPr>
        <w:t>QuickOSM</w:t>
      </w:r>
      <w:proofErr w:type="spellEnd"/>
      <w:r>
        <w:rPr>
          <w:sz w:val="22"/>
          <w:szCs w:val="22"/>
        </w:rPr>
        <w:t xml:space="preserve"> Plugin Documentation. QGIS Python Plugins Repository. https://plugins.qgis.org/plugins/QuickOSM/</w:t>
      </w:r>
    </w:p>
    <w:p w14:paraId="108E6676" w14:textId="77777777" w:rsidR="009C283F" w:rsidRDefault="00000000">
      <w:pPr>
        <w:spacing w:after="200" w:line="264" w:lineRule="auto"/>
        <w:ind w:left="460" w:hanging="460"/>
      </w:pPr>
      <w:r>
        <w:rPr>
          <w:sz w:val="22"/>
          <w:szCs w:val="22"/>
        </w:rPr>
        <w:t>Ahmedabad Municipal Corporation (AMC) &amp; Ahmedabad Urban Development Authority (AUDA). Municipal ward boundary and land-use reference data.</w:t>
      </w:r>
    </w:p>
    <w:sectPr w:rsidR="009C283F">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42C09E" w14:textId="77777777" w:rsidR="00165CBC" w:rsidRDefault="00165CBC">
      <w:r>
        <w:separator/>
      </w:r>
    </w:p>
  </w:endnote>
  <w:endnote w:type="continuationSeparator" w:id="0">
    <w:p w14:paraId="623D4474" w14:textId="77777777" w:rsidR="00165CBC" w:rsidRDefault="00165C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7D1B7" w14:textId="77777777" w:rsidR="009C283F" w:rsidRDefault="00000000">
    <w:pP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7B5A6A">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3FAD60" w14:textId="77777777" w:rsidR="00165CBC" w:rsidRDefault="00165CBC">
      <w:r>
        <w:separator/>
      </w:r>
    </w:p>
  </w:footnote>
  <w:footnote w:type="continuationSeparator" w:id="0">
    <w:p w14:paraId="0578CA77" w14:textId="77777777" w:rsidR="00165CBC" w:rsidRDefault="00165C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14D6F" w14:textId="77777777" w:rsidR="009C283F" w:rsidRDefault="00000000">
    <w:pPr>
      <w:pBdr>
        <w:bottom w:val="single" w:sz="4" w:space="4" w:color="999999"/>
      </w:pBdr>
      <w:jc w:val="right"/>
    </w:pPr>
    <w:r>
      <w:rPr>
        <w:i/>
        <w:iCs/>
        <w:color w:val="666666"/>
        <w:sz w:val="16"/>
        <w:szCs w:val="16"/>
      </w:rPr>
      <w:t>15-Minute City Walkability Index — Central Ahmedabad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753946"/>
    <w:multiLevelType w:val="hybridMultilevel"/>
    <w:tmpl w:val="D5E64F00"/>
    <w:lvl w:ilvl="0" w:tplc="49827192">
      <w:start w:val="1"/>
      <w:numFmt w:val="decimal"/>
      <w:lvlText w:val="%1."/>
      <w:lvlJc w:val="left"/>
      <w:pPr>
        <w:ind w:left="460" w:hanging="300"/>
      </w:pPr>
    </w:lvl>
    <w:lvl w:ilvl="1" w:tplc="70B2CF9C">
      <w:numFmt w:val="decimal"/>
      <w:lvlText w:val=""/>
      <w:lvlJc w:val="left"/>
    </w:lvl>
    <w:lvl w:ilvl="2" w:tplc="3A3C8B6E">
      <w:numFmt w:val="decimal"/>
      <w:lvlText w:val=""/>
      <w:lvlJc w:val="left"/>
    </w:lvl>
    <w:lvl w:ilvl="3" w:tplc="98522F50">
      <w:numFmt w:val="decimal"/>
      <w:lvlText w:val=""/>
      <w:lvlJc w:val="left"/>
    </w:lvl>
    <w:lvl w:ilvl="4" w:tplc="5538CEA8">
      <w:numFmt w:val="decimal"/>
      <w:lvlText w:val=""/>
      <w:lvlJc w:val="left"/>
    </w:lvl>
    <w:lvl w:ilvl="5" w:tplc="98DE0016">
      <w:numFmt w:val="decimal"/>
      <w:lvlText w:val=""/>
      <w:lvlJc w:val="left"/>
    </w:lvl>
    <w:lvl w:ilvl="6" w:tplc="BDA880C2">
      <w:numFmt w:val="decimal"/>
      <w:lvlText w:val=""/>
      <w:lvlJc w:val="left"/>
    </w:lvl>
    <w:lvl w:ilvl="7" w:tplc="155E32BA">
      <w:numFmt w:val="decimal"/>
      <w:lvlText w:val=""/>
      <w:lvlJc w:val="left"/>
    </w:lvl>
    <w:lvl w:ilvl="8" w:tplc="523C27A0">
      <w:numFmt w:val="decimal"/>
      <w:lvlText w:val=""/>
      <w:lvlJc w:val="left"/>
    </w:lvl>
  </w:abstractNum>
  <w:abstractNum w:abstractNumId="1" w15:restartNumberingAfterBreak="0">
    <w:nsid w:val="5B633FA1"/>
    <w:multiLevelType w:val="hybridMultilevel"/>
    <w:tmpl w:val="8F448DFC"/>
    <w:lvl w:ilvl="0" w:tplc="99B2BAA8">
      <w:start w:val="1"/>
      <w:numFmt w:val="bullet"/>
      <w:lvlText w:val="•"/>
      <w:lvlJc w:val="left"/>
      <w:pPr>
        <w:ind w:left="460" w:hanging="260"/>
      </w:pPr>
    </w:lvl>
    <w:lvl w:ilvl="1" w:tplc="5D12DC0C">
      <w:numFmt w:val="decimal"/>
      <w:lvlText w:val=""/>
      <w:lvlJc w:val="left"/>
    </w:lvl>
    <w:lvl w:ilvl="2" w:tplc="32E840CE">
      <w:numFmt w:val="decimal"/>
      <w:lvlText w:val=""/>
      <w:lvlJc w:val="left"/>
    </w:lvl>
    <w:lvl w:ilvl="3" w:tplc="AD785398">
      <w:numFmt w:val="decimal"/>
      <w:lvlText w:val=""/>
      <w:lvlJc w:val="left"/>
    </w:lvl>
    <w:lvl w:ilvl="4" w:tplc="7A2A06B8">
      <w:numFmt w:val="decimal"/>
      <w:lvlText w:val=""/>
      <w:lvlJc w:val="left"/>
    </w:lvl>
    <w:lvl w:ilvl="5" w:tplc="FE4C6648">
      <w:numFmt w:val="decimal"/>
      <w:lvlText w:val=""/>
      <w:lvlJc w:val="left"/>
    </w:lvl>
    <w:lvl w:ilvl="6" w:tplc="5EBA9E24">
      <w:numFmt w:val="decimal"/>
      <w:lvlText w:val=""/>
      <w:lvlJc w:val="left"/>
    </w:lvl>
    <w:lvl w:ilvl="7" w:tplc="45EA7E34">
      <w:numFmt w:val="decimal"/>
      <w:lvlText w:val=""/>
      <w:lvlJc w:val="left"/>
    </w:lvl>
    <w:lvl w:ilvl="8" w:tplc="36280EC6">
      <w:numFmt w:val="decimal"/>
      <w:lvlText w:val=""/>
      <w:lvlJc w:val="left"/>
    </w:lvl>
  </w:abstractNum>
  <w:abstractNum w:abstractNumId="2" w15:restartNumberingAfterBreak="0">
    <w:nsid w:val="64C0595C"/>
    <w:multiLevelType w:val="hybridMultilevel"/>
    <w:tmpl w:val="EA2882F2"/>
    <w:lvl w:ilvl="0" w:tplc="E7206E76">
      <w:start w:val="1"/>
      <w:numFmt w:val="bullet"/>
      <w:lvlText w:val="●"/>
      <w:lvlJc w:val="left"/>
      <w:pPr>
        <w:ind w:left="720" w:hanging="360"/>
      </w:pPr>
    </w:lvl>
    <w:lvl w:ilvl="1" w:tplc="000657D0">
      <w:start w:val="1"/>
      <w:numFmt w:val="bullet"/>
      <w:lvlText w:val="○"/>
      <w:lvlJc w:val="left"/>
      <w:pPr>
        <w:ind w:left="1440" w:hanging="360"/>
      </w:pPr>
    </w:lvl>
    <w:lvl w:ilvl="2" w:tplc="4002F3D0">
      <w:start w:val="1"/>
      <w:numFmt w:val="bullet"/>
      <w:lvlText w:val="■"/>
      <w:lvlJc w:val="left"/>
      <w:pPr>
        <w:ind w:left="2160" w:hanging="360"/>
      </w:pPr>
    </w:lvl>
    <w:lvl w:ilvl="3" w:tplc="076E544C">
      <w:start w:val="1"/>
      <w:numFmt w:val="bullet"/>
      <w:lvlText w:val="●"/>
      <w:lvlJc w:val="left"/>
      <w:pPr>
        <w:ind w:left="2880" w:hanging="360"/>
      </w:pPr>
    </w:lvl>
    <w:lvl w:ilvl="4" w:tplc="66F0A346">
      <w:start w:val="1"/>
      <w:numFmt w:val="bullet"/>
      <w:lvlText w:val="○"/>
      <w:lvlJc w:val="left"/>
      <w:pPr>
        <w:ind w:left="3600" w:hanging="360"/>
      </w:pPr>
    </w:lvl>
    <w:lvl w:ilvl="5" w:tplc="1BFAB5AC">
      <w:start w:val="1"/>
      <w:numFmt w:val="bullet"/>
      <w:lvlText w:val="■"/>
      <w:lvlJc w:val="left"/>
      <w:pPr>
        <w:ind w:left="4320" w:hanging="360"/>
      </w:pPr>
    </w:lvl>
    <w:lvl w:ilvl="6" w:tplc="2640D120">
      <w:start w:val="1"/>
      <w:numFmt w:val="bullet"/>
      <w:lvlText w:val="●"/>
      <w:lvlJc w:val="left"/>
      <w:pPr>
        <w:ind w:left="5040" w:hanging="360"/>
      </w:pPr>
    </w:lvl>
    <w:lvl w:ilvl="7" w:tplc="3162F2F4">
      <w:start w:val="1"/>
      <w:numFmt w:val="bullet"/>
      <w:lvlText w:val="●"/>
      <w:lvlJc w:val="left"/>
      <w:pPr>
        <w:ind w:left="5760" w:hanging="360"/>
      </w:pPr>
    </w:lvl>
    <w:lvl w:ilvl="8" w:tplc="18582D2A">
      <w:start w:val="1"/>
      <w:numFmt w:val="bullet"/>
      <w:lvlText w:val="●"/>
      <w:lvlJc w:val="left"/>
      <w:pPr>
        <w:ind w:left="6480" w:hanging="360"/>
      </w:pPr>
    </w:lvl>
  </w:abstractNum>
  <w:abstractNum w:abstractNumId="3" w15:restartNumberingAfterBreak="0">
    <w:nsid w:val="689D10F6"/>
    <w:multiLevelType w:val="hybridMultilevel"/>
    <w:tmpl w:val="9DFC72C6"/>
    <w:lvl w:ilvl="0" w:tplc="A198D6A0">
      <w:start w:val="1"/>
      <w:numFmt w:val="decimal"/>
      <w:lvlText w:val="%1."/>
      <w:lvlJc w:val="left"/>
      <w:pPr>
        <w:ind w:left="460" w:hanging="300"/>
      </w:pPr>
    </w:lvl>
    <w:lvl w:ilvl="1" w:tplc="3F982532">
      <w:numFmt w:val="decimal"/>
      <w:lvlText w:val=""/>
      <w:lvlJc w:val="left"/>
    </w:lvl>
    <w:lvl w:ilvl="2" w:tplc="346681AA">
      <w:numFmt w:val="decimal"/>
      <w:lvlText w:val=""/>
      <w:lvlJc w:val="left"/>
    </w:lvl>
    <w:lvl w:ilvl="3" w:tplc="CA1E8800">
      <w:numFmt w:val="decimal"/>
      <w:lvlText w:val=""/>
      <w:lvlJc w:val="left"/>
    </w:lvl>
    <w:lvl w:ilvl="4" w:tplc="0AC6A090">
      <w:numFmt w:val="decimal"/>
      <w:lvlText w:val=""/>
      <w:lvlJc w:val="left"/>
    </w:lvl>
    <w:lvl w:ilvl="5" w:tplc="3738AC78">
      <w:numFmt w:val="decimal"/>
      <w:lvlText w:val=""/>
      <w:lvlJc w:val="left"/>
    </w:lvl>
    <w:lvl w:ilvl="6" w:tplc="0A84C7AE">
      <w:numFmt w:val="decimal"/>
      <w:lvlText w:val=""/>
      <w:lvlJc w:val="left"/>
    </w:lvl>
    <w:lvl w:ilvl="7" w:tplc="F7BC871C">
      <w:numFmt w:val="decimal"/>
      <w:lvlText w:val=""/>
      <w:lvlJc w:val="left"/>
    </w:lvl>
    <w:lvl w:ilvl="8" w:tplc="C7269562">
      <w:numFmt w:val="decimal"/>
      <w:lvlText w:val=""/>
      <w:lvlJc w:val="left"/>
    </w:lvl>
  </w:abstractNum>
  <w:abstractNum w:abstractNumId="4" w15:restartNumberingAfterBreak="0">
    <w:nsid w:val="78505A2A"/>
    <w:multiLevelType w:val="hybridMultilevel"/>
    <w:tmpl w:val="ABD47096"/>
    <w:lvl w:ilvl="0" w:tplc="869C703A">
      <w:start w:val="1"/>
      <w:numFmt w:val="decimal"/>
      <w:lvlText w:val="%1."/>
      <w:lvlJc w:val="left"/>
      <w:pPr>
        <w:ind w:left="460" w:hanging="300"/>
      </w:pPr>
    </w:lvl>
    <w:lvl w:ilvl="1" w:tplc="F29E3C56">
      <w:numFmt w:val="decimal"/>
      <w:lvlText w:val=""/>
      <w:lvlJc w:val="left"/>
    </w:lvl>
    <w:lvl w:ilvl="2" w:tplc="FFC0345A">
      <w:numFmt w:val="decimal"/>
      <w:lvlText w:val=""/>
      <w:lvlJc w:val="left"/>
    </w:lvl>
    <w:lvl w:ilvl="3" w:tplc="DABABFA4">
      <w:numFmt w:val="decimal"/>
      <w:lvlText w:val=""/>
      <w:lvlJc w:val="left"/>
    </w:lvl>
    <w:lvl w:ilvl="4" w:tplc="96E8E8BE">
      <w:numFmt w:val="decimal"/>
      <w:lvlText w:val=""/>
      <w:lvlJc w:val="left"/>
    </w:lvl>
    <w:lvl w:ilvl="5" w:tplc="5540C9A4">
      <w:numFmt w:val="decimal"/>
      <w:lvlText w:val=""/>
      <w:lvlJc w:val="left"/>
    </w:lvl>
    <w:lvl w:ilvl="6" w:tplc="3E803326">
      <w:numFmt w:val="decimal"/>
      <w:lvlText w:val=""/>
      <w:lvlJc w:val="left"/>
    </w:lvl>
    <w:lvl w:ilvl="7" w:tplc="C9CC3E6A">
      <w:numFmt w:val="decimal"/>
      <w:lvlText w:val=""/>
      <w:lvlJc w:val="left"/>
    </w:lvl>
    <w:lvl w:ilvl="8" w:tplc="E862A328">
      <w:numFmt w:val="decimal"/>
      <w:lvlText w:val=""/>
      <w:lvlJc w:val="left"/>
    </w:lvl>
  </w:abstractNum>
  <w:abstractNum w:abstractNumId="5" w15:restartNumberingAfterBreak="0">
    <w:nsid w:val="7C714671"/>
    <w:multiLevelType w:val="hybridMultilevel"/>
    <w:tmpl w:val="26D897A6"/>
    <w:lvl w:ilvl="0" w:tplc="2F5C33AA">
      <w:start w:val="1"/>
      <w:numFmt w:val="bullet"/>
      <w:lvlText w:val="•"/>
      <w:lvlJc w:val="left"/>
      <w:pPr>
        <w:ind w:left="460" w:hanging="260"/>
      </w:pPr>
    </w:lvl>
    <w:lvl w:ilvl="1" w:tplc="5B424F32">
      <w:start w:val="1"/>
      <w:numFmt w:val="bullet"/>
      <w:lvlText w:val="–"/>
      <w:lvlJc w:val="left"/>
      <w:pPr>
        <w:ind w:left="920" w:hanging="260"/>
      </w:pPr>
    </w:lvl>
    <w:lvl w:ilvl="2" w:tplc="A7F27D5C">
      <w:numFmt w:val="decimal"/>
      <w:lvlText w:val=""/>
      <w:lvlJc w:val="left"/>
    </w:lvl>
    <w:lvl w:ilvl="3" w:tplc="D0DE8460">
      <w:numFmt w:val="decimal"/>
      <w:lvlText w:val=""/>
      <w:lvlJc w:val="left"/>
    </w:lvl>
    <w:lvl w:ilvl="4" w:tplc="FEC44566">
      <w:numFmt w:val="decimal"/>
      <w:lvlText w:val=""/>
      <w:lvlJc w:val="left"/>
    </w:lvl>
    <w:lvl w:ilvl="5" w:tplc="D1B2429C">
      <w:numFmt w:val="decimal"/>
      <w:lvlText w:val=""/>
      <w:lvlJc w:val="left"/>
    </w:lvl>
    <w:lvl w:ilvl="6" w:tplc="E95886E6">
      <w:numFmt w:val="decimal"/>
      <w:lvlText w:val=""/>
      <w:lvlJc w:val="left"/>
    </w:lvl>
    <w:lvl w:ilvl="7" w:tplc="CC4CFCE8">
      <w:numFmt w:val="decimal"/>
      <w:lvlText w:val=""/>
      <w:lvlJc w:val="left"/>
    </w:lvl>
    <w:lvl w:ilvl="8" w:tplc="01F4473E">
      <w:numFmt w:val="decimal"/>
      <w:lvlText w:val=""/>
      <w:lvlJc w:val="left"/>
    </w:lvl>
  </w:abstractNum>
  <w:num w:numId="1" w16cid:durableId="1359240075">
    <w:abstractNumId w:val="2"/>
    <w:lvlOverride w:ilvl="0">
      <w:startOverride w:val="1"/>
    </w:lvlOverride>
  </w:num>
  <w:num w:numId="2" w16cid:durableId="81731552">
    <w:abstractNumId w:val="3"/>
    <w:lvlOverride w:ilvl="0">
      <w:startOverride w:val="1"/>
    </w:lvlOverride>
  </w:num>
  <w:num w:numId="3" w16cid:durableId="1597639390">
    <w:abstractNumId w:val="5"/>
    <w:lvlOverride w:ilvl="0">
      <w:startOverride w:val="1"/>
    </w:lvlOverride>
  </w:num>
  <w:num w:numId="4" w16cid:durableId="884484803">
    <w:abstractNumId w:val="4"/>
    <w:lvlOverride w:ilvl="0">
      <w:startOverride w:val="1"/>
    </w:lvlOverride>
  </w:num>
  <w:num w:numId="5" w16cid:durableId="4878632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283F"/>
    <w:rsid w:val="00165CBC"/>
    <w:rsid w:val="007B5A6A"/>
    <w:rsid w:val="009C283F"/>
    <w:rsid w:val="00F17D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82812"/>
  <w15:docId w15:val="{796B4278-5F1F-45A4-BE71-ECE70C635F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2010</Words>
  <Characters>11462</Characters>
  <Application>Microsoft Office Word</Application>
  <DocSecurity>0</DocSecurity>
  <Lines>95</Lines>
  <Paragraphs>26</Paragraphs>
  <ScaleCrop>false</ScaleCrop>
  <Company/>
  <LinksUpToDate>false</LinksUpToDate>
  <CharactersWithSpaces>13446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Adithy Praveen</cp:lastModifiedBy>
  <cp:revision>2</cp:revision>
  <dcterms:created xsi:type="dcterms:W3CDTF">2026-08-01T06:48:00Z</dcterms:created>
  <dcterms:modified xsi:type="dcterms:W3CDTF">2026-08-01T06:51:00Z</dcterms:modified>
</cp:coreProperties>
</file>