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Annual Leave, Paid Time Off (PTO) &amp; Holiday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Policy Identifier:</w:t>
            </w:r>
          </w:p>
        </w:tc>
        <w:tc>
          <w:tcPr>
            <w:tcW w:type="dxa" w:w="4320"/>
          </w:tcPr>
          <w:p>
            <w:r>
              <w:t>HR-LV-004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Date:</w:t>
            </w:r>
          </w:p>
        </w:tc>
        <w:tc>
          <w:tcPr>
            <w:tcW w:type="dxa" w:w="4320"/>
          </w:tcPr>
          <w:p>
            <w:r>
              <w:t>January 1,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Policy Owner:</w:t>
            </w:r>
          </w:p>
        </w:tc>
        <w:tc>
          <w:tcPr>
            <w:tcW w:type="dxa" w:w="4320"/>
          </w:tcPr>
          <w:p>
            <w:r>
              <w:t>Human Resources Department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Classification:</w:t>
            </w:r>
          </w:p>
        </w:tc>
        <w:tc>
          <w:tcPr>
            <w:tcW w:type="dxa" w:w="4320"/>
          </w:tcPr>
          <w:p>
            <w:r>
              <w:t>Internal Company Policy</w:t>
            </w:r>
          </w:p>
        </w:tc>
      </w:tr>
    </w:tbl>
    <w:p/>
    <w:p>
      <w:r>
        <w:rPr>
          <w:i/>
          <w:color w:val="6E716D"/>
          <w:sz w:val="18"/>
        </w:rPr>
        <w:t>DEMONSTRATION POLICY DISCLOSURE: This document is an original synthetic policy generated for the CLAUSE Enterprise RAG demonstration and benchmark evaluation.</w:t>
      </w:r>
    </w:p>
    <w:p/>
    <w:p>
      <w:pPr>
        <w:pStyle w:val="Heading1"/>
      </w:pPr>
      <w:r>
        <w:t>1. Purpose &amp; Scope</w:t>
      </w:r>
    </w:p>
    <w:p>
      <w:r>
        <w:t>This policy outlines time-off entitlements, paid time off (PTO) accrual schedules, sick leave, statutory holidays, and leave request procedures under policy HR-LV-004.</w:t>
      </w:r>
    </w:p>
    <w:p>
      <w:pPr>
        <w:pStyle w:val="Heading1"/>
      </w:pPr>
      <w:r>
        <w:t>2. Annual Accrual Rates</w:t>
      </w:r>
    </w:p>
    <w:p>
      <w:r>
        <w:t>Full-time regular employees accrue PTO at a rate of 1.66 days per completed calendar month of service, totaling 20 days per calendar year. Accrual begins on the first day of full-time employment.</w:t>
      </w:r>
    </w:p>
    <w:p>
      <w:pPr>
        <w:pStyle w:val="Heading1"/>
      </w:pPr>
      <w:r>
        <w:t>3. Carry-Over &amp; Unused PTO Limits</w:t>
      </w:r>
    </w:p>
    <w:p>
      <w:r>
        <w:t>A maximum of 5 accrued unused PTO days may be carried over into the following calendar year. Any unused balance exceeding 5 days is forfeited on December 31st unless exception approval is granted by HR.</w:t>
      </w:r>
    </w:p>
    <w:p>
      <w:pPr>
        <w:pStyle w:val="Heading1"/>
      </w:pPr>
      <w:r>
        <w:t>4. Request &amp; Approval Workflow</w:t>
      </w:r>
    </w:p>
    <w:p>
      <w:r>
        <w:t>Leave requests exceeding 3 consecutive business days must be submitted through the HR Portal at least 14 calendar days in advance. Requests are reviewed and approved based on team operational coverage and manager discretion.</w:t>
      </w:r>
    </w:p>
    <w:p>
      <w:pPr>
        <w:pStyle w:val="Heading1"/>
      </w:pPr>
      <w:r>
        <w:t>5. Statutory Holidays &amp; Sick Days</w:t>
      </w:r>
    </w:p>
    <w:p>
      <w:r>
        <w:t>The company observes 11 paid statutory holidays annually. Employees receive 10 paid sick days per year, which do not roll over annually.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