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Working Hours, Attendance &amp; Core Hours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Policy Identifier:</w:t>
            </w:r>
          </w:p>
        </w:tc>
        <w:tc>
          <w:tcPr>
            <w:tcW w:type="dxa" w:w="4320"/>
          </w:tcPr>
          <w:p>
            <w:r>
              <w:t>HR-AT-009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4320"/>
          </w:tcPr>
          <w:p>
            <w:r>
              <w:t>March 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Owner:</w:t>
            </w:r>
          </w:p>
        </w:tc>
        <w:tc>
          <w:tcPr>
            <w:tcW w:type="dxa" w:w="4320"/>
          </w:tcPr>
          <w:p>
            <w:r>
              <w:t>Human Resources Department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Internal Company Policy</w:t>
            </w:r>
          </w:p>
        </w:tc>
      </w:tr>
    </w:tbl>
    <w:p/>
    <w:p>
      <w:r>
        <w:rPr>
          <w:i/>
          <w:color w:val="6E716D"/>
          <w:sz w:val="18"/>
        </w:rPr>
        <w:t>DEMONSTRATION POLICY DISCLOSURE: This document is an original synthetic policy generated for the CLAUSE Enterprise RAG demonstration and benchmark evaluation.</w:t>
      </w:r>
    </w:p>
    <w:p/>
    <w:p>
      <w:pPr>
        <w:pStyle w:val="Heading1"/>
      </w:pPr>
      <w:r>
        <w:t>1. Purpose &amp; Scope</w:t>
      </w:r>
    </w:p>
    <w:p>
      <w:r>
        <w:t>Establishes standard working hours, core collaboration periods, flexible work schedule options, and attendance reporting obligations under policy HR-AT-009.</w:t>
      </w:r>
    </w:p>
    <w:p>
      <w:pPr>
        <w:pStyle w:val="Heading1"/>
      </w:pPr>
      <w:r>
        <w:t>2. Standard Workweek &amp; Core Collaboration Hours</w:t>
      </w:r>
    </w:p>
    <w:p>
      <w:r>
        <w:t>The standard workweek comprises 40 hours, Monday through Friday. All full-time team members must be active and available during core collaboration hours from 10:00 AM to 3:00 PM local time.</w:t>
      </w:r>
    </w:p>
    <w:p>
      <w:pPr>
        <w:pStyle w:val="Heading1"/>
      </w:pPr>
      <w:r>
        <w:t>3. Flexible Scheduling Options</w:t>
      </w:r>
    </w:p>
    <w:p>
      <w:r>
        <w:t>Employees may adjust start and end times between 7:00 AM and 6:00 PM, provided they complete 8 daily hours and maintain presence during mandatory core hours.</w:t>
      </w:r>
    </w:p>
    <w:p>
      <w:pPr>
        <w:pStyle w:val="Heading1"/>
      </w:pPr>
      <w:r>
        <w:t>4. Unexcused Absence &amp; Tardiness</w:t>
      </w:r>
    </w:p>
    <w:p>
      <w:r>
        <w:t>Unexcused absences or habitual tardiness exceeding 3 occurrences in a quarter are subject to HR review and progressive performance management.</w:t>
      </w:r>
    </w:p>
    <w:p>
      <w:pPr>
        <w:pStyle w:val="Heading1"/>
      </w:pPr>
      <w:r>
        <w:t>5. Overtime Authorization</w:t>
      </w:r>
    </w:p>
    <w:p>
      <w:r>
        <w:t>Non-exempt employees must obtain written supervisor authorization prior to working any hours in excess of 40 hours in a single workweek.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