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Business Travel &amp; Expense Reimbursement Policy</w:t>
      </w:r>
    </w:p>
    <w:tbl>
      <w:tblPr>
        <w:tblStyle w:val="TableGrid"/>
        <w:tblW w:type="auto" w:w="0"/>
        <w:tblLook w:firstColumn="1" w:firstRow="1" w:lastColumn="0" w:lastRow="0" w:noHBand="0" w:noVBand="1" w:val="04A0"/>
      </w:tblPr>
      <w:tblGrid>
        <w:gridCol w:w="4320"/>
        <w:gridCol w:w="4320"/>
      </w:tblGrid>
      <w:tr>
        <w:tc>
          <w:tcPr>
            <w:tcW w:type="dxa" w:w="4320"/>
          </w:tcPr>
          <w:p>
            <w:r>
              <w:rPr>
                <w:b/>
              </w:rPr>
              <w:t>Policy Identifier:</w:t>
            </w:r>
          </w:p>
        </w:tc>
        <w:tc>
          <w:tcPr>
            <w:tcW w:type="dxa" w:w="4320"/>
          </w:tcPr>
          <w:p>
            <w:r>
              <w:t>FIN-EXP-011</w:t>
            </w:r>
          </w:p>
        </w:tc>
      </w:tr>
      <w:tr>
        <w:tc>
          <w:tcPr>
            <w:tcW w:type="dxa" w:w="4320"/>
          </w:tcPr>
          <w:p>
            <w:r>
              <w:rPr>
                <w:b/>
              </w:rPr>
              <w:t>Version:</w:t>
            </w:r>
          </w:p>
        </w:tc>
        <w:tc>
          <w:tcPr>
            <w:tcW w:type="dxa" w:w="4320"/>
          </w:tcPr>
          <w:p>
            <w:r>
              <w:t>4.0</w:t>
            </w:r>
          </w:p>
        </w:tc>
      </w:tr>
      <w:tr>
        <w:tc>
          <w:tcPr>
            <w:tcW w:type="dxa" w:w="4320"/>
          </w:tcPr>
          <w:p>
            <w:r>
              <w:rPr>
                <w:b/>
              </w:rPr>
              <w:t>Effective Date:</w:t>
            </w:r>
          </w:p>
        </w:tc>
        <w:tc>
          <w:tcPr>
            <w:tcW w:type="dxa" w:w="4320"/>
          </w:tcPr>
          <w:p>
            <w:r>
              <w:t>February 1, 2025</w:t>
            </w:r>
          </w:p>
        </w:tc>
      </w:tr>
      <w:tr>
        <w:tc>
          <w:tcPr>
            <w:tcW w:type="dxa" w:w="4320"/>
          </w:tcPr>
          <w:p>
            <w:r>
              <w:rPr>
                <w:b/>
              </w:rPr>
              <w:t>Policy Owner:</w:t>
            </w:r>
          </w:p>
        </w:tc>
        <w:tc>
          <w:tcPr>
            <w:tcW w:type="dxa" w:w="4320"/>
          </w:tcPr>
          <w:p>
            <w:r>
              <w:t>Finance &amp; Accounting</w:t>
            </w:r>
          </w:p>
        </w:tc>
      </w:tr>
      <w:tr>
        <w:tc>
          <w:tcPr>
            <w:tcW w:type="dxa" w:w="4320"/>
          </w:tcPr>
          <w:p>
            <w:r>
              <w:rPr>
                <w:b/>
              </w:rPr>
              <w:t>Classification:</w:t>
            </w:r>
          </w:p>
        </w:tc>
        <w:tc>
          <w:tcPr>
            <w:tcW w:type="dxa" w:w="4320"/>
          </w:tcPr>
          <w:p>
            <w:r>
              <w:t>Internal Company Policy</w:t>
            </w:r>
          </w:p>
        </w:tc>
      </w:tr>
    </w:tbl>
    <w:p/>
    <w:p>
      <w:r>
        <w:rPr>
          <w:i/>
          <w:color w:val="6E716D"/>
          <w:sz w:val="18"/>
        </w:rPr>
        <w:t>DEMONSTRATION POLICY DISCLOSURE: This document is an original synthetic policy generated for the CLAUSE Enterprise RAG demonstration and benchmark evaluation.</w:t>
      </w:r>
    </w:p>
    <w:p/>
    <w:p>
      <w:pPr>
        <w:pStyle w:val="Heading1"/>
      </w:pPr>
      <w:r>
        <w:t>1. Purpose &amp; Scope</w:t>
      </w:r>
    </w:p>
    <w:p>
      <w:r>
        <w:t>This policy sets rules and expense limits for business travel, client entertainment, training, and operational purchases under policy FIN-EXP-011.</w:t>
      </w:r>
    </w:p>
    <w:p>
      <w:pPr>
        <w:pStyle w:val="Heading1"/>
      </w:pPr>
      <w:r>
        <w:t>2. Receipt &amp; Documentation Requirements</w:t>
      </w:r>
    </w:p>
    <w:p>
      <w:r>
        <w:t>Itemized receipts are strictly required for all reimbursable expenses exceeding $25. Summary credit card slips without itemized line items are not acceptable receipts for reimbursement. All claims must be submitted via the expense portal within 30 calendar days of incurring the expense.</w:t>
      </w:r>
    </w:p>
    <w:p>
      <w:pPr>
        <w:pStyle w:val="Heading1"/>
      </w:pPr>
      <w:r>
        <w:t>3. Meals &amp; Daily Per Diem</w:t>
      </w:r>
    </w:p>
    <w:p>
      <w:r>
        <w:t>The standard per diem limit for business meals is $75 per day per employee. Alcohol purchases are non-reimbursable unless part of an authorized client entertainment event with director pre-approval.</w:t>
      </w:r>
    </w:p>
    <w:p>
      <w:pPr>
        <w:pStyle w:val="Heading1"/>
      </w:pPr>
      <w:r>
        <w:t>4. Travel &amp; Lodging</w:t>
      </w:r>
    </w:p>
    <w:p>
      <w:r>
        <w:t>Domestic economy air travel must be booked at least 14 days in advance. Hotel accommodations should not exceed standard corporate partner rates ($250 per night standard limit).</w:t>
      </w:r>
    </w:p>
    <w:p>
      <w:pPr>
        <w:pStyle w:val="Heading1"/>
      </w:pPr>
      <w:r>
        <w:t>5. Non-Reimbursable Items</w:t>
      </w:r>
    </w:p>
    <w:p>
      <w:r>
        <w:t>Personal entertainment, parking fines, traffic violations, personal grooming, and unauthorized software subscriptions are strictly non-reimbursable under FIN-EXP-011.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