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Enterprise Information Security &amp; Acceptable Use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Identifier:</w:t>
            </w:r>
          </w:p>
        </w:tc>
        <w:tc>
          <w:tcPr>
            <w:tcW w:type="dxa" w:w="4320"/>
          </w:tcPr>
          <w:p>
            <w:r>
              <w:t>SEC-IS-002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320"/>
          </w:tcPr>
          <w:p>
            <w:r>
              <w:t>January 10,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Owner:</w:t>
            </w:r>
          </w:p>
        </w:tc>
        <w:tc>
          <w:tcPr>
            <w:tcW w:type="dxa" w:w="4320"/>
          </w:tcPr>
          <w:p>
            <w:r>
              <w:t>Information Security &amp; IT Risk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Internal Company Policy</w:t>
            </w:r>
          </w:p>
        </w:tc>
      </w:tr>
    </w:tbl>
    <w:p/>
    <w:p>
      <w:r>
        <w:rPr>
          <w:i/>
          <w:color w:val="6E716D"/>
          <w:sz w:val="18"/>
        </w:rPr>
        <w:t>DEMONSTRATION POLICY DISCLOSURE: This document is an original synthetic policy generated for the CLAUSE Enterprise RAG demonstration and benchmark evaluation.</w:t>
      </w:r>
    </w:p>
    <w:p/>
    <w:p>
      <w:pPr>
        <w:pStyle w:val="Heading1"/>
      </w:pPr>
      <w:r>
        <w:t>1. Purpose &amp; Scope</w:t>
      </w:r>
    </w:p>
    <w:p>
      <w:r>
        <w:t>Establishes mandatory technical and operational security controls to protect company assets, customer data, and system integrity under policy SEC-IS-002.</w:t>
      </w:r>
    </w:p>
    <w:p>
      <w:pPr>
        <w:pStyle w:val="Heading1"/>
      </w:pPr>
      <w:r>
        <w:t>2. Multi-Factor Authentication (MFA) Requirements</w:t>
      </w:r>
    </w:p>
    <w:p>
      <w:r>
        <w:t>Multi-Factor Authentication (MFA) is strictly mandatory for all employees accessing corporate systems, email, VPN tunnels, and cloud repositories under SEC-IS-002. MFA authentication tokens must be approved using company-registered mobile authenticators or hardware tokens.</w:t>
      </w:r>
    </w:p>
    <w:p>
      <w:pPr>
        <w:pStyle w:val="Heading1"/>
      </w:pPr>
      <w:r>
        <w:t>3. Password &amp; Credential Standards</w:t>
      </w:r>
    </w:p>
    <w:p>
      <w:r>
        <w:t>Passwords must be at least 16 characters long, incorporating uppercase, lowercase, numbers, and special symbols. Passwords must be changed annually and must not be reused.</w:t>
      </w:r>
    </w:p>
    <w:p>
      <w:pPr>
        <w:pStyle w:val="Heading1"/>
      </w:pPr>
      <w:r>
        <w:t>4. Device Security &amp; Encryption</w:t>
      </w:r>
    </w:p>
    <w:p>
      <w:r>
        <w:t>All enterprise laptops, mobile devices, and storage media must have Full Disk Encryption (FDE) enabled. Unapproved USB flash drives or external hard drives are prohibited.</w:t>
      </w:r>
    </w:p>
    <w:p>
      <w:pPr>
        <w:pStyle w:val="Heading1"/>
      </w:pPr>
      <w:r>
        <w:t>5. Incident Reporting &amp; Escalation</w:t>
      </w:r>
    </w:p>
    <w:p>
      <w:r>
        <w:t>Any suspected security breach, lost device, or phishing attempt must be reported to the IT Security Helpdesk within 1 hour of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