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Remote Work &amp; Hybrid Workplace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Identifier:</w:t>
            </w:r>
          </w:p>
        </w:tc>
        <w:tc>
          <w:tcPr>
            <w:tcW w:type="dxa" w:w="4320"/>
          </w:tcPr>
          <w:p>
            <w:r>
              <w:t>HR-RW-017</w:t>
            </w:r>
          </w:p>
        </w:tc>
      </w:tr>
      <w:tr>
        <w:tc>
          <w:tcPr>
            <w:tcW w:type="dxa" w:w="4320"/>
          </w:tcPr>
          <w:p>
            <w:r>
              <w:rPr>
                <w:b/>
              </w:rPr>
              <w:t>Version:</w:t>
            </w:r>
          </w:p>
        </w:tc>
        <w:tc>
          <w:tcPr>
            <w:tcW w:type="dxa" w:w="4320"/>
          </w:tcPr>
          <w:p>
            <w:r>
              <w:t>3.2</w:t>
            </w:r>
          </w:p>
        </w:tc>
      </w:tr>
      <w:tr>
        <w:tc>
          <w:tcPr>
            <w:tcW w:type="dxa" w:w="4320"/>
          </w:tcPr>
          <w:p>
            <w:r>
              <w:rPr>
                <w:b/>
              </w:rPr>
              <w:t>Effective Date:</w:t>
            </w:r>
          </w:p>
        </w:tc>
        <w:tc>
          <w:tcPr>
            <w:tcW w:type="dxa" w:w="4320"/>
          </w:tcPr>
          <w:p>
            <w:r>
              <w:t>January 15, 2025</w:t>
            </w:r>
          </w:p>
        </w:tc>
      </w:tr>
      <w:tr>
        <w:tc>
          <w:tcPr>
            <w:tcW w:type="dxa" w:w="4320"/>
          </w:tcPr>
          <w:p>
            <w:r>
              <w:rPr>
                <w:b/>
              </w:rPr>
              <w:t>Policy Owner:</w:t>
            </w:r>
          </w:p>
        </w:tc>
        <w:tc>
          <w:tcPr>
            <w:tcW w:type="dxa" w:w="4320"/>
          </w:tcPr>
          <w:p>
            <w:r>
              <w:t>Human Resources Department</w:t>
            </w:r>
          </w:p>
        </w:tc>
      </w:tr>
      <w:tr>
        <w:tc>
          <w:tcPr>
            <w:tcW w:type="dxa" w:w="4320"/>
          </w:tcPr>
          <w:p>
            <w:r>
              <w:rPr>
                <w:b/>
              </w:rPr>
              <w:t>Classification:</w:t>
            </w:r>
          </w:p>
        </w:tc>
        <w:tc>
          <w:tcPr>
            <w:tcW w:type="dxa" w:w="4320"/>
          </w:tcPr>
          <w:p>
            <w:r>
              <w:t>Internal Company Policy</w:t>
            </w:r>
          </w:p>
        </w:tc>
      </w:tr>
    </w:tbl>
    <w:p/>
    <w:p>
      <w:r>
        <w:rPr>
          <w:i/>
          <w:color w:val="6E716D"/>
          <w:sz w:val="18"/>
        </w:rPr>
        <w:t>DEMONSTRATION POLICY DISCLOSURE: This document is an original synthetic policy generated for the CLAUSE Enterprise RAG demonstration and benchmark evaluation.</w:t>
      </w:r>
    </w:p>
    <w:p/>
    <w:p>
      <w:pPr>
        <w:pStyle w:val="Heading1"/>
      </w:pPr>
      <w:r>
        <w:t>1. Purpose &amp; Scope</w:t>
      </w:r>
    </w:p>
    <w:p>
      <w:r>
        <w:t>This policy governs all telecommuting, work-from-home (WFH), and hybrid workplace arrangements for eligible company employees. The objective is to enable work flexibility while maintaining security, operational collaboration, and compliance with HR-RW-017 standards.</w:t>
      </w:r>
    </w:p>
    <w:p>
      <w:pPr>
        <w:pStyle w:val="Heading1"/>
      </w:pPr>
      <w:r>
        <w:t>2. Probationary Employee Eligibility</w:t>
      </w:r>
    </w:p>
    <w:p>
      <w:r>
        <w:t>Under HR-RW-017 guidelines, employees during their initial probationary period (the first 90 days of employment) may work remotely or from home only upon receiving explicit written manager approval and HR endorsement. Probationary employees are required to participate in structured onboarding and must demonstrate satisfactory core competencies before full-time hybrid flexibility is authorized.</w:t>
      </w:r>
    </w:p>
    <w:p>
      <w:pPr>
        <w:pStyle w:val="Heading1"/>
      </w:pPr>
      <w:r>
        <w:t>3. Workspace &amp; Equipment Standards</w:t>
      </w:r>
    </w:p>
    <w:p>
      <w:r>
        <w:t>All remote employees are provided with a standard enterprise laptop and peripherals. Employees must maintain a quiet, secure workspace with high-speed internet (minimum 50 Mbps download). Company equipment must not be shared with household members or third parties.</w:t>
      </w:r>
    </w:p>
    <w:p>
      <w:pPr>
        <w:pStyle w:val="Heading1"/>
      </w:pPr>
      <w:r>
        <w:t>4. Communication &amp; Responsiveness</w:t>
      </w:r>
    </w:p>
    <w:p>
      <w:r>
        <w:t>Remote workers must remain reachable during core business hours via enterprise chat, email, and video conference. Status indicators on communication tools must accurately reflect availability.</w:t>
      </w:r>
    </w:p>
    <w:p>
      <w:pPr>
        <w:pStyle w:val="Heading1"/>
      </w:pPr>
      <w:r>
        <w:t>5. Security &amp; Compliance</w:t>
      </w:r>
    </w:p>
    <w:p>
      <w:r>
        <w:t>Remote connections must use authorized VPN tunnels and Multi-Factor Authentication. Printing confidential company documents at home is strictly prohibited without prior Information Security officer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