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Generic RAG Framework</w:t>
      </w:r>
    </w:p>
    <w:p>
      <w:pPr>
        <w:pStyle w:val="Heading2"/>
      </w:pPr>
      <w:r>
        <w:t>Introduction</w:t>
      </w:r>
    </w:p>
    <w:p>
      <w:r>
        <w:t>This document is created to test the DOCXLoader. It contains headings and multiple paragraphs.</w:t>
      </w:r>
    </w:p>
    <w:p>
      <w:pPr>
        <w:pStyle w:val="Heading2"/>
      </w:pPr>
      <w:r>
        <w:t>Modules</w:t>
      </w:r>
    </w:p>
    <w:p>
      <w:r>
        <w:t>Loaders</w:t>
        <w:br/>
        <w:t>OCR</w:t>
        <w:br/>
        <w:t>Chunkers</w:t>
        <w:br/>
        <w:t>Embeddings</w:t>
        <w:br/>
        <w:t>Vector Store</w:t>
        <w:br/>
        <w:t>Retriever</w:t>
      </w:r>
    </w:p>
    <w:p>
      <w:pPr>
        <w:pStyle w:val="Heading2"/>
      </w:pPr>
      <w:r>
        <w:t>Conclusion</w:t>
      </w:r>
    </w:p>
    <w:p>
      <w:r>
        <w:t>The framework converts different file formats into a common Document object used throughout the RAG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