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C4873A"/>
          <w:sz w:val="18"/>
        </w:rPr>
        <w:t>EXECUTIVE SUMMARY</w:t>
      </w:r>
    </w:p>
    <w:p>
      <w:pPr>
        <w:spacing w:before="0" w:after="80"/>
        <w:jc w:val="center"/>
      </w:pPr>
      <w:r>
        <w:rPr>
          <w:b/>
          <w:i w:val="0"/>
          <w:color w:val="2C1810"/>
          <w:sz w:val="36"/>
        </w:rPr>
        <w:t>Afficionado Coffee Roasters — Time-Based Sales Performance Analysis</w:t>
      </w:r>
    </w:p>
    <w:p>
      <w:pPr>
        <w:spacing w:before="0" w:after="400"/>
        <w:jc w:val="center"/>
      </w:pPr>
      <w:r>
        <w:rPr>
          <w:b w:val="0"/>
          <w:i w:val="0"/>
          <w:color w:val="555555"/>
          <w:sz w:val="20"/>
        </w:rPr>
        <w:t>New York City · Three Locations · 2025 Dataset · 149,116 Transactions</w:t>
      </w:r>
    </w:p>
    <w:p>
      <w:pPr>
        <w:spacing w:before="0" w:after="320"/>
        <w:jc w:val="center"/>
      </w:pPr>
      <w:r>
        <w:rPr>
          <w:b w:val="0"/>
          <w:i w:val="0"/>
          <w:color w:val="C4873A"/>
          <w:sz w:val="18"/>
        </w:rPr>
        <w:t>────────────────────────────────────────────────────────────────────────</w:t>
      </w:r>
    </w:p>
    <w:p>
      <w:pPr>
        <w:pStyle w:val="Heading1"/>
        <w:spacing w:before="280" w:after="120"/>
      </w:pPr>
      <w:r>
        <w:rPr>
          <w:rFonts w:ascii="Arial" w:hAnsi="Arial"/>
          <w:color w:val="2C1810"/>
        </w:rPr>
        <w:t>Purpose</w:t>
      </w:r>
    </w:p>
    <w:p>
      <w:pPr>
        <w:spacing w:before="0" w:after="120"/>
        <w:jc w:val="left"/>
      </w:pPr>
      <w:r>
        <w:rPr>
          <w:b w:val="0"/>
          <w:i w:val="0"/>
          <w:color w:val="1A1A1A"/>
          <w:sz w:val="22"/>
        </w:rPr>
        <w:t>This summary presents the top-line findings from a data analytics study of transaction records across Afficionado Coffee Roasters' three NYC stores. The goal is to identify when sales occur — by hour, by day, and by location — to support evidence-based decisions on staffing, inventory, and store operations.</w:t>
      </w:r>
    </w:p>
    <w:p>
      <w:pPr>
        <w:pStyle w:val="Heading1"/>
        <w:spacing w:before="280" w:after="120"/>
      </w:pPr>
      <w:r>
        <w:rPr>
          <w:rFonts w:ascii="Arial" w:hAnsi="Arial"/>
          <w:color w:val="2C1810"/>
        </w:rPr>
        <w:t>Performance Snapshot</w:t>
      </w:r>
    </w:p>
    <w:tbl>
      <w:tblPr>
        <w:tblStyle w:val="TableGrid"/>
        <w:tblW w:type="auto" w:w="0"/>
        <w:jc w:val="center"/>
        <w:tblLook w:firstColumn="1" w:firstRow="1" w:lastColumn="0" w:lastRow="0" w:noHBand="0" w:noVBand="1" w:val="04A0"/>
      </w:tblPr>
      <w:tblGrid>
        <w:gridCol w:w="4320"/>
        <w:gridCol w:w="4320"/>
      </w:tblGrid>
      <w:tr>
        <w:tc>
          <w:tcPr>
            <w:tcW w:type="dxa" w:w="5040"/>
            <w:shd w:val="clear" w:color="auto" w:fill="2C1810"/>
          </w:tcPr>
          <w:p>
            <w:pPr>
              <w:jc w:val="center"/>
            </w:pPr>
            <w:r>
              <w:rPr>
                <w:b/>
                <w:color w:val="FFFFFF"/>
                <w:sz w:val="20"/>
              </w:rPr>
              <w:t>KPI</w:t>
            </w:r>
          </w:p>
        </w:tc>
        <w:tc>
          <w:tcPr>
            <w:tcW w:type="dxa" w:w="4320"/>
            <w:shd w:val="clear" w:color="auto" w:fill="2C1810"/>
          </w:tcPr>
          <w:p>
            <w:pPr>
              <w:jc w:val="center"/>
            </w:pPr>
            <w:r>
              <w:rPr>
                <w:b/>
                <w:color w:val="FFFFFF"/>
                <w:sz w:val="20"/>
              </w:rPr>
              <w:t>Value</w:t>
            </w:r>
          </w:p>
        </w:tc>
      </w:tr>
      <w:tr>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Total Annual Revenue</w:t>
            </w:r>
          </w:p>
        </w:tc>
        <w:tc>
          <w:tcPr>
            <w:tcW w:type="dxa" w:w="432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$698,812</w:t>
            </w:r>
          </w:p>
        </w:tc>
      </w:tr>
      <w:tr>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Total Transactions</w:t>
            </w:r>
          </w:p>
        </w:tc>
        <w:tc>
          <w:tcPr>
            <w:tcW w:type="dxa" w:w="432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149,116</w:t>
            </w:r>
          </w:p>
        </w:tc>
      </w:tr>
      <w:tr>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Average Basket Value</w:t>
            </w:r>
          </w:p>
        </w:tc>
        <w:tc>
          <w:tcPr>
            <w:tcW w:type="dxa" w:w="432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$4.69</w:t>
            </w:r>
          </w:p>
        </w:tc>
      </w:tr>
      <w:tr>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Revenue from Morning (6–11 AM)</w:t>
            </w:r>
          </w:p>
        </w:tc>
        <w:tc>
          <w:tcPr>
            <w:tcW w:type="dxa" w:w="432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$388,289  (55.6%)</w:t>
            </w:r>
          </w:p>
        </w:tc>
      </w:tr>
      <w:tr>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Peak Revenue Hour</w:t>
            </w:r>
          </w:p>
        </w:tc>
        <w:tc>
          <w:tcPr>
            <w:tcW w:type="dxa" w:w="432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10:00 AM (all 3 stores)</w:t>
            </w:r>
          </w:p>
        </w:tc>
      </w:tr>
      <w:tr>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Top Product Type</w:t>
            </w:r>
          </w:p>
        </w:tc>
        <w:tc>
          <w:tcPr>
            <w:tcW w:type="dxa" w:w="432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Barista Espresso  ($91,406)</w:t>
            </w:r>
          </w:p>
        </w:tc>
      </w:tr>
      <w:tr>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Top Category (by revenue)</w:t>
            </w:r>
          </w:p>
        </w:tc>
        <w:tc>
          <w:tcPr>
            <w:tcW w:type="dxa" w:w="432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Coffee  (38.6%)</w:t>
            </w:r>
          </w:p>
        </w:tc>
      </w:tr>
      <w:tr>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2nd Largest Category</w:t>
            </w:r>
          </w:p>
        </w:tc>
        <w:tc>
          <w:tcPr>
            <w:tcW w:type="dxa" w:w="432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Tea  (28.1%)</w:t>
            </w:r>
          </w:p>
        </w:tc>
      </w:tr>
    </w:tbl>
    <w:p/>
    <w:p>
      <w:pPr>
        <w:pStyle w:val="Heading1"/>
        <w:spacing w:before="280" w:after="120"/>
      </w:pPr>
      <w:r>
        <w:rPr>
          <w:rFonts w:ascii="Arial" w:hAnsi="Arial"/>
          <w:color w:val="2C1810"/>
        </w:rPr>
        <w:t>Three Critical Findings</w:t>
      </w:r>
    </w:p>
    <w:p>
      <w:pPr>
        <w:spacing w:before="120" w:after="60"/>
        <w:jc w:val="left"/>
      </w:pPr>
      <w:r>
        <w:rPr>
          <w:b/>
          <w:i w:val="0"/>
          <w:color w:val="2C1810"/>
          <w:sz w:val="24"/>
        </w:rPr>
        <w:t>Finding 1 — The Morning Window Drives the Business</w:t>
      </w:r>
    </w:p>
    <w:p>
      <w:pPr>
        <w:spacing w:before="0" w:after="120"/>
        <w:jc w:val="left"/>
      </w:pPr>
      <w:r>
        <w:rPr>
          <w:b w:val="0"/>
          <w:i w:val="0"/>
          <w:color w:val="1A1A1A"/>
          <w:sz w:val="22"/>
        </w:rPr>
        <w:t>More than half of all daily revenue (55.6%, or $388,289 annually) is generated between 6 AM and 11 AM. Revenue peaks at 10 AM across all three locations. By early afternoon, hourly revenue has fallen to less than half of its peak. The morning slot is the single highest-leverage operational window in the business.</w:t>
      </w:r>
    </w:p>
    <w:p>
      <w:pPr>
        <w:spacing w:before="160" w:after="60"/>
        <w:jc w:val="left"/>
      </w:pPr>
      <w:r>
        <w:rPr>
          <w:b/>
          <w:i w:val="0"/>
          <w:color w:val="2C1810"/>
          <w:sz w:val="24"/>
        </w:rPr>
        <w:t>Finding 2 — All Three Stores Behave Identically</w:t>
      </w:r>
    </w:p>
    <w:p>
      <w:pPr>
        <w:spacing w:before="0" w:after="120"/>
        <w:jc w:val="left"/>
      </w:pPr>
      <w:r>
        <w:rPr>
          <w:b w:val="0"/>
          <w:i w:val="0"/>
          <w:color w:val="1A1A1A"/>
          <w:sz w:val="22"/>
        </w:rPr>
        <w:t>Hell's Kitchen ($236,511), Astoria ($232,244), and Lower Manhattan ($230,057) contribute almost equal revenue shares (33.9% / 33.2% / 32.9%) and all peak at exactly the same hour. This is operationally significant: a single company-wide scheduling policy can be applied uniformly, rather than requiring location-by-location analysis.</w:t>
      </w:r>
    </w:p>
    <w:p>
      <w:pPr>
        <w:spacing w:before="160" w:after="60"/>
        <w:jc w:val="left"/>
      </w:pPr>
      <w:r>
        <w:rPr>
          <w:b/>
          <w:i w:val="0"/>
          <w:color w:val="2C1810"/>
          <w:sz w:val="24"/>
        </w:rPr>
        <w:t>Finding 3 — Tea is an Outsized Revenue Driver</w:t>
      </w:r>
    </w:p>
    <w:p>
      <w:pPr>
        <w:spacing w:before="0" w:after="120"/>
        <w:jc w:val="left"/>
      </w:pPr>
      <w:r>
        <w:rPr>
          <w:b w:val="0"/>
          <w:i w:val="0"/>
          <w:color w:val="1A1A1A"/>
          <w:sz w:val="22"/>
        </w:rPr>
        <w:t>Tea accounts for 28.1% of total revenue ($196,406) — an unusually high share for a coffee-focused retailer. Brewed Chai Tea ($77,082) is the second-highest revenue product in the entire store portfolio. This indicates a customer base with strong non-coffee preferences that represents a differentiation opportunity if invested in deliberately.</w:t>
      </w:r>
    </w:p>
    <w:p>
      <w:r>
        <w:br w:type="page"/>
      </w:r>
    </w:p>
    <w:p>
      <w:pPr>
        <w:pStyle w:val="Heading1"/>
        <w:spacing w:before="280" w:after="120"/>
      </w:pPr>
      <w:r>
        <w:rPr>
          <w:rFonts w:ascii="Arial" w:hAnsi="Arial"/>
          <w:color w:val="2C1810"/>
        </w:rPr>
        <w:t>Recommended Actions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2C1810"/>
          </w:tcPr>
          <w:p>
            <w:pPr>
              <w:jc w:val="center"/>
            </w:pPr>
            <w:r>
              <w:rPr>
                <w:b/>
                <w:color w:val="FFFFFF"/>
                <w:sz w:val="20"/>
              </w:rPr>
              <w:t>Priority</w:t>
            </w:r>
          </w:p>
        </w:tc>
        <w:tc>
          <w:tcPr>
            <w:tcW w:type="dxa" w:w="5040"/>
            <w:shd w:val="clear" w:color="auto" w:fill="2C1810"/>
          </w:tcPr>
          <w:p>
            <w:pPr>
              <w:jc w:val="center"/>
            </w:pPr>
            <w:r>
              <w:rPr>
                <w:b/>
                <w:color w:val="FFFFFF"/>
                <w:sz w:val="20"/>
              </w:rPr>
              <w:t>Action</w:t>
            </w:r>
          </w:p>
        </w:tc>
        <w:tc>
          <w:tcPr>
            <w:tcW w:type="dxa" w:w="3168"/>
            <w:shd w:val="clear" w:color="auto" w:fill="2C1810"/>
          </w:tcPr>
          <w:p>
            <w:pPr>
              <w:jc w:val="center"/>
            </w:pPr>
            <w:r>
              <w:rPr>
                <w:b/>
                <w:color w:val="FFFFFF"/>
                <w:sz w:val="20"/>
              </w:rPr>
              <w:t>Expected Impact</w:t>
            </w:r>
          </w:p>
        </w:tc>
      </w:tr>
      <w:tr>
        <w:tc>
          <w:tcPr>
            <w:tcW w:type="dxa" w:w="1152"/>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1 — High</w:t>
            </w:r>
          </w:p>
        </w:tc>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Maximize barista headcount 7–11 AM at all three stores every day of the week</w:t>
            </w:r>
          </w:p>
        </w:tc>
        <w:tc>
          <w:tcPr>
            <w:tcW w:type="dxa" w:w="3168"/>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Reduce wait times during peak revenue window; protect 55% of daily revenue</w:t>
            </w:r>
          </w:p>
        </w:tc>
      </w:tr>
      <w:tr>
        <w:tc>
          <w:tcPr>
            <w:tcW w:type="dxa" w:w="1152"/>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2 — High</w:t>
            </w:r>
          </w:p>
        </w:tc>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Ensure full tea program (chai, black, herbal) is stocked and ready at 6 AM opening</w:t>
            </w:r>
          </w:p>
        </w:tc>
        <w:tc>
          <w:tcPr>
            <w:tcW w:type="dxa" w:w="3168"/>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Protect $196K+ tea revenue; serve the 28% of customers who choose tea over coffee</w:t>
            </w:r>
          </w:p>
        </w:tc>
      </w:tr>
      <w:tr>
        <w:tc>
          <w:tcPr>
            <w:tcW w:type="dxa" w:w="1152"/>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3 — Medium</w:t>
            </w:r>
          </w:p>
        </w:tc>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Investigate Lower Manhattan's higher avg basket ($4.81 vs $4.66/$4.59) and replicate findings</w:t>
            </w:r>
          </w:p>
        </w:tc>
        <w:tc>
          <w:tcPr>
            <w:tcW w:type="dxa" w:w="3168"/>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Potential 3–5% revenue lift at other locations through targeted upselling</w:t>
            </w:r>
          </w:p>
        </w:tc>
      </w:tr>
      <w:tr>
        <w:tc>
          <w:tcPr>
            <w:tcW w:type="dxa" w:w="1152"/>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4 — Medium</w:t>
            </w:r>
          </w:p>
        </w:tc>
        <w:tc>
          <w:tcPr>
            <w:tcW w:type="dxa" w:w="5040"/>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Reduce afternoon staffing (12–4 PM) to lean coverage where operationally feasible</w:t>
            </w:r>
          </w:p>
        </w:tc>
        <w:tc>
          <w:tcPr>
            <w:tcW w:type="dxa" w:w="3168"/>
            <w:shd w:val="clear" w:color="auto" w:fill="FFFFFF"/>
            <w:tcBorders>
              <w:top w:val="single" w:sz="4" w:color="CCCCCC"/>
              <w:left w:val="single" w:sz="4" w:color="CCCCCC"/>
              <w:bottom w:val="single" w:sz="4" w:color="CCCCCC"/>
              <w:right w:val="single" w:sz="4" w:color="CCCCCC"/>
            </w:tcBorders>
          </w:tcPr>
          <w:p>
            <w:pPr>
              <w:jc w:val="center"/>
            </w:pPr>
            <w:r>
              <w:rPr>
                <w:color w:val="1A1A1A"/>
                <w:sz w:val="20"/>
              </w:rPr>
              <w:t>Labor cost savings during the 29%-revenue afternoon without service risk</w:t>
            </w:r>
          </w:p>
        </w:tc>
      </w:tr>
      <w:tr>
        <w:tc>
          <w:tcPr>
            <w:tcW w:type="dxa" w:w="1152"/>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5 — Low</w:t>
            </w:r>
          </w:p>
        </w:tc>
        <w:tc>
          <w:tcPr>
            <w:tcW w:type="dxa" w:w="5040"/>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Add calendar date field to all future POS exports</w:t>
            </w:r>
          </w:p>
        </w:tc>
        <w:tc>
          <w:tcPr>
            <w:tcW w:type="dxa" w:w="3168"/>
            <w:shd w:val="clear" w:color="auto" w:fill="F5F0E8"/>
            <w:tcBorders>
              <w:top w:val="single" w:sz="4" w:color="CCCCCC"/>
              <w:left w:val="single" w:sz="4" w:color="CCCCCC"/>
              <w:bottom w:val="single" w:sz="4" w:color="CCCCCC"/>
              <w:right w:val="single" w:sz="4" w:color="CCCCCC"/>
            </w:tcBorders>
          </w:tcPr>
          <w:p>
            <w:pPr>
              <w:jc w:val="center"/>
            </w:pPr>
            <w:r>
              <w:rPr>
                <w:color w:val="1A1A1A"/>
                <w:sz w:val="20"/>
              </w:rPr>
              <w:t>Enables true seasonal trend analysis and year-over-year comparisons</w:t>
            </w:r>
          </w:p>
        </w:tc>
      </w:tr>
    </w:tbl>
    <w:p/>
    <w:p>
      <w:pPr>
        <w:pStyle w:val="Heading1"/>
        <w:spacing w:before="280" w:after="120"/>
      </w:pPr>
      <w:r>
        <w:rPr>
          <w:rFonts w:ascii="Arial" w:hAnsi="Arial"/>
          <w:color w:val="2C1810"/>
        </w:rPr>
        <w:t>Interactive Dashboard</w:t>
      </w:r>
    </w:p>
    <w:p>
      <w:pPr>
        <w:spacing w:before="0" w:after="120"/>
        <w:jc w:val="left"/>
      </w:pPr>
      <w:r>
        <w:rPr>
          <w:b w:val="0"/>
          <w:i w:val="0"/>
          <w:color w:val="1A1A1A"/>
          <w:sz w:val="22"/>
        </w:rPr>
        <w:t>An interactive Streamlit web application accompanies this summary, allowing store managers and operations staff to explore all findings in real time — filterable by store location, day of week, and hour range — without requiring any data or technical expertise. The dashboard includes 10 chart types across four analytical modules (Sales Trends, Day-of-Week, Hourly Demand, and Location Analysis).</w:t>
      </w:r>
    </w:p>
    <w:p>
      <w:pPr>
        <w:spacing w:before="320" w:after="160"/>
        <w:jc w:val="center"/>
      </w:pPr>
      <w:r>
        <w:rPr>
          <w:b w:val="0"/>
          <w:i w:val="0"/>
          <w:color w:val="C4873A"/>
          <w:sz w:val="18"/>
        </w:rPr>
        <w:t>────────────────────────────────────────────────────────────────────────</w:t>
      </w:r>
    </w:p>
    <w:p>
      <w:pPr>
        <w:spacing w:before="0" w:after="120"/>
        <w:jc w:val="center"/>
      </w:pPr>
      <w:r>
        <w:rPr>
          <w:b w:val="0"/>
          <w:i/>
          <w:color w:val="555555"/>
          <w:sz w:val="18"/>
        </w:rPr>
        <w:t>This analysis was conducted using Python (pandas), Plotly, and Streamlit on a dataset of 149,116 validated transaction records. All revenue figures are derived from transaction_qty × unit_price per the source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