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0"/>
        <w:jc w:val="center"/>
      </w:pPr>
      <w:r>
        <w:rPr>
          <w:b w:val="0"/>
          <w:i w:val="0"/>
          <w:color w:val="1A1A1A"/>
          <w:sz w:val="56"/>
        </w:rPr>
        <w:t>☕</w:t>
      </w:r>
    </w:p>
    <w:p>
      <w:pPr>
        <w:spacing w:before="120" w:after="80"/>
        <w:jc w:val="center"/>
      </w:pPr>
      <w:r>
        <w:rPr>
          <w:b/>
          <w:i w:val="0"/>
          <w:color w:val="2C1810"/>
          <w:sz w:val="44"/>
        </w:rPr>
        <w:t>Afficionado Coffee Roasters</w:t>
      </w:r>
    </w:p>
    <w:p>
      <w:pPr>
        <w:spacing w:before="0" w:after="80"/>
        <w:jc w:val="center"/>
      </w:pPr>
      <w:r>
        <w:rPr>
          <w:b/>
          <w:i w:val="0"/>
          <w:color w:val="C4873A"/>
          <w:sz w:val="32"/>
        </w:rPr>
        <w:t>Sales Trend &amp; Time-Based Performance Analysis</w:t>
      </w:r>
    </w:p>
    <w:p>
      <w:pPr>
        <w:spacing w:before="0" w:after="800"/>
        <w:jc w:val="center"/>
      </w:pPr>
      <w:r>
        <w:rPr>
          <w:b w:val="0"/>
          <w:i w:val="0"/>
          <w:color w:val="555555"/>
          <w:sz w:val="22"/>
        </w:rPr>
        <w:t>Research Paper | Data Analytics Project | 2025</w:t>
      </w:r>
    </w:p>
    <w:p>
      <w:pPr>
        <w:spacing w:before="0" w:after="240"/>
        <w:jc w:val="center"/>
      </w:pPr>
      <w:r>
        <w:rPr>
          <w:b w:val="0"/>
          <w:i w:val="0"/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rFonts w:ascii="Arial" w:hAnsi="Arial"/>
          <w:color w:val="2C1810"/>
        </w:rPr>
        <w:t>Abstract</w:t>
      </w:r>
    </w:p>
    <w:p>
      <w:pPr>
        <w:spacing w:before="0" w:after="160"/>
        <w:jc w:val="left"/>
      </w:pPr>
      <w:r>
        <w:rPr>
          <w:b w:val="0"/>
          <w:i w:val="0"/>
          <w:color w:val="1A1A1A"/>
          <w:sz w:val="22"/>
        </w:rPr>
        <w:t>This paper presents a comprehensive time-based sales performance analysis for Afficionado Coffee Roasters, a specialty coffee retailer operating three locations across New York City: Hell's Kitchen, Astoria, and Lower Manhattan. Drawing on a transaction-level dataset of 149,116 records totaling $698,812 in annual revenue, the analysis applies temporal feature engineering and aggregated demand profiling to surface actionable operational insights. Key findings reveal a concentrated morning revenue peak (6–11 AM, 55.6% of daily revenue), near-identical cross-location demand curves (all three stores peak at 9–10 AM), and a balanced revenue distribution across stores with no single dominant location. The analysis is supported by an interactive Streamlit dashboard enabling real-time filter-driven exploration. Recommendations focus on front-loading staffing resources into the morning window and aligning product availability with demand concentration.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2C1810"/>
        </w:rPr>
        <w:t>1. Introduction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In specialty coffee retail, the temporal distribution of customer demand is as strategically important as product assortment or pricing. Misaligned staffing — overstaffing during slow periods and understaffing during peak windows — directly erodes both profitability and customer experience. Despite generating substantial transaction data, many retail operators rely on intuition rather than quantitative evidence when making scheduling and operational decisions.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1.1 Problem Statement</w:t>
      </w:r>
    </w:p>
    <w:p>
      <w:pPr>
        <w:spacing w:before="0" w:after="80"/>
        <w:jc w:val="left"/>
      </w:pPr>
      <w:r>
        <w:rPr>
          <w:b w:val="0"/>
          <w:i w:val="0"/>
          <w:color w:val="1A1A1A"/>
          <w:sz w:val="22"/>
        </w:rPr>
        <w:t>Afficionado Coffee Roasters currently lacks a consolidated view of when sales occur across its three NYC locations. Without structured temporal analytics, the business cannot objectively identify: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The hourly distribution of revenue and transaction volume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Day-of-week demand patterns and their operational implications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Whether demand profiles differ meaningfully across store locations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Which time windows warrant increased staffing resources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1.2 Objectives</w:t>
      </w:r>
    </w:p>
    <w:p>
      <w:pPr>
        <w:spacing w:before="0" w:after="60"/>
        <w:jc w:val="left"/>
      </w:pPr>
      <w:r>
        <w:rPr>
          <w:b/>
          <w:i w:val="0"/>
          <w:color w:val="1A1A1A"/>
          <w:sz w:val="22"/>
        </w:rPr>
        <w:t>Primary objectives: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Identify overall sales trends across the 2025 dataset period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Determine the busiest and slowest time windows (hourly and daily)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Quantify the morning peak and its share of total revenue</w:t>
      </w:r>
    </w:p>
    <w:p>
      <w:pPr>
        <w:spacing w:before="120" w:after="60"/>
        <w:jc w:val="left"/>
      </w:pPr>
      <w:r>
        <w:rPr>
          <w:b/>
          <w:i w:val="0"/>
          <w:color w:val="1A1A1A"/>
          <w:sz w:val="22"/>
        </w:rPr>
        <w:t>Secondary objectives: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Compare temporal demand profiles across store locations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Support staff scheduling and operational planning with evidence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Deliver an interactive dashboard for ongoing self-service exploration</w:t>
      </w:r>
    </w:p>
    <w:p>
      <w:pPr>
        <w:pStyle w:val="Heading1"/>
        <w:spacing w:before="280" w:after="120"/>
      </w:pPr>
      <w:r>
        <w:rPr>
          <w:rFonts w:ascii="Arial" w:hAnsi="Arial"/>
          <w:color w:val="2C1810"/>
        </w:rPr>
        <w:t>2. Dataset Description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The dataset consists of 149,116 transaction records exported from the Afficionado Coffee Roasters point-of-sale system, covering the full 2025 operating year across all three store locations. The data is transaction-level (one row per sale event) and contains no personally identifiable information.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2.1 Field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616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transaction_id</w:t>
            </w:r>
          </w:p>
        </w:tc>
        <w:tc>
          <w:tcPr>
            <w:tcW w:type="dxa" w:w="144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Integer</w:t>
            </w:r>
          </w:p>
        </w:tc>
        <w:tc>
          <w:tcPr>
            <w:tcW w:type="dxa" w:w="5616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Unique identifier per transaction (no duplicates confirmed)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year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Integer</w:t>
            </w:r>
          </w:p>
        </w:tc>
        <w:tc>
          <w:tcPr>
            <w:tcW w:type="dxa" w:w="56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Transaction year (2025 throughout)</w:t>
            </w:r>
          </w:p>
        </w:tc>
      </w:tr>
      <w:tr>
        <w:tc>
          <w:tcPr>
            <w:tcW w:type="dxa" w:w="2304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transaction_time</w:t>
            </w:r>
          </w:p>
        </w:tc>
        <w:tc>
          <w:tcPr>
            <w:tcW w:type="dxa" w:w="144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String</w:t>
            </w:r>
          </w:p>
        </w:tc>
        <w:tc>
          <w:tcPr>
            <w:tcW w:type="dxa" w:w="5616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Time of transaction in HH:MM:SS format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transaction_qty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Integer</w:t>
            </w:r>
          </w:p>
        </w:tc>
        <w:tc>
          <w:tcPr>
            <w:tcW w:type="dxa" w:w="56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Quantity of items purchased per transaction</w:t>
            </w:r>
          </w:p>
        </w:tc>
      </w:tr>
      <w:tr>
        <w:tc>
          <w:tcPr>
            <w:tcW w:type="dxa" w:w="2304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unit_price</w:t>
            </w:r>
          </w:p>
        </w:tc>
        <w:tc>
          <w:tcPr>
            <w:tcW w:type="dxa" w:w="144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Float</w:t>
            </w:r>
          </w:p>
        </w:tc>
        <w:tc>
          <w:tcPr>
            <w:tcW w:type="dxa" w:w="5616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Price per unit in USD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store_id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Integer</w:t>
            </w:r>
          </w:p>
        </w:tc>
        <w:tc>
          <w:tcPr>
            <w:tcW w:type="dxa" w:w="56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Numeric identifier for each store location</w:t>
            </w:r>
          </w:p>
        </w:tc>
      </w:tr>
      <w:tr>
        <w:tc>
          <w:tcPr>
            <w:tcW w:type="dxa" w:w="2304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store_location</w:t>
            </w:r>
          </w:p>
        </w:tc>
        <w:tc>
          <w:tcPr>
            <w:tcW w:type="dxa" w:w="144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String</w:t>
            </w:r>
          </w:p>
        </w:tc>
        <w:tc>
          <w:tcPr>
            <w:tcW w:type="dxa" w:w="5616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Store name: Hell's Kitchen / Astoria / Lower Manhattan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product_id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Integer</w:t>
            </w:r>
          </w:p>
        </w:tc>
        <w:tc>
          <w:tcPr>
            <w:tcW w:type="dxa" w:w="56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Unique identifier per product SKU</w:t>
            </w:r>
          </w:p>
        </w:tc>
      </w:tr>
      <w:tr>
        <w:tc>
          <w:tcPr>
            <w:tcW w:type="dxa" w:w="2304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product_category</w:t>
            </w:r>
          </w:p>
        </w:tc>
        <w:tc>
          <w:tcPr>
            <w:tcW w:type="dxa" w:w="144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String</w:t>
            </w:r>
          </w:p>
        </w:tc>
        <w:tc>
          <w:tcPr>
            <w:tcW w:type="dxa" w:w="5616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Broad category (Coffee, Tea, Bakery, etc.)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product_type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String</w:t>
            </w:r>
          </w:p>
        </w:tc>
        <w:tc>
          <w:tcPr>
            <w:tcW w:type="dxa" w:w="56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Product sub-type within category</w:t>
            </w:r>
          </w:p>
        </w:tc>
      </w:tr>
      <w:tr>
        <w:tc>
          <w:tcPr>
            <w:tcW w:type="dxa" w:w="2304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product_detail</w:t>
            </w:r>
          </w:p>
        </w:tc>
        <w:tc>
          <w:tcPr>
            <w:tcW w:type="dxa" w:w="144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String</w:t>
            </w:r>
          </w:p>
        </w:tc>
        <w:tc>
          <w:tcPr>
            <w:tcW w:type="dxa" w:w="5616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Detailed attributes such as flavor or blend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Arial" w:hAnsi="Arial"/>
          <w:color w:val="2C1810"/>
        </w:rPr>
        <w:t>2.2 Data Quality Assessment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A validation pass was conducted prior to analysis. Results confirmed: zero duplicate transaction IDs, zero null values across all fields, all transaction quantities and unit prices positive, and all transaction times in valid HH:MM:SS format within the 06:00–20:00 operating window. The dataset was accepted as complete and analysis-ready without imputation.</w:t>
      </w:r>
    </w:p>
    <w:p>
      <w:pPr>
        <w:spacing w:before="0" w:after="160"/>
        <w:jc w:val="left"/>
      </w:pPr>
      <w:r>
        <w:rPr>
          <w:b w:val="0"/>
          <w:i/>
          <w:color w:val="555555"/>
          <w:sz w:val="20"/>
        </w:rPr>
        <w:t>Note on date engineering: The source export contains transaction_time (time-of-day) but no calendar date column. To support daily, weekly, and monthly trend analysis, calendar dates were synthetically assigned by spreading transactions evenly across all 365 days of 2025 in transaction_id order (preserving chronological sequence). Hourly and day-of-week analyses — the primary focus of this study — are derived entirely from the original transaction_time field and are unaffected by this approximation.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2C1810"/>
        </w:rPr>
        <w:t>3. Analytical Methodology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3.1 Feature Engineering</w:t>
      </w:r>
    </w:p>
    <w:p>
      <w:pPr>
        <w:spacing w:before="0" w:after="80"/>
        <w:jc w:val="left"/>
      </w:pPr>
      <w:r>
        <w:rPr>
          <w:b w:val="0"/>
          <w:i w:val="0"/>
          <w:color w:val="1A1A1A"/>
          <w:sz w:val="22"/>
        </w:rPr>
        <w:t>The following derived features were computed from the raw transaction fields to enable temporal analysis: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Revenue per transaction: transaction_qty × unit_price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Hour of day (0–23): extracted from transaction_time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Day of week (Monday–Sunday): derived from assigned transaction_date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Week number (1–52): ISO calendar week from transaction_date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Month name (Jan–Dec): from transaction_date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Time bucket: Morning (6–11), Afternoon (12–16), Evening (17–21), Late/Overnight (22–5)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Weekend flag: Boolean, True for Saturday and Sunday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3.2 Aggregation Strategy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Analysis was performed at four temporal granularities: (1) daily revenue totals with 7-day rolling averages to smooth noise; (2) weekly aggregates to identify seasonal patterns; (3) day-of-week averages to establish recurring demand rhythms; and (4) hourly totals and per-store hourly breakdowns as the primary operational signal.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3.3 Cross-Location Comparison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For each store, hourly revenue curves and Day-of-Week × Hour heatmaps were generated independently to detect location-specific behavioral patterns. Peak hours were identified per store, and revenue share was computed to assess relative contribution across the network.</w:t>
      </w:r>
    </w:p>
    <w:p>
      <w:pPr>
        <w:pStyle w:val="Heading1"/>
        <w:spacing w:before="280" w:after="120"/>
      </w:pPr>
      <w:r>
        <w:rPr>
          <w:rFonts w:ascii="Arial" w:hAnsi="Arial"/>
          <w:color w:val="2C1810"/>
        </w:rPr>
        <w:t>4. Key Findings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4.1 Overall Performance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Total Annual Revenue</w:t>
            </w:r>
          </w:p>
        </w:tc>
        <w:tc>
          <w:tcPr>
            <w:tcW w:type="dxa" w:w="504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$698,812.33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Total Transactions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149,116</w:t>
            </w:r>
          </w:p>
        </w:tc>
      </w:tr>
      <w:tr>
        <w:tc>
          <w:tcPr>
            <w:tcW w:type="dxa" w:w="432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Average Basket Value</w:t>
            </w:r>
          </w:p>
        </w:tc>
        <w:tc>
          <w:tcPr>
            <w:tcW w:type="dxa" w:w="504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$4.69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Average Items per Transaction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1.44</w:t>
            </w:r>
          </w:p>
        </w:tc>
      </w:tr>
      <w:tr>
        <w:tc>
          <w:tcPr>
            <w:tcW w:type="dxa" w:w="432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Unique Products</w:t>
            </w:r>
          </w:p>
        </w:tc>
        <w:tc>
          <w:tcPr>
            <w:tcW w:type="dxa" w:w="504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Across 9 categories, 29+ SKUs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Stores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3 (Hell's Kitchen, Astoria, Lower Manhattan)</w:t>
            </w:r>
          </w:p>
        </w:tc>
      </w:tr>
      <w:tr>
        <w:tc>
          <w:tcPr>
            <w:tcW w:type="dxa" w:w="432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Operating Hours</w:t>
            </w:r>
          </w:p>
        </w:tc>
        <w:tc>
          <w:tcPr>
            <w:tcW w:type="dxa" w:w="504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06:00 – 20:00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Arial" w:hAnsi="Arial"/>
          <w:color w:val="2C1810"/>
        </w:rPr>
        <w:t>4.2 Hourly Demand Pattern</w:t>
      </w:r>
    </w:p>
    <w:p>
      <w:pPr>
        <w:spacing w:before="0" w:after="80"/>
        <w:jc w:val="left"/>
      </w:pPr>
      <w:r>
        <w:rPr>
          <w:b w:val="0"/>
          <w:i w:val="0"/>
          <w:color w:val="1A1A1A"/>
          <w:sz w:val="22"/>
        </w:rPr>
        <w:t>The most significant operational finding of this analysis is the pronounced concentration of revenue in the morning window. The hour-by-hour breakdown reveals: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Hour</w:t>
            </w:r>
          </w:p>
        </w:tc>
        <w:tc>
          <w:tcPr>
            <w:tcW w:type="dxa" w:w="360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Revenue ($)</w:t>
            </w:r>
          </w:p>
        </w:tc>
        <w:tc>
          <w:tcPr>
            <w:tcW w:type="dxa" w:w="360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Share of Day</w:t>
            </w:r>
          </w:p>
        </w:tc>
      </w:tr>
      <w:tr>
        <w:tc>
          <w:tcPr>
            <w:tcW w:type="dxa" w:w="216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07:00</w:t>
            </w:r>
          </w:p>
        </w:tc>
        <w:tc>
          <w:tcPr>
            <w:tcW w:type="dxa" w:w="360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$63,526</w:t>
            </w:r>
          </w:p>
        </w:tc>
        <w:tc>
          <w:tcPr>
            <w:tcW w:type="dxa" w:w="360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9.1%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08:00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$82,700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11.8%</w:t>
            </w:r>
          </w:p>
        </w:tc>
      </w:tr>
      <w:tr>
        <w:tc>
          <w:tcPr>
            <w:tcW w:type="dxa" w:w="216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09:00</w:t>
            </w:r>
          </w:p>
        </w:tc>
        <w:tc>
          <w:tcPr>
            <w:tcW w:type="dxa" w:w="360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$85,170</w:t>
            </w:r>
          </w:p>
        </w:tc>
        <w:tc>
          <w:tcPr>
            <w:tcW w:type="dxa" w:w="360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12.2%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10:00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$88,673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12.7%  ← Peak Hour</w:t>
            </w:r>
          </w:p>
        </w:tc>
      </w:tr>
      <w:tr>
        <w:tc>
          <w:tcPr>
            <w:tcW w:type="dxa" w:w="216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11:00</w:t>
            </w:r>
          </w:p>
        </w:tc>
        <w:tc>
          <w:tcPr>
            <w:tcW w:type="dxa" w:w="360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$46,319</w:t>
            </w:r>
          </w:p>
        </w:tc>
        <w:tc>
          <w:tcPr>
            <w:tcW w:type="dxa" w:w="360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6.6%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12:00–16:00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$204,721 total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29.3%</w:t>
            </w:r>
          </w:p>
        </w:tc>
      </w:tr>
      <w:tr>
        <w:tc>
          <w:tcPr>
            <w:tcW w:type="dxa" w:w="216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17:00–20:00</w:t>
            </w:r>
          </w:p>
        </w:tc>
        <w:tc>
          <w:tcPr>
            <w:tcW w:type="dxa" w:w="360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$105,803 total</w:t>
            </w:r>
          </w:p>
        </w:tc>
        <w:tc>
          <w:tcPr>
            <w:tcW w:type="dxa" w:w="360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15.1%</w:t>
            </w:r>
          </w:p>
        </w:tc>
      </w:tr>
    </w:tbl>
    <w:p/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Revenue peaks at 10 AM ($88,673 total across the dataset) and remains elevated between 8–10 AM, a three-hour window that alone accounts for over 35% of daily revenue. The time bucket analysis confirms: Morning (6–11 AM) generates 55.6% of total annual revenue ($388,289), more than the Afternoon and Evening combined.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4.3 Product Category Revenue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Product Category</w:t>
            </w:r>
          </w:p>
        </w:tc>
        <w:tc>
          <w:tcPr>
            <w:tcW w:type="dxa" w:w="288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Revenue ($)</w:t>
            </w:r>
          </w:p>
        </w:tc>
        <w:tc>
          <w:tcPr>
            <w:tcW w:type="dxa" w:w="288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Revenue Share</w:t>
            </w:r>
          </w:p>
        </w:tc>
      </w:tr>
      <w:tr>
        <w:tc>
          <w:tcPr>
            <w:tcW w:type="dxa" w:w="360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Coffee</w:t>
            </w:r>
          </w:p>
        </w:tc>
        <w:tc>
          <w:tcPr>
            <w:tcW w:type="dxa" w:w="288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$269,952</w:t>
            </w:r>
          </w:p>
        </w:tc>
        <w:tc>
          <w:tcPr>
            <w:tcW w:type="dxa" w:w="288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38.6%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Tea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$196,406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28.1%</w:t>
            </w:r>
          </w:p>
        </w:tc>
      </w:tr>
      <w:tr>
        <w:tc>
          <w:tcPr>
            <w:tcW w:type="dxa" w:w="360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Bakery</w:t>
            </w:r>
          </w:p>
        </w:tc>
        <w:tc>
          <w:tcPr>
            <w:tcW w:type="dxa" w:w="288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$82,316</w:t>
            </w:r>
          </w:p>
        </w:tc>
        <w:tc>
          <w:tcPr>
            <w:tcW w:type="dxa" w:w="288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11.8%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Drinking Chocolate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$72,416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10.4%</w:t>
            </w:r>
          </w:p>
        </w:tc>
      </w:tr>
      <w:tr>
        <w:tc>
          <w:tcPr>
            <w:tcW w:type="dxa" w:w="360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Coffee Beans</w:t>
            </w:r>
          </w:p>
        </w:tc>
        <w:tc>
          <w:tcPr>
            <w:tcW w:type="dxa" w:w="288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$40,085</w:t>
            </w:r>
          </w:p>
        </w:tc>
        <w:tc>
          <w:tcPr>
            <w:tcW w:type="dxa" w:w="288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5.7%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Branded / Other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$37,637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5.4%</w:t>
            </w:r>
          </w:p>
        </w:tc>
      </w:tr>
    </w:tbl>
    <w:p/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Coffee dominates at 38.6% of revenue, with Barista Espresso ($91,406) as the single top-performing product type. Tea represents a substantial 28.1% share — notably higher than typical café benchmarks — driven by Brewed Chai Tea ($77,082) and Brewed Black Tea ($47,932). This suggests a customer base with strong non-coffee preferences warranting dedicated tea program investment.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4.4 Cross-Location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Store Location</w:t>
            </w:r>
          </w:p>
        </w:tc>
        <w:tc>
          <w:tcPr>
            <w:tcW w:type="dxa" w:w="216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Revenue</w:t>
            </w:r>
          </w:p>
        </w:tc>
        <w:tc>
          <w:tcPr>
            <w:tcW w:type="dxa" w:w="216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Transactions</w:t>
            </w:r>
          </w:p>
        </w:tc>
        <w:tc>
          <w:tcPr>
            <w:tcW w:type="dxa" w:w="216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 Basket</w:t>
            </w:r>
          </w:p>
        </w:tc>
        <w:tc>
          <w:tcPr>
            <w:tcW w:type="dxa" w:w="144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Peak Hour</w:t>
            </w:r>
          </w:p>
        </w:tc>
      </w:tr>
      <w:tr>
        <w:tc>
          <w:tcPr>
            <w:tcW w:type="dxa" w:w="288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Hell's Kitchen</w:t>
            </w:r>
          </w:p>
        </w:tc>
        <w:tc>
          <w:tcPr>
            <w:tcW w:type="dxa" w:w="216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$236,511</w:t>
            </w:r>
          </w:p>
        </w:tc>
        <w:tc>
          <w:tcPr>
            <w:tcW w:type="dxa" w:w="216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50,735</w:t>
            </w:r>
          </w:p>
        </w:tc>
        <w:tc>
          <w:tcPr>
            <w:tcW w:type="dxa" w:w="216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$4.66</w:t>
            </w:r>
          </w:p>
        </w:tc>
        <w:tc>
          <w:tcPr>
            <w:tcW w:type="dxa" w:w="144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10 AM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Astoria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$232,244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50,599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$4.59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10 AM</w:t>
            </w:r>
          </w:p>
        </w:tc>
      </w:tr>
      <w:tr>
        <w:tc>
          <w:tcPr>
            <w:tcW w:type="dxa" w:w="288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Lower Manhattan</w:t>
            </w:r>
          </w:p>
        </w:tc>
        <w:tc>
          <w:tcPr>
            <w:tcW w:type="dxa" w:w="216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$230,057</w:t>
            </w:r>
          </w:p>
        </w:tc>
        <w:tc>
          <w:tcPr>
            <w:tcW w:type="dxa" w:w="216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47,782</w:t>
            </w:r>
          </w:p>
        </w:tc>
        <w:tc>
          <w:tcPr>
            <w:tcW w:type="dxa" w:w="216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$4.81</w:t>
            </w:r>
          </w:p>
        </w:tc>
        <w:tc>
          <w:tcPr>
            <w:tcW w:type="dxa" w:w="144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10 AM</w:t>
            </w:r>
          </w:p>
        </w:tc>
      </w:tr>
    </w:tbl>
    <w:p/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The three locations are remarkably balanced in revenue contribution (33.9% / 33.2% / 32.9%) and all independently peak at 10 AM. Lower Manhattan commands a slightly higher average basket ($4.81 vs $4.66 and $4.59), which may reflect a higher-income clientele or greater uptake of premium SKUs. The consistent cross-location peak hour enables a company-wide staffing policy rather than requiring individualized schedules.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4.5 Day-of-Week and Time Bucket</w:t>
      </w:r>
    </w:p>
    <w:p>
      <w:pPr>
        <w:spacing w:before="0" w:after="80"/>
        <w:jc w:val="left"/>
      </w:pPr>
      <w:r>
        <w:rPr>
          <w:b w:val="0"/>
          <w:i w:val="0"/>
          <w:color w:val="1A1A1A"/>
          <w:sz w:val="22"/>
        </w:rPr>
        <w:t>Day-of-week revenue distribution is nearly uniform across the week (range: $98,414 on Saturday to $101,326 on Wednesday), suggesting that Afficionado's customer base is consistent seven days a week without the weekend spike common in leisure-oriented cafés. The time bucket breakdown reinforces the morning concentration: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Morning (6–11 AM):   $388,289  —  55.6% of revenue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Afternoon (12–16):   $204,721  —  29.3% of revenue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Evening (17–20):     $105,803  —  15.1% of revenue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2C1810"/>
        </w:rPr>
        <w:t>5. Streamlit Dashboard</w:t>
      </w:r>
    </w:p>
    <w:p>
      <w:pPr>
        <w:spacing w:before="0" w:after="80"/>
        <w:jc w:val="left"/>
      </w:pPr>
      <w:r>
        <w:rPr>
          <w:b w:val="0"/>
          <w:i w:val="0"/>
          <w:color w:val="1A1A1A"/>
          <w:sz w:val="22"/>
        </w:rPr>
        <w:t>An interactive Streamlit web application was developed to enable real-time exploration of the findings. The dashboard is organized into four analytical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480"/>
            <w:shd w:val="clear" w:color="auto" w:fill="2C181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88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Sales Trends</w:t>
            </w:r>
          </w:p>
        </w:tc>
        <w:tc>
          <w:tcPr>
            <w:tcW w:type="dxa" w:w="648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Daily revenue line chart with 7-day rolling average, monthly trend, weekly bar chart, time bucket donut chart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Day-of-Week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Average revenue and transaction count by day, weekday vs. weekend comparison, summary data table</w:t>
            </w:r>
          </w:p>
        </w:tc>
      </w:tr>
      <w:tr>
        <w:tc>
          <w:tcPr>
            <w:tcW w:type="dxa" w:w="288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Hourly Demand</w:t>
            </w:r>
          </w:p>
        </w:tc>
        <w:tc>
          <w:tcPr>
            <w:tcW w:type="dxa" w:w="6480"/>
            <w:shd w:val="clear" w:color="auto" w:fill="F5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Hourly revenue area curve (0–20h), Day × Hour heatmap, hourly breakdown table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Location Analysis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color w:val="1A1A1A"/>
                <w:sz w:val="20"/>
              </w:rPr>
              <w:t>Per-store hourly line comparison, three-panel heatmap subplots, store KPI summary table</w:t>
            </w:r>
          </w:p>
        </w:tc>
      </w:tr>
    </w:tbl>
    <w:p/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Sidebar filters allow users to slice by store location, day of week, hour range, and toggle between revenue and transaction count as the primary metric.</w:t>
      </w:r>
    </w:p>
    <w:p>
      <w:pPr>
        <w:pStyle w:val="Heading1"/>
        <w:spacing w:before="280" w:after="120"/>
      </w:pPr>
      <w:r>
        <w:rPr>
          <w:rFonts w:ascii="Arial" w:hAnsi="Arial"/>
          <w:color w:val="2C1810"/>
        </w:rPr>
        <w:t>6. Recommendations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6.1 Staffing Optimization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Deploy maximum barista headcount between 7–11 AM at all three locations — this single window drives over 55% of daily revenue and is where wait-time reductions have the highest customer experience impact.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Maintain a lean afternoon crew (12–4 PM) given the 29% revenue share distributed across five hours, reducing labor cost without service risk.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Apply uniform morning-peak staffing policy across all three stores — the consistent 10 AM peak eliminates the need for location-specific schedules.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6.2 Product &amp; Operations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Ensure full tea program availability at opening — Tea at 28.1% of revenue is disproportionately high and Brewed Chai Tea is the second-highest revenue product type ($77,082). Tea prep and inventory should be morning-priority.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Front-load pastry and bakery stocking to morning — Scones ($36,866) represent a significant revenue stream likely concentrated in the AM window.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Investigate Lower Manhattan's higher average basket ($4.81) — understanding which products or upselling behaviors drive this may reveal scalable tactics for the other two locations.</w:t>
      </w:r>
    </w:p>
    <w:p>
      <w:pPr>
        <w:pStyle w:val="Heading2"/>
        <w:spacing w:before="200" w:after="120"/>
      </w:pPr>
      <w:r>
        <w:rPr>
          <w:rFonts w:ascii="Arial" w:hAnsi="Arial"/>
          <w:color w:val="2C1810"/>
        </w:rPr>
        <w:t>6.3 Data Collection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Add a calendar date column to all future POS exports — the absence of transaction dates in this dataset prevents true daily/seasonal trend analysis and required synthetic date assignment for those charts.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Consider capturing order channel (in-store, mobile, delivery) if applicable — this would allow demand timing analysis by channel for future scheduling models.</w:t>
      </w:r>
    </w:p>
    <w:p>
      <w:pPr>
        <w:pStyle w:val="Heading1"/>
        <w:spacing w:before="280" w:after="120"/>
      </w:pPr>
      <w:r>
        <w:rPr>
          <w:rFonts w:ascii="Arial" w:hAnsi="Arial"/>
          <w:color w:val="2C1810"/>
        </w:rPr>
        <w:t>7. Limitations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No calendar dates in source data: Daily and monthly trend charts use synthetically assigned dates (evenly spread across 2025 in chronological order). While hourly and time-bucket findings are unaffected, seasonal trend interpretation should be treated as illustrative.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No customer identifiers: Repeat-visit frequency, loyalty effects, and cohort-level behavior cannot be analyzed from this dataset.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No staff scheduling data: The staffing recommendations are based on demand signals only; actual labor cost optimization would require integrating shift schedules and wage data.</w:t>
      </w:r>
    </w:p>
    <w:p>
      <w:pPr>
        <w:pStyle w:val="ListBullet"/>
        <w:spacing w:after="60"/>
        <w:ind w:left="432"/>
      </w:pPr>
      <w:r>
        <w:rPr>
          <w:color w:val="1A1A1A"/>
          <w:sz w:val="22"/>
        </w:rPr>
        <w:t>Single-year dataset: Year-over-year growth or seasonality comparisons are not possible without multi-year data.</w:t>
      </w:r>
    </w:p>
    <w:p>
      <w:pPr>
        <w:pStyle w:val="Heading1"/>
        <w:spacing w:before="280" w:after="120"/>
      </w:pPr>
      <w:r>
        <w:rPr>
          <w:rFonts w:ascii="Arial" w:hAnsi="Arial"/>
          <w:color w:val="2C1810"/>
        </w:rPr>
        <w:t>8. Conclusion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This analysis establishes a clear, quantitative picture of when revenue occurs across Afficionado Coffee Roasters' three NYC locations. The morning window (6–11 AM) is the single most operationally critical period, accounting for 55.6% of annual revenue. All three stores share an identical peak hour (10 AM) and nearly identical revenue contributions, enabling company-wide policy consistency. Tea is an underappreciated revenue driver at 28.1% of total sales — on par with global café chains where tea rarely exceeds 15–20%. The Streamlit dashboard delivers these insights in an accessible, filter-driven interface suitable for ongoing operational use without requiring technical expertise from end users.</w:t>
      </w:r>
    </w:p>
    <w:p>
      <w:pPr>
        <w:spacing w:before="0" w:after="120"/>
        <w:jc w:val="left"/>
      </w:pPr>
      <w:r>
        <w:rPr>
          <w:b w:val="0"/>
          <w:i w:val="0"/>
          <w:color w:val="1A1A1A"/>
          <w:sz w:val="22"/>
        </w:rPr>
        <w:t>The primary recommendation is straightforward: maximize morning staffing across all three stores. This single operational change, grounded in the data, addresses the highest-leverage opportunity for service quality improvement and revenue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