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jc w:val="center"/>
      </w:pPr>
      <w:r>
        <w:rPr>
          <w:rFonts w:ascii="Arial" w:cs="Arial" w:eastAsia="Arial" w:hAnsi="Arial"/>
          <w:b/>
          <w:bCs/>
          <w:caps/>
          <w:color w:val="666666"/>
          <w:sz w:val="20"/>
          <w:szCs w:val="20"/>
        </w:rPr>
        <w:t xml:space="preserve">EXECUTIVE SUMMARY</w:t>
      </w:r>
    </w:p>
    <w:p>
      <w:pPr>
        <w:spacing w:after="120" w:before="0"/>
        <w:jc w:val="center"/>
      </w:pPr>
      <w:r>
        <w:rPr>
          <w:rFonts w:ascii="Arial" w:cs="Arial" w:eastAsia="Arial" w:hAnsi="Arial"/>
          <w:b/>
          <w:bCs/>
          <w:color w:val="7B2D8B"/>
          <w:sz w:val="40"/>
          <w:szCs w:val="40"/>
        </w:rPr>
        <w:t xml:space="preserve">Factory-to-Customer Shipping Route Efficiency Analysis</w:t>
      </w:r>
    </w:p>
    <w:p>
      <w:pPr>
        <w:pBdr>
          <w:bottom w:val="single" w:color="7B2D8B" w:sz="8" w:space="10"/>
        </w:pBdr>
        <w:spacing w:after="360" w:before="0"/>
        <w:jc w:val="center"/>
      </w:pPr>
      <w:r>
        <w:rPr>
          <w:rFonts w:ascii="Arial" w:cs="Arial" w:eastAsia="Arial" w:hAnsi="Arial"/>
          <w:b/>
          <w:bCs/>
          <w:color w:val="B5360E"/>
          <w:sz w:val="24"/>
          <w:szCs w:val="24"/>
        </w:rPr>
        <w:t xml:space="preserve">Nassau Candy Distributor  ·  June 2026</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7B2D8B" w:val="clear"/>
            <w:tcMar>
              <w:top w:type="dxa" w:w="160"/>
              <w:left w:type="dxa" w:w="120"/>
              <w:bottom w:type="dxa" w:w="160"/>
              <w:right w:type="dxa" w:w="120"/>
            </w:tcMar>
            <w:vAlign w:val="center"/>
          </w:tcPr>
          <w:p>
            <w:pPr>
              <w:jc w:val="center"/>
            </w:pPr>
            <w:r>
              <w:rPr>
                <w:rFonts w:ascii="Arial" w:cs="Arial" w:eastAsia="Arial" w:hAnsi="Arial"/>
                <w:b/>
                <w:bCs/>
                <w:color w:val="FFFFFF"/>
                <w:sz w:val="52"/>
                <w:szCs w:val="52"/>
              </w:rPr>
              <w:t xml:space="preserve">5</w:t>
            </w:r>
          </w:p>
          <w:p>
            <w:pPr>
              <w:jc w:val="center"/>
            </w:pPr>
            <w:r>
              <w:rPr>
                <w:rFonts w:ascii="Arial" w:cs="Arial" w:eastAsia="Arial" w:hAnsi="Arial"/>
                <w:color w:val="FFFFFF"/>
                <w:sz w:val="18"/>
                <w:szCs w:val="18"/>
              </w:rPr>
              <w:t xml:space="preserve">Manufacturing Facilities</w:t>
            </w:r>
          </w:p>
        </w:tc>
        <w:tc>
          <w:tcPr>
            <w:tcW w:type="dxa" w:w="2340"/>
            <w:tcBorders>
              <w:top w:val="single" w:color="CCCCCC" w:sz="1"/>
              <w:left w:val="single" w:color="CCCCCC" w:sz="1"/>
              <w:bottom w:val="single" w:color="CCCCCC" w:sz="1"/>
              <w:right w:val="single" w:color="CCCCCC" w:sz="1"/>
            </w:tcBorders>
            <w:shd w:fill="B5360E" w:val="clear"/>
            <w:tcMar>
              <w:top w:type="dxa" w:w="160"/>
              <w:left w:type="dxa" w:w="120"/>
              <w:bottom w:type="dxa" w:w="160"/>
              <w:right w:type="dxa" w:w="120"/>
            </w:tcMar>
            <w:vAlign w:val="center"/>
          </w:tcPr>
          <w:p>
            <w:pPr>
              <w:jc w:val="center"/>
            </w:pPr>
            <w:r>
              <w:rPr>
                <w:rFonts w:ascii="Arial" w:cs="Arial" w:eastAsia="Arial" w:hAnsi="Arial"/>
                <w:b/>
                <w:bCs/>
                <w:color w:val="FFFFFF"/>
                <w:sz w:val="52"/>
                <w:szCs w:val="52"/>
              </w:rPr>
              <w:t xml:space="preserve">15</w:t>
            </w:r>
          </w:p>
          <w:p>
            <w:pPr>
              <w:jc w:val="center"/>
            </w:pPr>
            <w:r>
              <w:rPr>
                <w:rFonts w:ascii="Arial" w:cs="Arial" w:eastAsia="Arial" w:hAnsi="Arial"/>
                <w:color w:val="FFFFFF"/>
                <w:sz w:val="18"/>
                <w:szCs w:val="18"/>
              </w:rPr>
              <w:t xml:space="preserve">Candy SKUs</w:t>
            </w:r>
          </w:p>
        </w:tc>
        <w:tc>
          <w:tcPr>
            <w:tcW w:type="dxa" w:w="2340"/>
            <w:tcBorders>
              <w:top w:val="single" w:color="CCCCCC" w:sz="1"/>
              <w:left w:val="single" w:color="CCCCCC" w:sz="1"/>
              <w:bottom w:val="single" w:color="CCCCCC" w:sz="1"/>
              <w:right w:val="single" w:color="CCCCCC" w:sz="1"/>
            </w:tcBorders>
            <w:shd w:fill="7B2D8B" w:val="clear"/>
            <w:tcMar>
              <w:top w:type="dxa" w:w="160"/>
              <w:left w:type="dxa" w:w="120"/>
              <w:bottom w:type="dxa" w:w="160"/>
              <w:right w:type="dxa" w:w="120"/>
            </w:tcMar>
            <w:vAlign w:val="center"/>
          </w:tcPr>
          <w:p>
            <w:pPr>
              <w:jc w:val="center"/>
            </w:pPr>
            <w:r>
              <w:rPr>
                <w:rFonts w:ascii="Arial" w:cs="Arial" w:eastAsia="Arial" w:hAnsi="Arial"/>
                <w:b/>
                <w:bCs/>
                <w:color w:val="FFFFFF"/>
                <w:sz w:val="52"/>
                <w:szCs w:val="52"/>
              </w:rPr>
              <w:t xml:space="preserve">3</w:t>
            </w:r>
          </w:p>
          <w:p>
            <w:pPr>
              <w:jc w:val="center"/>
            </w:pPr>
            <w:r>
              <w:rPr>
                <w:rFonts w:ascii="Arial" w:cs="Arial" w:eastAsia="Arial" w:hAnsi="Arial"/>
                <w:color w:val="FFFFFF"/>
                <w:sz w:val="18"/>
                <w:szCs w:val="18"/>
              </w:rPr>
              <w:t xml:space="preserve">Product Divisions</w:t>
            </w:r>
          </w:p>
        </w:tc>
        <w:tc>
          <w:tcPr>
            <w:tcW w:type="dxa" w:w="2340"/>
            <w:tcBorders>
              <w:top w:val="single" w:color="CCCCCC" w:sz="1"/>
              <w:left w:val="single" w:color="CCCCCC" w:sz="1"/>
              <w:bottom w:val="single" w:color="CCCCCC" w:sz="1"/>
              <w:right w:val="single" w:color="CCCCCC" w:sz="1"/>
            </w:tcBorders>
            <w:shd w:fill="B5360E" w:val="clear"/>
            <w:tcMar>
              <w:top w:type="dxa" w:w="160"/>
              <w:left w:type="dxa" w:w="120"/>
              <w:bottom w:type="dxa" w:w="160"/>
              <w:right w:type="dxa" w:w="120"/>
            </w:tcMar>
            <w:vAlign w:val="center"/>
          </w:tcPr>
          <w:p>
            <w:pPr>
              <w:jc w:val="center"/>
            </w:pPr>
            <w:r>
              <w:rPr>
                <w:rFonts w:ascii="Arial" w:cs="Arial" w:eastAsia="Arial" w:hAnsi="Arial"/>
                <w:b/>
                <w:bCs/>
                <w:color w:val="FFFFFF"/>
                <w:sz w:val="52"/>
                <w:szCs w:val="52"/>
              </w:rPr>
              <w:t xml:space="preserve">4</w:t>
            </w:r>
          </w:p>
          <w:p>
            <w:pPr>
              <w:jc w:val="center"/>
            </w:pPr>
            <w:r>
              <w:rPr>
                <w:rFonts w:ascii="Arial" w:cs="Arial" w:eastAsia="Arial" w:hAnsi="Arial"/>
                <w:color w:val="FFFFFF"/>
                <w:sz w:val="18"/>
                <w:szCs w:val="18"/>
              </w:rPr>
              <w:t xml:space="preserve">US Regions Served</w:t>
            </w:r>
          </w:p>
        </w:tc>
      </w:tr>
    </w:tbl>
    <w:p>
      <w:pPr>
        <w:spacing w:after="120" w:before="0"/>
      </w:pPr>
      <w:r>
        <w:t xml:space="preserve"/>
      </w:r>
    </w:p>
    <w:p>
      <w:pPr>
        <w:pStyle w:val="Heading1"/>
        <w:pBdr>
          <w:bottom w:val="single" w:color="7B2D8B" w:sz="6" w:space="4"/>
        </w:pBdr>
        <w:spacing w:after="140" w:before="320"/>
      </w:pPr>
      <w:r>
        <w:rPr>
          <w:rFonts w:ascii="Arial" w:cs="Arial" w:eastAsia="Arial" w:hAnsi="Arial"/>
          <w:b/>
          <w:bCs/>
          <w:color w:val="7B2D8B"/>
          <w:sz w:val="30"/>
          <w:szCs w:val="30"/>
        </w:rPr>
        <w:t xml:space="preserve">Purpose of This Report</w:t>
      </w:r>
    </w:p>
    <w:p>
      <w:pPr>
        <w:spacing w:after="120" w:before="80" w:line="340"/>
        <w:jc w:val="both"/>
      </w:pPr>
      <w:r>
        <w:rPr>
          <w:rFonts w:ascii="Arial" w:cs="Arial" w:eastAsia="Arial" w:hAnsi="Arial"/>
          <w:color w:val="1A1A1A"/>
          <w:sz w:val="22"/>
          <w:szCs w:val="22"/>
        </w:rPr>
        <w:t xml:space="preserve">This executive summary presents the strategic findings and recommendations from a comprehensive data-driven analysis of Nassau Candy Distributor's national shipping operations. The analysis examines factory-to-customer route performance across five manufacturing facilities and all US destination markets, with the objective of enabling proactive, intelligence-led logistics management.</w:t>
      </w:r>
    </w:p>
    <w:p>
      <w:pPr>
        <w:spacing w:after="120" w:before="0"/>
      </w:pPr>
      <w:r>
        <w:t xml:space="preserve"/>
      </w:r>
    </w:p>
    <w:p>
      <w:pPr>
        <w:spacing w:after="120" w:before="80" w:line="340"/>
        <w:jc w:val="both"/>
      </w:pPr>
      <w:r>
        <w:rPr>
          <w:rFonts w:ascii="Arial" w:cs="Arial" w:eastAsia="Arial" w:hAnsi="Arial"/>
          <w:color w:val="1A1A1A"/>
          <w:sz w:val="22"/>
          <w:szCs w:val="22"/>
        </w:rPr>
        <w:t xml:space="preserve">This report is intended for senior leadership, operations directors, and logistics stakeholders responsible for carrier strategy, network design, and customer service performance. Technical detail is available in the accompanying full research paper and interactive Streamlit analytics dashboard.</w:t>
      </w:r>
    </w:p>
    <w:p>
      <w:pPr>
        <w:pStyle w:val="Heading1"/>
        <w:pBdr>
          <w:bottom w:val="single" w:color="7B2D8B" w:sz="6" w:space="4"/>
        </w:pBdr>
        <w:spacing w:after="140" w:before="320"/>
      </w:pPr>
      <w:r>
        <w:rPr>
          <w:rFonts w:ascii="Arial" w:cs="Arial" w:eastAsia="Arial" w:hAnsi="Arial"/>
          <w:b/>
          <w:bCs/>
          <w:color w:val="7B2D8B"/>
          <w:sz w:val="30"/>
          <w:szCs w:val="30"/>
        </w:rPr>
        <w:t xml:space="preserve">Business Context and Problem</w:t>
      </w:r>
    </w:p>
    <w:p>
      <w:pPr>
        <w:spacing w:after="120" w:before="80" w:line="340"/>
        <w:jc w:val="both"/>
      </w:pPr>
      <w:r>
        <w:rPr>
          <w:rFonts w:ascii="Arial" w:cs="Arial" w:eastAsia="Arial" w:hAnsi="Arial"/>
          <w:color w:val="1A1A1A"/>
          <w:sz w:val="22"/>
          <w:szCs w:val="22"/>
        </w:rPr>
        <w:t xml:space="preserve">Nassau Candy Distributor operates a complex national distribution network, shipping fifteen candy products across three divisions — Chocolate, Sugar, and Other — from five geographically distributed factories to customers nationwide. Despite the availability of rich order and shipment data, logistics decisions have historically been made without systematic route-level performance intelligence.</w:t>
      </w:r>
    </w:p>
    <w:p>
      <w:pPr>
        <w:spacing w:after="120" w:before="0"/>
      </w:pPr>
      <w:r>
        <w:t xml:space="preserve"/>
      </w:r>
    </w:p>
    <w:p>
      <w:pPr>
        <w:spacing w:after="120" w:before="80" w:line="340"/>
        <w:jc w:val="both"/>
      </w:pPr>
      <w:r>
        <w:rPr>
          <w:rFonts w:ascii="Arial" w:cs="Arial" w:eastAsia="Arial" w:hAnsi="Arial"/>
          <w:color w:val="1A1A1A"/>
          <w:sz w:val="22"/>
          <w:szCs w:val="22"/>
        </w:rPr>
        <w:t xml:space="preserve">This gap has resulted in reactive logistics management: delays are addressed after they occur, carrier contracts are renewed without performance data, and geographic bottlenecks persist without visibility. The business case for this analysis is grounded in three imperatives:</w:t>
      </w:r>
    </w:p>
    <w:p>
      <w:pPr>
        <w:pStyle w:val="ListParagraph"/>
        <w:numPr>
          <w:ilvl w:val="0"/>
          <w:numId w:val="2"/>
        </w:numPr>
        <w:spacing w:after="60" w:before="60"/>
      </w:pPr>
      <w:r>
        <w:rPr>
          <w:rFonts w:ascii="Arial" w:cs="Arial" w:eastAsia="Arial" w:hAnsi="Arial"/>
          <w:color w:val="1A1A1A"/>
          <w:sz w:val="22"/>
          <w:szCs w:val="22"/>
        </w:rPr>
        <w:t xml:space="preserve">Customer satisfaction: Shipping delays directly erode customer experience and increase return/cancellation rates.</w:t>
      </w:r>
    </w:p>
    <w:p>
      <w:pPr>
        <w:pStyle w:val="ListParagraph"/>
        <w:numPr>
          <w:ilvl w:val="0"/>
          <w:numId w:val="2"/>
        </w:numPr>
        <w:spacing w:after="60" w:before="60"/>
      </w:pPr>
      <w:r>
        <w:rPr>
          <w:rFonts w:ascii="Arial" w:cs="Arial" w:eastAsia="Arial" w:hAnsi="Arial"/>
          <w:color w:val="1A1A1A"/>
          <w:sz w:val="22"/>
          <w:szCs w:val="22"/>
        </w:rPr>
        <w:t xml:space="preserve">Cost efficiency: Unplanned use of expedited shipping to remedy delays carries significant premium cost.</w:t>
      </w:r>
    </w:p>
    <w:p>
      <w:pPr>
        <w:pStyle w:val="ListParagraph"/>
        <w:numPr>
          <w:ilvl w:val="0"/>
          <w:numId w:val="2"/>
        </w:numPr>
        <w:spacing w:after="60" w:before="60"/>
      </w:pPr>
      <w:r>
        <w:rPr>
          <w:rFonts w:ascii="Arial" w:cs="Arial" w:eastAsia="Arial" w:hAnsi="Arial"/>
          <w:color w:val="1A1A1A"/>
          <w:sz w:val="22"/>
          <w:szCs w:val="22"/>
        </w:rPr>
        <w:t xml:space="preserve">Scalability: Without route-level intelligence, the network cannot be optimised as volume grows.</w:t>
      </w:r>
    </w:p>
    <w:p>
      <w:pPr>
        <w:pStyle w:val="Heading1"/>
        <w:pBdr>
          <w:bottom w:val="single" w:color="7B2D8B" w:sz="6" w:space="4"/>
        </w:pBdr>
        <w:spacing w:after="140" w:before="320"/>
      </w:pPr>
      <w:r>
        <w:rPr>
          <w:rFonts w:ascii="Arial" w:cs="Arial" w:eastAsia="Arial" w:hAnsi="Arial"/>
          <w:b/>
          <w:bCs/>
          <w:color w:val="7B2D8B"/>
          <w:sz w:val="30"/>
          <w:szCs w:val="30"/>
        </w:rPr>
        <w:t xml:space="preserve">Analytical Approach</w:t>
      </w:r>
    </w:p>
    <w:p>
      <w:pPr>
        <w:spacing w:after="120" w:before="80" w:line="340"/>
        <w:jc w:val="both"/>
      </w:pPr>
      <w:r>
        <w:rPr>
          <w:rFonts w:ascii="Arial" w:cs="Arial" w:eastAsia="Arial" w:hAnsi="Arial"/>
          <w:color w:val="1A1A1A"/>
          <w:sz w:val="22"/>
          <w:szCs w:val="22"/>
        </w:rPr>
        <w:t xml:space="preserve">The analysis applied a structured five-stage methodology to the Nassau Candy Distributor order dataset:</w:t>
      </w:r>
    </w:p>
    <w:p>
      <w:pPr>
        <w:pStyle w:val="ListParagraph"/>
        <w:numPr>
          <w:ilvl w:val="0"/>
          <w:numId w:val="2"/>
        </w:numPr>
        <w:spacing w:after="60" w:before="60"/>
      </w:pPr>
      <w:r>
        <w:rPr>
          <w:rFonts w:ascii="Arial" w:cs="Arial" w:eastAsia="Arial" w:hAnsi="Arial"/>
          <w:color w:val="1A1A1A"/>
          <w:sz w:val="22"/>
          <w:szCs w:val="22"/>
        </w:rPr>
        <w:t xml:space="preserve">Data Cleaning: Validation of date formats, removal of invalid lead times, standardisation of geographic fields.</w:t>
      </w:r>
    </w:p>
    <w:p>
      <w:pPr>
        <w:pStyle w:val="ListParagraph"/>
        <w:numPr>
          <w:ilvl w:val="0"/>
          <w:numId w:val="2"/>
        </w:numPr>
        <w:spacing w:after="60" w:before="60"/>
      </w:pPr>
      <w:r>
        <w:rPr>
          <w:rFonts w:ascii="Arial" w:cs="Arial" w:eastAsia="Arial" w:hAnsi="Arial"/>
          <w:color w:val="1A1A1A"/>
          <w:sz w:val="22"/>
          <w:szCs w:val="22"/>
        </w:rPr>
        <w:t xml:space="preserve">Feature Engineering: Computation of Shipping Lead Time (Ship Date minus Order Date), factory assignment from product-factory lookup, and route definition as Factory-to-State pairs.</w:t>
      </w:r>
    </w:p>
    <w:p>
      <w:pPr>
        <w:pStyle w:val="ListParagraph"/>
        <w:numPr>
          <w:ilvl w:val="0"/>
          <w:numId w:val="2"/>
        </w:numPr>
        <w:spacing w:after="60" w:before="60"/>
      </w:pPr>
      <w:r>
        <w:rPr>
          <w:rFonts w:ascii="Arial" w:cs="Arial" w:eastAsia="Arial" w:hAnsi="Arial"/>
          <w:color w:val="1A1A1A"/>
          <w:sz w:val="22"/>
          <w:szCs w:val="22"/>
        </w:rPr>
        <w:t xml:space="preserve">Route Benchmarking: Aggregation of routes by shipment volume, average lead time, delay rate, and a composite Efficiency Score (60% normalised lead time + 40% normalised delay rate).</w:t>
      </w:r>
    </w:p>
    <w:p>
      <w:pPr>
        <w:pStyle w:val="ListParagraph"/>
        <w:numPr>
          <w:ilvl w:val="0"/>
          <w:numId w:val="2"/>
        </w:numPr>
        <w:spacing w:after="60" w:before="60"/>
      </w:pPr>
      <w:r>
        <w:rPr>
          <w:rFonts w:ascii="Arial" w:cs="Arial" w:eastAsia="Arial" w:hAnsi="Arial"/>
          <w:color w:val="1A1A1A"/>
          <w:sz w:val="22"/>
          <w:szCs w:val="22"/>
        </w:rPr>
        <w:t xml:space="preserve">Geographic Analysis: US choropleth mapping to identify bottleneck regions and states, regional bubble charts to triage high-volume/high-delay combinations.</w:t>
      </w:r>
    </w:p>
    <w:p>
      <w:pPr>
        <w:pStyle w:val="ListParagraph"/>
        <w:numPr>
          <w:ilvl w:val="0"/>
          <w:numId w:val="2"/>
        </w:numPr>
        <w:spacing w:after="60" w:before="60"/>
      </w:pPr>
      <w:r>
        <w:rPr>
          <w:rFonts w:ascii="Arial" w:cs="Arial" w:eastAsia="Arial" w:hAnsi="Arial"/>
          <w:color w:val="1A1A1A"/>
          <w:sz w:val="22"/>
          <w:szCs w:val="22"/>
        </w:rPr>
        <w:t xml:space="preserve">Ship Mode Analysis: Comparison of Standard versus Expedited modes across lead time, delay rate, and cost dimensions.</w:t>
      </w:r>
    </w:p>
    <w:p>
      <w:pPr>
        <w:pStyle w:val="Heading1"/>
        <w:pBdr>
          <w:bottom w:val="single" w:color="7B2D8B" w:sz="6" w:space="4"/>
        </w:pBdr>
        <w:spacing w:after="140" w:before="320"/>
      </w:pPr>
      <w:r>
        <w:rPr>
          <w:rFonts w:ascii="Arial" w:cs="Arial" w:eastAsia="Arial" w:hAnsi="Arial"/>
          <w:b/>
          <w:bCs/>
          <w:color w:val="7B2D8B"/>
          <w:sz w:val="30"/>
          <w:szCs w:val="30"/>
        </w:rPr>
        <w:t xml:space="preserve">Key Findings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7B2D8B"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1</w:t>
            </w:r>
          </w:p>
        </w:tc>
        <w:tc>
          <w:tcPr>
            <w:tcW w:type="dxa" w:w="888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20"/>
            </w:tcMar>
          </w:tcPr>
          <w:p>
            <w:r>
              <w:rPr>
                <w:rFonts w:ascii="Arial" w:cs="Arial" w:eastAsia="Arial" w:hAnsi="Arial"/>
                <w:b/>
                <w:bCs/>
                <w:color w:val="1A1A1A"/>
                <w:sz w:val="22"/>
                <w:szCs w:val="22"/>
              </w:rPr>
              <w:t xml:space="preserve">Significant Route Performance Variability</w:t>
            </w:r>
          </w:p>
          <w:p>
            <w:pPr>
              <w:spacing w:before="60"/>
            </w:pPr>
            <w:r>
              <w:rPr>
                <w:rFonts w:ascii="Arial" w:cs="Arial" w:eastAsia="Arial" w:hAnsi="Arial"/>
                <w:color w:val="666666"/>
                <w:sz w:val="20"/>
                <w:szCs w:val="20"/>
              </w:rPr>
              <w:t xml:space="preserve">Efficiency Scores across factory-state routes range from below 30 to above 85 out of 100, indicating that the network contains both high-performing corridors and chronically inefficient routes that warrant immediate management attention.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B5360E"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2</w:t>
            </w:r>
          </w:p>
        </w:tc>
        <w:tc>
          <w:tcPr>
            <w:tcW w:type="dxa" w:w="888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20"/>
            </w:tcMar>
          </w:tcPr>
          <w:p>
            <w:r>
              <w:rPr>
                <w:rFonts w:ascii="Arial" w:cs="Arial" w:eastAsia="Arial" w:hAnsi="Arial"/>
                <w:b/>
                <w:bCs/>
                <w:color w:val="1A1A1A"/>
                <w:sz w:val="22"/>
                <w:szCs w:val="22"/>
              </w:rPr>
              <w:t xml:space="preserve">Pacific Northwest Is the Primary Geographic Bottleneck</w:t>
            </w:r>
          </w:p>
          <w:p>
            <w:pPr>
              <w:spacing w:before="60"/>
            </w:pPr>
            <w:r>
              <w:rPr>
                <w:rFonts w:ascii="Arial" w:cs="Arial" w:eastAsia="Arial" w:hAnsi="Arial"/>
                <w:color w:val="666666"/>
                <w:sz w:val="20"/>
                <w:szCs w:val="20"/>
              </w:rPr>
              <w:t xml:space="preserve">States in the Pacific Northwest and Upper Rocky Mountain region consistently exhibit the highest average lead times and delay rates in the network. These markets are primarily served by long-haul routes from Lot's O' Nuts (AZ) and Sugar Shack (MN), with limited carrier network density at destination.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B5360E"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3</w:t>
            </w:r>
          </w:p>
        </w:tc>
        <w:tc>
          <w:tcPr>
            <w:tcW w:type="dxa" w:w="888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20"/>
            </w:tcMar>
          </w:tcPr>
          <w:p>
            <w:r>
              <w:rPr>
                <w:rFonts w:ascii="Arial" w:cs="Arial" w:eastAsia="Arial" w:hAnsi="Arial"/>
                <w:b/>
                <w:bCs/>
                <w:color w:val="1A1A1A"/>
                <w:sz w:val="22"/>
                <w:szCs w:val="22"/>
              </w:rPr>
              <w:t xml:space="preserve">Sugar Shack Generates the Highest System-Wide Delay Rate</w:t>
            </w:r>
          </w:p>
          <w:p>
            <w:pPr>
              <w:spacing w:before="60"/>
            </w:pPr>
            <w:r>
              <w:rPr>
                <w:rFonts w:ascii="Arial" w:cs="Arial" w:eastAsia="Arial" w:hAnsi="Arial"/>
                <w:color w:val="666666"/>
                <w:sz w:val="20"/>
                <w:szCs w:val="20"/>
              </w:rPr>
              <w:t xml:space="preserve">Sugar Shack (Minnesota) — the primary origin for Sugar and Fizzy divisions — shows the highest factory-level delay rate, driven by its northern location and wide geographic service footprint. Its route to distant Western and Northeastern states are disproportionately represented in the Bottom 10 efficiency rankings.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1A7A4A"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4</w:t>
            </w:r>
          </w:p>
        </w:tc>
        <w:tc>
          <w:tcPr>
            <w:tcW w:type="dxa" w:w="888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20"/>
            </w:tcMar>
          </w:tcPr>
          <w:p>
            <w:r>
              <w:rPr>
                <w:rFonts w:ascii="Arial" w:cs="Arial" w:eastAsia="Arial" w:hAnsi="Arial"/>
                <w:b/>
                <w:bCs/>
                <w:color w:val="1A1A1A"/>
                <w:sz w:val="22"/>
                <w:szCs w:val="22"/>
              </w:rPr>
              <w:t xml:space="preserve">Secret Factory Achieves the Best Network Efficiency</w:t>
            </w:r>
          </w:p>
          <w:p>
            <w:pPr>
              <w:spacing w:before="60"/>
            </w:pPr>
            <w:r>
              <w:rPr>
                <w:rFonts w:ascii="Arial" w:cs="Arial" w:eastAsia="Arial" w:hAnsi="Arial"/>
                <w:color w:val="666666"/>
                <w:sz w:val="20"/>
                <w:szCs w:val="20"/>
              </w:rPr>
              <w:t xml:space="preserve">Secret Factory (Illinois) benefits from a central US location and achieves above-average efficiency scores across a diverse range of destination states, making it the logistically best-positioned facility in the current network.</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C47A1E"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5</w:t>
            </w:r>
          </w:p>
        </w:tc>
        <w:tc>
          <w:tcPr>
            <w:tcW w:type="dxa" w:w="888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20"/>
            </w:tcMar>
          </w:tcPr>
          <w:p>
            <w:r>
              <w:rPr>
                <w:rFonts w:ascii="Arial" w:cs="Arial" w:eastAsia="Arial" w:hAnsi="Arial"/>
                <w:b/>
                <w:bCs/>
                <w:color w:val="1A1A1A"/>
                <w:sz w:val="22"/>
                <w:szCs w:val="22"/>
              </w:rPr>
              <w:t xml:space="preserve">Expedited Shipping Is Under-Utilised on Long-Haul High-Delay Routes</w:t>
            </w:r>
          </w:p>
          <w:p>
            <w:pPr>
              <w:spacing w:before="60"/>
            </w:pPr>
            <w:r>
              <w:rPr>
                <w:rFonts w:ascii="Arial" w:cs="Arial" w:eastAsia="Arial" w:hAnsi="Arial"/>
                <w:color w:val="666666"/>
                <w:sz w:val="20"/>
                <w:szCs w:val="20"/>
              </w:rPr>
              <w:t xml:space="preserve">Analysis of ship mode composition reveals that Standard shipping is used on a significant share of routes where distance and delay rate profiles warrant expedited mode upgrade. The cost premium of proactive mode upgrades is lower than the cost of reactive expediting after delay escalation.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1A7A4A"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6</w:t>
            </w:r>
          </w:p>
        </w:tc>
        <w:tc>
          <w:tcPr>
            <w:tcW w:type="dxa" w:w="888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20"/>
            </w:tcMar>
          </w:tcPr>
          <w:p>
            <w:r>
              <w:rPr>
                <w:rFonts w:ascii="Arial" w:cs="Arial" w:eastAsia="Arial" w:hAnsi="Arial"/>
                <w:b/>
                <w:bCs/>
                <w:color w:val="1A1A1A"/>
                <w:sz w:val="22"/>
                <w:szCs w:val="22"/>
              </w:rPr>
              <w:t xml:space="preserve">Southeastern Markets Are the Network's Strongest Performers</w:t>
            </w:r>
          </w:p>
          <w:p>
            <w:pPr>
              <w:spacing w:before="60"/>
            </w:pPr>
            <w:r>
              <w:rPr>
                <w:rFonts w:ascii="Arial" w:cs="Arial" w:eastAsia="Arial" w:hAnsi="Arial"/>
                <w:color w:val="666666"/>
                <w:sz w:val="20"/>
                <w:szCs w:val="20"/>
              </w:rPr>
              <w:t xml:space="preserve">States proximate to Wicked Choccy's (GA) and The Other Factory (TN) demonstrate the lowest average lead times and delay rates in the network, confirming that geographic proximity is the strongest predictor of route efficiency in the current carrier configuration.</w:t>
            </w:r>
          </w:p>
        </w:tc>
      </w:tr>
    </w:tbl>
    <w:p>
      <w:pPr>
        <w:pStyle w:val="Heading1"/>
        <w:pBdr>
          <w:bottom w:val="single" w:color="7B2D8B" w:sz="6" w:space="4"/>
        </w:pBdr>
        <w:spacing w:after="140" w:before="320"/>
      </w:pPr>
      <w:r>
        <w:rPr>
          <w:rFonts w:ascii="Arial" w:cs="Arial" w:eastAsia="Arial" w:hAnsi="Arial"/>
          <w:b/>
          <w:bCs/>
          <w:color w:val="7B2D8B"/>
          <w:sz w:val="30"/>
          <w:szCs w:val="30"/>
        </w:rPr>
        <w:t xml:space="preserve">Recommendations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CCCCCC" w:sz="1"/>
              <w:left w:val="single" w:color="CCCCCC" w:sz="1"/>
              <w:bottom w:val="single" w:color="CCCCCC" w:sz="1"/>
              <w:right w:val="single" w:color="CCCCCC" w:sz="1"/>
            </w:tcBorders>
            <w:shd w:fill="7B2D8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c>
          <w:tcPr>
            <w:tcW w:type="dxa" w:w="2400"/>
            <w:tcBorders>
              <w:top w:val="single" w:color="CCCCCC" w:sz="1"/>
              <w:left w:val="single" w:color="CCCCCC" w:sz="1"/>
              <w:bottom w:val="single" w:color="CCCCCC" w:sz="1"/>
              <w:right w:val="single" w:color="CCCCCC" w:sz="1"/>
            </w:tcBorders>
            <w:shd w:fill="7B2D8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Area</w:t>
            </w:r>
          </w:p>
        </w:tc>
        <w:tc>
          <w:tcPr>
            <w:tcW w:type="dxa" w:w="2400"/>
            <w:tcBorders>
              <w:top w:val="single" w:color="CCCCCC" w:sz="1"/>
              <w:left w:val="single" w:color="CCCCCC" w:sz="1"/>
              <w:bottom w:val="single" w:color="CCCCCC" w:sz="1"/>
              <w:right w:val="single" w:color="CCCCCC" w:sz="1"/>
            </w:tcBorders>
            <w:shd w:fill="7B2D8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Action</w:t>
            </w:r>
          </w:p>
        </w:tc>
        <w:tc>
          <w:tcPr>
            <w:tcW w:type="dxa" w:w="2760"/>
            <w:tcBorders>
              <w:top w:val="single" w:color="CCCCCC" w:sz="1"/>
              <w:left w:val="single" w:color="CCCCCC" w:sz="1"/>
              <w:bottom w:val="single" w:color="CCCCCC" w:sz="1"/>
              <w:right w:val="single" w:color="CCCCCC" w:sz="1"/>
            </w:tcBorders>
            <w:shd w:fill="7B2D8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Expected Impact</w:t>
            </w:r>
          </w:p>
        </w:tc>
      </w:tr>
      <w:tr>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1A1A1A"/>
                <w:sz w:val="20"/>
                <w:szCs w:val="20"/>
              </w:rPr>
              <w:t xml:space="preserve">HIGH</w:t>
            </w:r>
          </w:p>
        </w:tc>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1A1A1A"/>
                <w:sz w:val="20"/>
                <w:szCs w:val="20"/>
              </w:rPr>
              <w:t xml:space="preserve">Carrier Contracts</w:t>
            </w:r>
          </w:p>
        </w:tc>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1A1A1A"/>
                <w:sz w:val="20"/>
                <w:szCs w:val="20"/>
              </w:rPr>
              <w:t xml:space="preserve">Renegotiate SLAs on Bottom 10 routes</w:t>
            </w:r>
          </w:p>
        </w:tc>
        <w:tc>
          <w:tcPr>
            <w:tcW w:type="dxa" w:w="27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1A1A1A"/>
                <w:sz w:val="20"/>
                <w:szCs w:val="20"/>
              </w:rPr>
              <w:t xml:space="preserve">Reduce delay rate by 20–30%</w:t>
            </w:r>
          </w:p>
        </w:tc>
      </w:tr>
      <w:tr>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1A1A1A"/>
                <w:sz w:val="20"/>
                <w:szCs w:val="20"/>
              </w:rPr>
              <w:t xml:space="preserve">HIGH</w:t>
            </w:r>
          </w:p>
        </w:tc>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1A1A1A"/>
                <w:sz w:val="20"/>
                <w:szCs w:val="20"/>
              </w:rPr>
              <w:t xml:space="preserve">Mode Selection</w:t>
            </w:r>
          </w:p>
        </w:tc>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1A1A1A"/>
                <w:sz w:val="20"/>
                <w:szCs w:val="20"/>
              </w:rPr>
              <w:t xml:space="preserve">Upgrade to expedited on routes &gt;1,500 mi with &gt;15% delay rate</w:t>
            </w:r>
          </w:p>
        </w:tc>
        <w:tc>
          <w:tcPr>
            <w:tcW w:type="dxa" w:w="27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1A1A1A"/>
                <w:sz w:val="20"/>
                <w:szCs w:val="20"/>
              </w:rPr>
              <w:t xml:space="preserve">Cut long-haul lead time by 2–3 days</w:t>
            </w:r>
          </w:p>
        </w:tc>
      </w:tr>
      <w:tr>
        <w:tc>
          <w:tcPr>
            <w:tcW w:type="dxa" w:w="1800"/>
            <w:tcBorders>
              <w:top w:val="single" w:color="CCCCCC" w:sz="1"/>
              <w:left w:val="single" w:color="CCCCCC" w:sz="1"/>
              <w:bottom w:val="single" w:color="CCCCCC" w:sz="1"/>
              <w:right w:val="single" w:color="CCCCCC" w:sz="1"/>
            </w:tcBorders>
            <w:shd w:fill="FDF6E8" w:val="clear"/>
            <w:tcMar>
              <w:top w:type="dxa" w:w="80"/>
              <w:left w:type="dxa" w:w="120"/>
              <w:bottom w:type="dxa" w:w="80"/>
              <w:right w:type="dxa" w:w="120"/>
            </w:tcMar>
          </w:tcPr>
          <w:p>
            <w:r>
              <w:rPr>
                <w:rFonts w:ascii="Arial" w:cs="Arial" w:eastAsia="Arial" w:hAnsi="Arial"/>
                <w:b/>
                <w:bCs/>
                <w:color w:val="1A1A1A"/>
                <w:sz w:val="20"/>
                <w:szCs w:val="20"/>
              </w:rPr>
              <w:t xml:space="preserve">MEDIUM</w:t>
            </w:r>
          </w:p>
        </w:tc>
        <w:tc>
          <w:tcPr>
            <w:tcW w:type="dxa" w:w="2400"/>
            <w:tcBorders>
              <w:top w:val="single" w:color="CCCCCC" w:sz="1"/>
              <w:left w:val="single" w:color="CCCCCC" w:sz="1"/>
              <w:bottom w:val="single" w:color="CCCCCC" w:sz="1"/>
              <w:right w:val="single" w:color="CCCCCC" w:sz="1"/>
            </w:tcBorders>
            <w:shd w:fill="FDF6E8" w:val="clear"/>
            <w:tcMar>
              <w:top w:type="dxa" w:w="80"/>
              <w:left w:type="dxa" w:w="120"/>
              <w:bottom w:type="dxa" w:w="80"/>
              <w:right w:type="dxa" w:w="120"/>
            </w:tcMar>
          </w:tcPr>
          <w:p>
            <w:r>
              <w:rPr>
                <w:rFonts w:ascii="Arial" w:cs="Arial" w:eastAsia="Arial" w:hAnsi="Arial"/>
                <w:b w:val="false"/>
                <w:bCs w:val="false"/>
                <w:color w:val="1A1A1A"/>
                <w:sz w:val="20"/>
                <w:szCs w:val="20"/>
              </w:rPr>
              <w:t xml:space="preserve">Network Design</w:t>
            </w:r>
          </w:p>
        </w:tc>
        <w:tc>
          <w:tcPr>
            <w:tcW w:type="dxa" w:w="2400"/>
            <w:tcBorders>
              <w:top w:val="single" w:color="CCCCCC" w:sz="1"/>
              <w:left w:val="single" w:color="CCCCCC" w:sz="1"/>
              <w:bottom w:val="single" w:color="CCCCCC" w:sz="1"/>
              <w:right w:val="single" w:color="CCCCCC" w:sz="1"/>
            </w:tcBorders>
            <w:shd w:fill="FDF6E8" w:val="clear"/>
            <w:tcMar>
              <w:top w:type="dxa" w:w="80"/>
              <w:left w:type="dxa" w:w="120"/>
              <w:bottom w:type="dxa" w:w="80"/>
              <w:right w:type="dxa" w:w="120"/>
            </w:tcMar>
          </w:tcPr>
          <w:p>
            <w:r>
              <w:rPr>
                <w:rFonts w:ascii="Arial" w:cs="Arial" w:eastAsia="Arial" w:hAnsi="Arial"/>
                <w:b w:val="false"/>
                <w:bCs w:val="false"/>
                <w:color w:val="1A1A1A"/>
                <w:sz w:val="20"/>
                <w:szCs w:val="20"/>
              </w:rPr>
              <w:t xml:space="preserve">Evaluate Pacific Northwest 3PL / cross-dock partnership</w:t>
            </w:r>
          </w:p>
        </w:tc>
        <w:tc>
          <w:tcPr>
            <w:tcW w:type="dxa" w:w="2760"/>
            <w:tcBorders>
              <w:top w:val="single" w:color="CCCCCC" w:sz="1"/>
              <w:left w:val="single" w:color="CCCCCC" w:sz="1"/>
              <w:bottom w:val="single" w:color="CCCCCC" w:sz="1"/>
              <w:right w:val="single" w:color="CCCCCC" w:sz="1"/>
            </w:tcBorders>
            <w:shd w:fill="FDF6E8" w:val="clear"/>
            <w:tcMar>
              <w:top w:type="dxa" w:w="80"/>
              <w:left w:type="dxa" w:w="120"/>
              <w:bottom w:type="dxa" w:w="80"/>
              <w:right w:type="dxa" w:w="120"/>
            </w:tcMar>
          </w:tcPr>
          <w:p>
            <w:r>
              <w:rPr>
                <w:rFonts w:ascii="Arial" w:cs="Arial" w:eastAsia="Arial" w:hAnsi="Arial"/>
                <w:b w:val="false"/>
                <w:bCs w:val="false"/>
                <w:color w:val="1A1A1A"/>
                <w:sz w:val="20"/>
                <w:szCs w:val="20"/>
              </w:rPr>
              <w:t xml:space="preserve">Eliminate NW bottleneck cluster</w:t>
            </w:r>
          </w:p>
        </w:tc>
      </w:tr>
      <w:tr>
        <w:tc>
          <w:tcPr>
            <w:tcW w:type="dxa" w:w="1800"/>
            <w:tcBorders>
              <w:top w:val="single" w:color="CCCCCC" w:sz="1"/>
              <w:left w:val="single" w:color="CCCCCC" w:sz="1"/>
              <w:bottom w:val="single" w:color="CCCCCC" w:sz="1"/>
              <w:right w:val="single" w:color="CCCCCC" w:sz="1"/>
            </w:tcBorders>
            <w:shd w:fill="FDF6E8" w:val="clear"/>
            <w:tcMar>
              <w:top w:type="dxa" w:w="80"/>
              <w:left w:type="dxa" w:w="120"/>
              <w:bottom w:type="dxa" w:w="80"/>
              <w:right w:type="dxa" w:w="120"/>
            </w:tcMar>
          </w:tcPr>
          <w:p>
            <w:r>
              <w:rPr>
                <w:rFonts w:ascii="Arial" w:cs="Arial" w:eastAsia="Arial" w:hAnsi="Arial"/>
                <w:b/>
                <w:bCs/>
                <w:color w:val="1A1A1A"/>
                <w:sz w:val="20"/>
                <w:szCs w:val="20"/>
              </w:rPr>
              <w:t xml:space="preserve">MEDIUM</w:t>
            </w:r>
          </w:p>
        </w:tc>
        <w:tc>
          <w:tcPr>
            <w:tcW w:type="dxa" w:w="2400"/>
            <w:tcBorders>
              <w:top w:val="single" w:color="CCCCCC" w:sz="1"/>
              <w:left w:val="single" w:color="CCCCCC" w:sz="1"/>
              <w:bottom w:val="single" w:color="CCCCCC" w:sz="1"/>
              <w:right w:val="single" w:color="CCCCCC" w:sz="1"/>
            </w:tcBorders>
            <w:shd w:fill="FDF6E8" w:val="clear"/>
            <w:tcMar>
              <w:top w:type="dxa" w:w="80"/>
              <w:left w:type="dxa" w:w="120"/>
              <w:bottom w:type="dxa" w:w="80"/>
              <w:right w:type="dxa" w:w="120"/>
            </w:tcMar>
          </w:tcPr>
          <w:p>
            <w:r>
              <w:rPr>
                <w:rFonts w:ascii="Arial" w:cs="Arial" w:eastAsia="Arial" w:hAnsi="Arial"/>
                <w:b w:val="false"/>
                <w:bCs w:val="false"/>
                <w:color w:val="1A1A1A"/>
                <w:sz w:val="20"/>
                <w:szCs w:val="20"/>
              </w:rPr>
              <w:t xml:space="preserve">Factory Routing</w:t>
            </w:r>
          </w:p>
        </w:tc>
        <w:tc>
          <w:tcPr>
            <w:tcW w:type="dxa" w:w="2400"/>
            <w:tcBorders>
              <w:top w:val="single" w:color="CCCCCC" w:sz="1"/>
              <w:left w:val="single" w:color="CCCCCC" w:sz="1"/>
              <w:bottom w:val="single" w:color="CCCCCC" w:sz="1"/>
              <w:right w:val="single" w:color="CCCCCC" w:sz="1"/>
            </w:tcBorders>
            <w:shd w:fill="FDF6E8" w:val="clear"/>
            <w:tcMar>
              <w:top w:type="dxa" w:w="80"/>
              <w:left w:type="dxa" w:w="120"/>
              <w:bottom w:type="dxa" w:w="80"/>
              <w:right w:type="dxa" w:w="120"/>
            </w:tcMar>
          </w:tcPr>
          <w:p>
            <w:r>
              <w:rPr>
                <w:rFonts w:ascii="Arial" w:cs="Arial" w:eastAsia="Arial" w:hAnsi="Arial"/>
                <w:b w:val="false"/>
                <w:bCs w:val="false"/>
                <w:color w:val="1A1A1A"/>
                <w:sz w:val="20"/>
                <w:szCs w:val="20"/>
              </w:rPr>
              <w:t xml:space="preserve">Align factory-state assignments with geographic proximity</w:t>
            </w:r>
          </w:p>
        </w:tc>
        <w:tc>
          <w:tcPr>
            <w:tcW w:type="dxa" w:w="2760"/>
            <w:tcBorders>
              <w:top w:val="single" w:color="CCCCCC" w:sz="1"/>
              <w:left w:val="single" w:color="CCCCCC" w:sz="1"/>
              <w:bottom w:val="single" w:color="CCCCCC" w:sz="1"/>
              <w:right w:val="single" w:color="CCCCCC" w:sz="1"/>
            </w:tcBorders>
            <w:shd w:fill="FDF6E8" w:val="clear"/>
            <w:tcMar>
              <w:top w:type="dxa" w:w="80"/>
              <w:left w:type="dxa" w:w="120"/>
              <w:bottom w:type="dxa" w:w="80"/>
              <w:right w:type="dxa" w:w="120"/>
            </w:tcMar>
          </w:tcPr>
          <w:p>
            <w:r>
              <w:rPr>
                <w:rFonts w:ascii="Arial" w:cs="Arial" w:eastAsia="Arial" w:hAnsi="Arial"/>
                <w:b w:val="false"/>
                <w:bCs w:val="false"/>
                <w:color w:val="1A1A1A"/>
                <w:sz w:val="20"/>
                <w:szCs w:val="20"/>
              </w:rPr>
              <w:t xml:space="preserve">Reduce baseline lead time 1–2 days</w:t>
            </w:r>
          </w:p>
        </w:tc>
      </w:tr>
      <w:tr>
        <w:tc>
          <w:tcPr>
            <w:tcW w:type="dxa" w:w="1800"/>
            <w:tcBorders>
              <w:top w:val="single" w:color="CCCCCC" w:sz="1"/>
              <w:left w:val="single" w:color="CCCCCC" w:sz="1"/>
              <w:bottom w:val="single" w:color="CCCCCC" w:sz="1"/>
              <w:right w:val="single" w:color="CCCCCC" w:sz="1"/>
            </w:tcBorders>
            <w:shd w:fill="EAF7EE" w:val="clear"/>
            <w:tcMar>
              <w:top w:type="dxa" w:w="80"/>
              <w:left w:type="dxa" w:w="120"/>
              <w:bottom w:type="dxa" w:w="80"/>
              <w:right w:type="dxa" w:w="120"/>
            </w:tcMar>
          </w:tcPr>
          <w:p>
            <w:r>
              <w:rPr>
                <w:rFonts w:ascii="Arial" w:cs="Arial" w:eastAsia="Arial" w:hAnsi="Arial"/>
                <w:b/>
                <w:bCs/>
                <w:color w:val="1A1A1A"/>
                <w:sz w:val="20"/>
                <w:szCs w:val="20"/>
              </w:rPr>
              <w:t xml:space="preserve">LOW</w:t>
            </w:r>
          </w:p>
        </w:tc>
        <w:tc>
          <w:tcPr>
            <w:tcW w:type="dxa" w:w="2400"/>
            <w:tcBorders>
              <w:top w:val="single" w:color="CCCCCC" w:sz="1"/>
              <w:left w:val="single" w:color="CCCCCC" w:sz="1"/>
              <w:bottom w:val="single" w:color="CCCCCC" w:sz="1"/>
              <w:right w:val="single" w:color="CCCCCC" w:sz="1"/>
            </w:tcBorders>
            <w:shd w:fill="EAF7EE" w:val="clear"/>
            <w:tcMar>
              <w:top w:type="dxa" w:w="80"/>
              <w:left w:type="dxa" w:w="120"/>
              <w:bottom w:type="dxa" w:w="80"/>
              <w:right w:type="dxa" w:w="120"/>
            </w:tcMar>
          </w:tcPr>
          <w:p>
            <w:r>
              <w:rPr>
                <w:rFonts w:ascii="Arial" w:cs="Arial" w:eastAsia="Arial" w:hAnsi="Arial"/>
                <w:b w:val="false"/>
                <w:bCs w:val="false"/>
                <w:color w:val="1A1A1A"/>
                <w:sz w:val="20"/>
                <w:szCs w:val="20"/>
              </w:rPr>
              <w:t xml:space="preserve">Analytics</w:t>
            </w:r>
          </w:p>
        </w:tc>
        <w:tc>
          <w:tcPr>
            <w:tcW w:type="dxa" w:w="2400"/>
            <w:tcBorders>
              <w:top w:val="single" w:color="CCCCCC" w:sz="1"/>
              <w:left w:val="single" w:color="CCCCCC" w:sz="1"/>
              <w:bottom w:val="single" w:color="CCCCCC" w:sz="1"/>
              <w:right w:val="single" w:color="CCCCCC" w:sz="1"/>
            </w:tcBorders>
            <w:shd w:fill="EAF7EE" w:val="clear"/>
            <w:tcMar>
              <w:top w:type="dxa" w:w="80"/>
              <w:left w:type="dxa" w:w="120"/>
              <w:bottom w:type="dxa" w:w="80"/>
              <w:right w:type="dxa" w:w="120"/>
            </w:tcMar>
          </w:tcPr>
          <w:p>
            <w:r>
              <w:rPr>
                <w:rFonts w:ascii="Arial" w:cs="Arial" w:eastAsia="Arial" w:hAnsi="Arial"/>
                <w:b w:val="false"/>
                <w:bCs w:val="false"/>
                <w:color w:val="1A1A1A"/>
                <w:sz w:val="20"/>
                <w:szCs w:val="20"/>
              </w:rPr>
              <w:t xml:space="preserve">Deploy live Streamlit dashboard with weekly data refresh</w:t>
            </w:r>
          </w:p>
        </w:tc>
        <w:tc>
          <w:tcPr>
            <w:tcW w:type="dxa" w:w="2760"/>
            <w:tcBorders>
              <w:top w:val="single" w:color="CCCCCC" w:sz="1"/>
              <w:left w:val="single" w:color="CCCCCC" w:sz="1"/>
              <w:bottom w:val="single" w:color="CCCCCC" w:sz="1"/>
              <w:right w:val="single" w:color="CCCCCC" w:sz="1"/>
            </w:tcBorders>
            <w:shd w:fill="EAF7EE" w:val="clear"/>
            <w:tcMar>
              <w:top w:type="dxa" w:w="80"/>
              <w:left w:type="dxa" w:w="120"/>
              <w:bottom w:type="dxa" w:w="80"/>
              <w:right w:type="dxa" w:w="120"/>
            </w:tcMar>
          </w:tcPr>
          <w:p>
            <w:r>
              <w:rPr>
                <w:rFonts w:ascii="Arial" w:cs="Arial" w:eastAsia="Arial" w:hAnsi="Arial"/>
                <w:b w:val="false"/>
                <w:bCs w:val="false"/>
                <w:color w:val="1A1A1A"/>
                <w:sz w:val="20"/>
                <w:szCs w:val="20"/>
              </w:rPr>
              <w:t xml:space="preserve">Operational monitoring &amp; alerting</w:t>
            </w:r>
          </w:p>
        </w:tc>
      </w:tr>
    </w:tbl>
    <w:p>
      <w:pPr>
        <w:spacing w:after="120" w:before="0"/>
      </w:pPr>
      <w:r>
        <w:t xml:space="preserve"/>
      </w:r>
    </w:p>
    <w:p>
      <w:pPr>
        <w:pStyle w:val="Heading1"/>
        <w:pBdr>
          <w:bottom w:val="single" w:color="7B2D8B" w:sz="6" w:space="4"/>
        </w:pBdr>
        <w:spacing w:after="140" w:before="320"/>
      </w:pPr>
      <w:r>
        <w:rPr>
          <w:rFonts w:ascii="Arial" w:cs="Arial" w:eastAsia="Arial" w:hAnsi="Arial"/>
          <w:b/>
          <w:bCs/>
          <w:color w:val="7B2D8B"/>
          <w:sz w:val="30"/>
          <w:szCs w:val="30"/>
        </w:rPr>
        <w:t xml:space="preserve">Analytics Dashboard</w:t>
      </w:r>
    </w:p>
    <w:p>
      <w:pPr>
        <w:spacing w:after="120" w:before="80" w:line="340"/>
        <w:jc w:val="both"/>
      </w:pPr>
      <w:r>
        <w:rPr>
          <w:rFonts w:ascii="Arial" w:cs="Arial" w:eastAsia="Arial" w:hAnsi="Arial"/>
          <w:color w:val="1A1A1A"/>
          <w:sz w:val="22"/>
          <w:szCs w:val="22"/>
        </w:rPr>
        <w:t xml:space="preserve">An interactive Streamlit dashboard has been developed to operationalise these findings. The dashboard enables logistics managers to monitor route performance in real time without requiring data science expertise. Key capabilities include:</w:t>
      </w:r>
    </w:p>
    <w:p>
      <w:pPr>
        <w:pStyle w:val="ListParagraph"/>
        <w:numPr>
          <w:ilvl w:val="0"/>
          <w:numId w:val="2"/>
        </w:numPr>
        <w:spacing w:after="60" w:before="60"/>
      </w:pPr>
      <w:r>
        <w:rPr>
          <w:rFonts w:ascii="Arial" w:cs="Arial" w:eastAsia="Arial" w:hAnsi="Arial"/>
          <w:color w:val="1A1A1A"/>
          <w:sz w:val="22"/>
          <w:szCs w:val="22"/>
        </w:rPr>
        <w:t xml:space="preserve">Route Efficiency Overview: Full performance leaderboard with Top 10 / Bottom 10 route rankings and Efficiency Score visualisations.</w:t>
      </w:r>
    </w:p>
    <w:p>
      <w:pPr>
        <w:pStyle w:val="ListParagraph"/>
        <w:numPr>
          <w:ilvl w:val="0"/>
          <w:numId w:val="2"/>
        </w:numPr>
        <w:spacing w:after="60" w:before="60"/>
      </w:pPr>
      <w:r>
        <w:rPr>
          <w:rFonts w:ascii="Arial" w:cs="Arial" w:eastAsia="Arial" w:hAnsi="Arial"/>
          <w:color w:val="1A1A1A"/>
          <w:sz w:val="22"/>
          <w:szCs w:val="22"/>
        </w:rPr>
        <w:t xml:space="preserve">Geographic Shipping Map: US choropleth heatmap switchable between average lead time, delay rate, and shipment volume; factory location pins overlaid.</w:t>
      </w:r>
    </w:p>
    <w:p>
      <w:pPr>
        <w:pStyle w:val="ListParagraph"/>
        <w:numPr>
          <w:ilvl w:val="0"/>
          <w:numId w:val="2"/>
        </w:numPr>
        <w:spacing w:after="60" w:before="60"/>
      </w:pPr>
      <w:r>
        <w:rPr>
          <w:rFonts w:ascii="Arial" w:cs="Arial" w:eastAsia="Arial" w:hAnsi="Arial"/>
          <w:color w:val="1A1A1A"/>
          <w:sz w:val="22"/>
          <w:szCs w:val="22"/>
        </w:rPr>
        <w:t xml:space="preserve">Ship Mode Comparison: Lead time and delay rate bars, violin distributions, and cost-time scatter across all carrier modes.</w:t>
      </w:r>
    </w:p>
    <w:p>
      <w:pPr>
        <w:pStyle w:val="ListParagraph"/>
        <w:numPr>
          <w:ilvl w:val="0"/>
          <w:numId w:val="2"/>
        </w:numPr>
        <w:spacing w:after="60" w:before="60"/>
      </w:pPr>
      <w:r>
        <w:rPr>
          <w:rFonts w:ascii="Arial" w:cs="Arial" w:eastAsia="Arial" w:hAnsi="Arial"/>
          <w:color w:val="1A1A1A"/>
          <w:sz w:val="22"/>
          <w:szCs w:val="22"/>
        </w:rPr>
        <w:t xml:space="preserve">Route Drill-Down: Factory-to-State selector with monthly trend lines, product-level breakdowns, and all-states comparison.</w:t>
      </w:r>
    </w:p>
    <w:p>
      <w:pPr>
        <w:pStyle w:val="ListParagraph"/>
        <w:numPr>
          <w:ilvl w:val="0"/>
          <w:numId w:val="2"/>
        </w:numPr>
        <w:spacing w:after="60" w:before="60"/>
      </w:pPr>
      <w:r>
        <w:rPr>
          <w:rFonts w:ascii="Arial" w:cs="Arial" w:eastAsia="Arial" w:hAnsi="Arial"/>
          <w:color w:val="1A1A1A"/>
          <w:sz w:val="22"/>
          <w:szCs w:val="22"/>
        </w:rPr>
        <w:t xml:space="preserve">Order-Level Timeline: Lead time histogram, weekly volume trends, and sortable order-level table with delay flagging.</w:t>
      </w:r>
    </w:p>
    <w:p>
      <w:pPr>
        <w:spacing w:after="120" w:before="0"/>
      </w:pPr>
      <w:r>
        <w:t xml:space="preserve"/>
      </w:r>
    </w:p>
    <w:p>
      <w:pPr>
        <w:spacing w:after="120" w:before="80" w:line="340"/>
        <w:jc w:val="both"/>
      </w:pPr>
      <w:r>
        <w:rPr>
          <w:rFonts w:ascii="Arial" w:cs="Arial" w:eastAsia="Arial" w:hAnsi="Arial"/>
          <w:color w:val="1A1A1A"/>
          <w:sz w:val="22"/>
          <w:szCs w:val="22"/>
        </w:rPr>
        <w:t xml:space="preserve">All dashboard views respond dynamically to six global filters: date range, region, state, ship mode, delay threshold (days), and product division. The dashboard is deployed locally via Streamlit and can be hosted on internal infrastructure for organisation-wide access.</w:t>
      </w:r>
    </w:p>
    <w:p>
      <w:pPr>
        <w:pStyle w:val="Heading1"/>
        <w:pBdr>
          <w:bottom w:val="single" w:color="7B2D8B" w:sz="6" w:space="4"/>
        </w:pBdr>
        <w:spacing w:after="140" w:before="320"/>
      </w:pPr>
      <w:r>
        <w:rPr>
          <w:rFonts w:ascii="Arial" w:cs="Arial" w:eastAsia="Arial" w:hAnsi="Arial"/>
          <w:b/>
          <w:bCs/>
          <w:color w:val="7B2D8B"/>
          <w:sz w:val="30"/>
          <w:szCs w:val="30"/>
        </w:rPr>
        <w:t xml:space="preserve">Expected Business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Outcome</w:t>
            </w:r>
          </w:p>
        </w:tc>
        <w:tc>
          <w:tcPr>
            <w:tcW w:type="dxa" w:w="4680"/>
            <w:tcBorders>
              <w:top w:val="single" w:color="CCCCCC" w:sz="1"/>
              <w:left w:val="single" w:color="CCCCCC" w:sz="1"/>
              <w:bottom w:val="single" w:color="CCCCCC" w:sz="1"/>
              <w:right w:val="single" w:color="CCCCCC"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Target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Reduction in network-wide delay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15–25% improvement within 6 months</w:t>
            </w:r>
          </w:p>
        </w:tc>
      </w:tr>
      <w:tr>
        <w:tc>
          <w:tcPr>
            <w:tcW w:type="dxa" w:w="468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tcPr>
          <w:p>
            <w:r>
              <w:rPr>
                <w:rFonts w:ascii="Arial" w:cs="Arial" w:eastAsia="Arial" w:hAnsi="Arial"/>
                <w:color w:val="1A1A1A"/>
                <w:sz w:val="20"/>
                <w:szCs w:val="20"/>
              </w:rPr>
              <w:t xml:space="preserve">Average lead time on Bottom 10 routes</w:t>
            </w:r>
          </w:p>
        </w:tc>
        <w:tc>
          <w:tcPr>
            <w:tcW w:type="dxa" w:w="468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tcPr>
          <w:p>
            <w:r>
              <w:rPr>
                <w:rFonts w:ascii="Arial" w:cs="Arial" w:eastAsia="Arial" w:hAnsi="Arial"/>
                <w:color w:val="1A1A1A"/>
                <w:sz w:val="20"/>
                <w:szCs w:val="20"/>
              </w:rPr>
              <w:t xml:space="preserve">2–3 day reduction via carrier renegotiation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Pacific Northwest delivery performance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Bring to network average within 12 months</w:t>
            </w:r>
          </w:p>
        </w:tc>
      </w:tr>
      <w:tr>
        <w:tc>
          <w:tcPr>
            <w:tcW w:type="dxa" w:w="468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tcPr>
          <w:p>
            <w:r>
              <w:rPr>
                <w:rFonts w:ascii="Arial" w:cs="Arial" w:eastAsia="Arial" w:hAnsi="Arial"/>
                <w:color w:val="1A1A1A"/>
                <w:sz w:val="20"/>
                <w:szCs w:val="20"/>
              </w:rPr>
              <w:t xml:space="preserve">Expedited shipping cost savings</w:t>
            </w:r>
          </w:p>
        </w:tc>
        <w:tc>
          <w:tcPr>
            <w:tcW w:type="dxa" w:w="468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tcPr>
          <w:p>
            <w:r>
              <w:rPr>
                <w:rFonts w:ascii="Arial" w:cs="Arial" w:eastAsia="Arial" w:hAnsi="Arial"/>
                <w:color w:val="1A1A1A"/>
                <w:sz w:val="20"/>
                <w:szCs w:val="20"/>
              </w:rPr>
              <w:t xml:space="preserve">10–15% reduction via proactive mode selection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Logistics management efficiency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Real-time visibility replacing weekly manual reports</w:t>
            </w:r>
          </w:p>
        </w:tc>
      </w:tr>
    </w:tbl>
    <w:p>
      <w:pPr>
        <w:spacing w:after="120" w:before="0"/>
      </w:pPr>
      <w:r>
        <w:t xml:space="preserve"/>
      </w:r>
    </w:p>
    <w:p>
      <w:pPr>
        <w:pStyle w:val="Heading1"/>
        <w:pBdr>
          <w:bottom w:val="single" w:color="7B2D8B" w:sz="6" w:space="4"/>
        </w:pBdr>
        <w:spacing w:after="140" w:before="320"/>
      </w:pPr>
      <w:r>
        <w:rPr>
          <w:rFonts w:ascii="Arial" w:cs="Arial" w:eastAsia="Arial" w:hAnsi="Arial"/>
          <w:b/>
          <w:bCs/>
          <w:color w:val="7B2D8B"/>
          <w:sz w:val="30"/>
          <w:szCs w:val="30"/>
        </w:rPr>
        <w:t xml:space="preserve">Conclusion</w:t>
      </w:r>
    </w:p>
    <w:p>
      <w:pPr>
        <w:spacing w:after="120" w:before="80" w:line="340"/>
        <w:jc w:val="both"/>
      </w:pPr>
      <w:r>
        <w:rPr>
          <w:rFonts w:ascii="Arial" w:cs="Arial" w:eastAsia="Arial" w:hAnsi="Arial"/>
          <w:color w:val="1A1A1A"/>
          <w:sz w:val="22"/>
          <w:szCs w:val="22"/>
        </w:rPr>
        <w:t xml:space="preserve">The findings from this analysis confirm that Nassau Candy Distributor has significant untapped opportunity to improve logistics performance through data-driven route management. The combination of carrier renegotiation on underperforming corridors, proactive mode selection on long-haul high-risk routes, and a potential network design intervention in the Pacific Northwest could materially reduce delays, lower expedited shipping costs, and improve customer satisfaction across the distribution network.</w:t>
      </w:r>
    </w:p>
    <w:p>
      <w:pPr>
        <w:spacing w:after="120" w:before="0"/>
      </w:pPr>
      <w:r>
        <w:t xml:space="preserve"/>
      </w:r>
    </w:p>
    <w:p>
      <w:pPr>
        <w:spacing w:after="120" w:before="80" w:line="340"/>
        <w:jc w:val="both"/>
      </w:pPr>
      <w:r>
        <w:rPr>
          <w:rFonts w:ascii="Arial" w:cs="Arial" w:eastAsia="Arial" w:hAnsi="Arial"/>
          <w:color w:val="1A1A1A"/>
          <w:sz w:val="22"/>
          <w:szCs w:val="22"/>
        </w:rPr>
        <w:t xml:space="preserve">The Streamlit analytics dashboard transforms these insights from a one-time study into a continuous operational intelligence capability. Leadership is recommended to prioritise the high-impact actions identified above and schedule a logistics strategy review within 30 days to initiate carrier discussions and network design evaluation.</w:t>
      </w:r>
    </w:p>
    <w:p>
      <w:pPr>
        <w:spacing w:after="120" w:before="0"/>
      </w:pPr>
      <w:r>
        <w:t xml:space="preserve"/>
      </w:r>
    </w:p>
    <w:p>
      <w:pPr>
        <w:pBdr>
          <w:top w:val="single" w:color="7B2D8B" w:sz="4" w:space="8"/>
        </w:pBdr>
        <w:spacing w:after="80" w:before="240"/>
        <w:jc w:val="center"/>
      </w:pPr>
      <w:r>
        <w:rPr>
          <w:rFonts w:ascii="Arial" w:cs="Arial" w:eastAsia="Arial" w:hAnsi="Arial"/>
          <w:i/>
          <w:iCs/>
          <w:color w:val="666666"/>
          <w:sz w:val="18"/>
          <w:szCs w:val="18"/>
        </w:rPr>
        <w:t xml:space="preserve">For full methodology, EDA, and route-level data, refer to the accompanying Research Paper.</w:t>
      </w:r>
    </w:p>
    <w:p>
      <w:pPr>
        <w:jc w:val="center"/>
      </w:pPr>
      <w:r>
        <w:rPr>
          <w:rFonts w:ascii="Arial" w:cs="Arial" w:eastAsia="Arial" w:hAnsi="Arial"/>
          <w:color w:val="666666"/>
          <w:sz w:val="18"/>
          <w:szCs w:val="18"/>
        </w:rPr>
        <w:t xml:space="preserve">Nassau Candy Distributor  ·  Confidential  ·  June 2026</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B2D8B" w:sz="4" w:space="4"/>
      </w:pBdr>
      <w:tabs>
        <w:tab w:val="right" w:pos="9360"/>
      </w:tabs>
    </w:pPr>
    <w:r>
      <w:rPr>
        <w:rFonts w:ascii="Arial" w:cs="Arial" w:eastAsia="Arial" w:hAnsi="Arial"/>
        <w:color w:val="666666"/>
        <w:sz w:val="16"/>
        <w:szCs w:val="16"/>
      </w:rPr>
      <w:t xml:space="preserve">Confidential  |  June 2026  |  Nassau Candy Distributor</w:t>
    </w:r>
    <w:r>
      <w:rPr>
        <w:rFonts w:ascii="Arial" w:cs="Arial" w:eastAsia="Arial" w:hAnsi="Arial"/>
        <w:color w:val="666666"/>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2D8B" w:sz="6" w:space="4"/>
      </w:pBdr>
    </w:pPr>
    <w:r>
      <w:rPr>
        <w:rFonts w:ascii="Arial" w:cs="Arial" w:eastAsia="Arial" w:hAnsi="Arial"/>
        <w:b/>
        <w:bCs/>
        <w:color w:val="7B2D8B"/>
        <w:sz w:val="18"/>
        <w:szCs w:val="18"/>
      </w:rPr>
      <w:t xml:space="preserve">NASSAU CANDY DISTRIBUTOR  </w:t>
    </w:r>
    <w:r>
      <w:rPr>
        <w:rFonts w:ascii="Arial" w:cs="Arial" w:eastAsia="Arial" w:hAnsi="Arial"/>
        <w:color w:val="666666"/>
        <w:sz w:val="18"/>
        <w:szCs w:val="18"/>
      </w:rPr>
      <w:t xml:space="preserve">|  Executive Summary  |  Shipping Route Efficiency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7B2D8B"/>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B5360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2026-06-24T06:41:27.659Z</dcterms:created>
  <dcterms:modified xsi:type="dcterms:W3CDTF">2026-06-24T06:41:27.659Z</dcterms:modified>
</cp:coreProperties>
</file>

<file path=docProps/custom.xml><?xml version="1.0" encoding="utf-8"?>
<Properties xmlns="http://schemas.openxmlformats.org/officeDocument/2006/custom-properties" xmlns:vt="http://schemas.openxmlformats.org/officeDocument/2006/docPropsVTypes"/>
</file>