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B621B" w14:textId="77777777" w:rsidR="003D2149" w:rsidRDefault="00000000" w:rsidP="00D15963">
      <w:pPr>
        <w:spacing w:after="200"/>
      </w:pPr>
      <w:r>
        <w:rPr>
          <w:b/>
          <w:bCs/>
          <w:color w:val="7B2D8B"/>
          <w:sz w:val="52"/>
          <w:szCs w:val="52"/>
        </w:rPr>
        <w:t>NASSAU CANDY DISTRIBUTOR</w:t>
      </w:r>
    </w:p>
    <w:p w14:paraId="3D4F6400" w14:textId="77777777" w:rsidR="003D2149" w:rsidRDefault="00000000">
      <w:pPr>
        <w:spacing w:after="160"/>
        <w:jc w:val="center"/>
      </w:pPr>
      <w:r>
        <w:rPr>
          <w:b/>
          <w:bCs/>
          <w:color w:val="B5360E"/>
          <w:sz w:val="34"/>
          <w:szCs w:val="34"/>
        </w:rPr>
        <w:t>Factory-to-Customer Shipping Route Efficiency Analysis</w:t>
      </w:r>
    </w:p>
    <w:p w14:paraId="29BC24B3" w14:textId="77777777" w:rsidR="003D2149" w:rsidRDefault="00000000">
      <w:pPr>
        <w:pBdr>
          <w:bottom w:val="single" w:sz="8" w:space="8" w:color="7B2D8B"/>
        </w:pBdr>
        <w:spacing w:after="320"/>
        <w:jc w:val="center"/>
      </w:pPr>
      <w:r>
        <w:rPr>
          <w:i/>
          <w:iCs/>
          <w:color w:val="555555"/>
          <w:sz w:val="26"/>
          <w:szCs w:val="26"/>
        </w:rPr>
        <w:t>Research Paper</w:t>
      </w:r>
    </w:p>
    <w:p w14:paraId="31D8B28E" w14:textId="77777777" w:rsidR="003D2149" w:rsidRDefault="003D2149">
      <w:pPr>
        <w:spacing w:after="240"/>
      </w:pPr>
    </w:p>
    <w:p w14:paraId="6146CF05" w14:textId="77777777" w:rsidR="003D2149" w:rsidRDefault="00000000">
      <w:pPr>
        <w:spacing w:after="100"/>
        <w:jc w:val="center"/>
      </w:pPr>
      <w:r>
        <w:t>Prepared by: Aditi</w:t>
      </w:r>
    </w:p>
    <w:p w14:paraId="7480E00F" w14:textId="77777777" w:rsidR="003D2149" w:rsidRDefault="00000000">
      <w:pPr>
        <w:spacing w:after="100"/>
        <w:jc w:val="center"/>
      </w:pPr>
      <w:r>
        <w:t>Date: June 2026</w:t>
      </w:r>
    </w:p>
    <w:p w14:paraId="0F209936" w14:textId="77777777" w:rsidR="003D2149" w:rsidRDefault="00000000">
      <w:pPr>
        <w:spacing w:after="100"/>
        <w:jc w:val="center"/>
        <w:rPr>
          <w:b/>
          <w:bCs/>
          <w:color w:val="B5360E"/>
        </w:rPr>
      </w:pPr>
      <w:r>
        <w:rPr>
          <w:b/>
          <w:bCs/>
          <w:color w:val="B5360E"/>
        </w:rPr>
        <w:t>Classification: Confidential</w:t>
      </w:r>
    </w:p>
    <w:p w14:paraId="057FE425" w14:textId="77777777" w:rsidR="00D15963" w:rsidRDefault="00D15963">
      <w:pPr>
        <w:spacing w:after="100"/>
        <w:jc w:val="center"/>
      </w:pPr>
    </w:p>
    <w:p w14:paraId="21447F45" w14:textId="40C8FDBA" w:rsidR="003D2149" w:rsidRDefault="00000000" w:rsidP="00D15963">
      <w:r>
        <w:rPr>
          <w:b/>
          <w:bCs/>
          <w:color w:val="7B2D8B"/>
          <w:sz w:val="32"/>
          <w:szCs w:val="32"/>
        </w:rPr>
        <w:t>Abstract</w:t>
      </w:r>
    </w:p>
    <w:p w14:paraId="5BD34A50" w14:textId="77777777" w:rsidR="003D2149" w:rsidRDefault="00000000">
      <w:pPr>
        <w:spacing w:before="80" w:after="120" w:line="360" w:lineRule="auto"/>
        <w:jc w:val="both"/>
      </w:pPr>
      <w:r>
        <w:t>This research paper presents a comprehensive analysis of factory-to-customer shipping route efficiency for Nassau Candy Distributor, a national confectionery distribution enterprise operating across multiple US regions. The study examines shipment data encompassing five manufacturing facilities — Lot's O' Nuts (Arizona), Wicked Choccy's (Georgia), Sugar Shack (Minnesota), Secret Factory (Illinois), and The Other Factory (Tennessee) — and evaluates route-level performance across the contiguous United States.</w:t>
      </w:r>
    </w:p>
    <w:p w14:paraId="53D6CD82" w14:textId="77777777" w:rsidR="003D2149" w:rsidRDefault="003D2149">
      <w:pPr>
        <w:spacing w:after="120"/>
      </w:pPr>
    </w:p>
    <w:p w14:paraId="7296C406" w14:textId="77777777" w:rsidR="003D2149" w:rsidRDefault="00000000">
      <w:pPr>
        <w:spacing w:before="80" w:after="120" w:line="360" w:lineRule="auto"/>
        <w:jc w:val="both"/>
      </w:pPr>
      <w:r>
        <w:t>Employing a structured analytical methodology grounded in exploratory data analysis (EDA), feature engineering, and benchmarking techniques, the study derives key performance indicators including Shipping Lead Time, Delay Rate, Route Volume, and a composite Efficiency Score. Geographic bottleneck analysis identifies regions and states where delivery performance is consistently poor relative to operational throughput. Ship mode comparisons reveal meaningful cost-time trade-offs that inform carrier strategy recommendations.</w:t>
      </w:r>
    </w:p>
    <w:p w14:paraId="1CEB052E" w14:textId="77777777" w:rsidR="003D2149" w:rsidRDefault="003D2149">
      <w:pPr>
        <w:spacing w:after="120"/>
      </w:pPr>
    </w:p>
    <w:p w14:paraId="7F3277DE" w14:textId="77777777" w:rsidR="003D2149" w:rsidRDefault="00000000">
      <w:pPr>
        <w:spacing w:before="80" w:after="120" w:line="360" w:lineRule="auto"/>
        <w:jc w:val="both"/>
      </w:pPr>
      <w:r>
        <w:t xml:space="preserve">Findings indicate significant inter-route variability in lead times, with certain factory-state corridors demonstrating chronic inefficiencies that inflate operational costs and erode customer satisfaction. The paper concludes with actionable recommendations for logistics </w:t>
      </w:r>
      <w:proofErr w:type="spellStart"/>
      <w:r>
        <w:t>optimisation</w:t>
      </w:r>
      <w:proofErr w:type="spellEnd"/>
      <w:r>
        <w:t xml:space="preserve">, carrier reallocation, and data-driven route management, supported by an interactive </w:t>
      </w:r>
      <w:proofErr w:type="spellStart"/>
      <w:r>
        <w:t>Streamlit</w:t>
      </w:r>
      <w:proofErr w:type="spellEnd"/>
      <w:r>
        <w:t xml:space="preserve"> analytics dashboard.</w:t>
      </w:r>
    </w:p>
    <w:p w14:paraId="4E2D8EC3" w14:textId="77777777" w:rsidR="003D2149" w:rsidRDefault="00000000">
      <w:r>
        <w:br w:type="page"/>
      </w:r>
    </w:p>
    <w:p w14:paraId="44CAA648" w14:textId="77777777" w:rsidR="003D2149" w:rsidRDefault="00000000">
      <w:pPr>
        <w:pStyle w:val="Heading1"/>
        <w:pBdr>
          <w:bottom w:val="single" w:sz="6" w:space="4" w:color="7B2D8B"/>
        </w:pBdr>
      </w:pPr>
      <w:r>
        <w:lastRenderedPageBreak/>
        <w:t>1. Introduction</w:t>
      </w:r>
    </w:p>
    <w:p w14:paraId="2D59F106" w14:textId="77777777" w:rsidR="003D2149" w:rsidRDefault="00000000">
      <w:pPr>
        <w:pStyle w:val="Heading2"/>
      </w:pPr>
      <w:r>
        <w:t>1.1 Background and Context</w:t>
      </w:r>
    </w:p>
    <w:p w14:paraId="6E8036FD" w14:textId="77777777" w:rsidR="003D2149" w:rsidRDefault="00000000">
      <w:pPr>
        <w:spacing w:before="80" w:after="120" w:line="360" w:lineRule="auto"/>
        <w:jc w:val="both"/>
      </w:pPr>
      <w:r>
        <w:t xml:space="preserve">Nassau Candy Distributor operates as a large-scale national distributor of confectionery products, shipping goods from geographically distributed manufacturing facilities to customers across all major US regions. The </w:t>
      </w:r>
      <w:proofErr w:type="spellStart"/>
      <w:r>
        <w:t>organisation's</w:t>
      </w:r>
      <w:proofErr w:type="spellEnd"/>
      <w:r>
        <w:t xml:space="preserve"> supply chain encompasses a diverse product portfolio spanning three divisions — Chocolate, Sugar, and Other — produced across five factories strategically located from the Southwest to the Upper Midwest.</w:t>
      </w:r>
    </w:p>
    <w:p w14:paraId="47CA7083" w14:textId="77777777" w:rsidR="003D2149" w:rsidRDefault="003D2149">
      <w:pPr>
        <w:spacing w:after="120"/>
      </w:pPr>
    </w:p>
    <w:p w14:paraId="3C4B1AF2" w14:textId="77777777" w:rsidR="003D2149" w:rsidRDefault="00000000">
      <w:pPr>
        <w:spacing w:before="80" w:after="120" w:line="360" w:lineRule="auto"/>
        <w:jc w:val="both"/>
      </w:pPr>
      <w:r>
        <w:t>In distribution-intensive industries, shipping efficiency is a first-order determinant of customer satisfaction, repeat purchase rates, and total operational cost. Delayed shipments generate downstream effects including customer complaints, emergency re-orders, elevated carrier costs, and reputational harm. Despite having access to rich transactional order and shipment data, logistics decisions at Nassau Candy have historically been made without systematic route-level intelligence — a gap this research seeks to address.</w:t>
      </w:r>
    </w:p>
    <w:p w14:paraId="28558916" w14:textId="77777777" w:rsidR="003D2149" w:rsidRDefault="00000000">
      <w:pPr>
        <w:pStyle w:val="Heading2"/>
      </w:pPr>
      <w:r>
        <w:t>1.2 Problem Statement</w:t>
      </w:r>
    </w:p>
    <w:p w14:paraId="7478DC4B" w14:textId="77777777" w:rsidR="003D2149" w:rsidRDefault="00000000">
      <w:pPr>
        <w:spacing w:before="80" w:after="120" w:line="360" w:lineRule="auto"/>
        <w:jc w:val="both"/>
      </w:pPr>
      <w:r>
        <w:t xml:space="preserve">The </w:t>
      </w:r>
      <w:proofErr w:type="spellStart"/>
      <w:r>
        <w:t>organisation</w:t>
      </w:r>
      <w:proofErr w:type="spellEnd"/>
      <w:r>
        <w:t xml:space="preserve"> currently lacks clarity on several critical logistics dimensions:</w:t>
      </w:r>
    </w:p>
    <w:p w14:paraId="5BA81823" w14:textId="77777777" w:rsidR="003D2149" w:rsidRDefault="00000000">
      <w:pPr>
        <w:pStyle w:val="ListParagraph"/>
        <w:numPr>
          <w:ilvl w:val="0"/>
          <w:numId w:val="2"/>
        </w:numPr>
        <w:spacing w:before="60" w:after="60"/>
      </w:pPr>
      <w:r>
        <w:t>Which factory-to-customer routes are consistently efficient versus chronically delayed</w:t>
      </w:r>
    </w:p>
    <w:p w14:paraId="5AB2F052" w14:textId="77777777" w:rsidR="003D2149" w:rsidRDefault="00000000">
      <w:pPr>
        <w:pStyle w:val="ListParagraph"/>
        <w:numPr>
          <w:ilvl w:val="0"/>
          <w:numId w:val="2"/>
        </w:numPr>
        <w:spacing w:before="60" w:after="60"/>
      </w:pPr>
      <w:r>
        <w:t>How shipping performance varies by geographic region, destination state, and shipping mode</w:t>
      </w:r>
    </w:p>
    <w:p w14:paraId="1DBA726D" w14:textId="77777777" w:rsidR="003D2149" w:rsidRDefault="00000000">
      <w:pPr>
        <w:pStyle w:val="ListParagraph"/>
        <w:numPr>
          <w:ilvl w:val="0"/>
          <w:numId w:val="2"/>
        </w:numPr>
        <w:spacing w:before="60" w:after="60"/>
      </w:pPr>
      <w:r>
        <w:t>Where operational bottlenecks are concentrated geographically</w:t>
      </w:r>
    </w:p>
    <w:p w14:paraId="14C48403" w14:textId="77777777" w:rsidR="003D2149" w:rsidRDefault="00000000">
      <w:pPr>
        <w:pStyle w:val="ListParagraph"/>
        <w:numPr>
          <w:ilvl w:val="0"/>
          <w:numId w:val="2"/>
        </w:numPr>
        <w:spacing w:before="60" w:after="60"/>
      </w:pPr>
      <w:r>
        <w:t>What the cost-time trade-off profile looks like across different carrier modes</w:t>
      </w:r>
    </w:p>
    <w:p w14:paraId="52091459" w14:textId="77777777" w:rsidR="003D2149" w:rsidRDefault="00000000">
      <w:pPr>
        <w:pStyle w:val="ListParagraph"/>
        <w:numPr>
          <w:ilvl w:val="0"/>
          <w:numId w:val="2"/>
        </w:numPr>
        <w:spacing w:before="60" w:after="60"/>
      </w:pPr>
      <w:r>
        <w:t>How route efficiency correlates with profitability at the order level</w:t>
      </w:r>
    </w:p>
    <w:p w14:paraId="415E6915" w14:textId="77777777" w:rsidR="003D2149" w:rsidRDefault="003D2149">
      <w:pPr>
        <w:spacing w:after="120"/>
      </w:pPr>
    </w:p>
    <w:p w14:paraId="5DF220CC" w14:textId="77777777" w:rsidR="003D2149" w:rsidRDefault="00000000">
      <w:pPr>
        <w:spacing w:before="80" w:after="120" w:line="360" w:lineRule="auto"/>
        <w:jc w:val="both"/>
      </w:pPr>
      <w:r>
        <w:t xml:space="preserve">Without this visibility, logistics </w:t>
      </w:r>
      <w:proofErr w:type="spellStart"/>
      <w:r>
        <w:t>optimisation</w:t>
      </w:r>
      <w:proofErr w:type="spellEnd"/>
      <w:r>
        <w:t xml:space="preserve"> remains reactive rather than data-driven. Management cannot proactively redirect volume, renegotiate carrier contracts, or allocate safety stock based on route risk profiles.</w:t>
      </w:r>
    </w:p>
    <w:p w14:paraId="2CE1079B" w14:textId="77777777" w:rsidR="003D2149" w:rsidRDefault="00000000">
      <w:pPr>
        <w:pStyle w:val="Heading2"/>
      </w:pPr>
      <w:r>
        <w:t>1.3 Research Objectives</w:t>
      </w:r>
    </w:p>
    <w:p w14:paraId="4FED8273" w14:textId="77777777" w:rsidR="003D2149" w:rsidRDefault="00000000">
      <w:pPr>
        <w:spacing w:before="80" w:after="120" w:line="360" w:lineRule="auto"/>
        <w:jc w:val="both"/>
      </w:pPr>
      <w:r>
        <w:t>This study pursues four primary objectives:</w:t>
      </w:r>
    </w:p>
    <w:p w14:paraId="65B25802" w14:textId="77777777" w:rsidR="003D2149" w:rsidRDefault="00000000">
      <w:pPr>
        <w:pStyle w:val="ListParagraph"/>
        <w:numPr>
          <w:ilvl w:val="0"/>
          <w:numId w:val="3"/>
        </w:numPr>
        <w:spacing w:before="60" w:after="60"/>
      </w:pPr>
      <w:r>
        <w:t>Establish a rigorous, reproducible methodology for measuring shipping route efficiency from raw transactional data.</w:t>
      </w:r>
    </w:p>
    <w:p w14:paraId="05E72397" w14:textId="77777777" w:rsidR="003D2149" w:rsidRDefault="00000000">
      <w:pPr>
        <w:pStyle w:val="ListParagraph"/>
        <w:numPr>
          <w:ilvl w:val="0"/>
          <w:numId w:val="3"/>
        </w:numPr>
        <w:spacing w:before="60" w:after="60"/>
      </w:pPr>
      <w:r>
        <w:t>Identify the top and bottom performing routes across all factory-destination combinations.</w:t>
      </w:r>
    </w:p>
    <w:p w14:paraId="0F4D09B0" w14:textId="77777777" w:rsidR="003D2149" w:rsidRDefault="00000000">
      <w:pPr>
        <w:pStyle w:val="ListParagraph"/>
        <w:numPr>
          <w:ilvl w:val="0"/>
          <w:numId w:val="3"/>
        </w:numPr>
        <w:spacing w:before="60" w:after="60"/>
      </w:pPr>
      <w:r>
        <w:t>Quantify geographic bottlenecks and their impact on aggregate delivery performance.</w:t>
      </w:r>
    </w:p>
    <w:p w14:paraId="19795066" w14:textId="77777777" w:rsidR="003D2149" w:rsidRDefault="00000000">
      <w:pPr>
        <w:pStyle w:val="ListParagraph"/>
        <w:numPr>
          <w:ilvl w:val="0"/>
          <w:numId w:val="3"/>
        </w:numPr>
        <w:spacing w:before="60" w:after="60"/>
      </w:pPr>
      <w:r>
        <w:lastRenderedPageBreak/>
        <w:t>Deliver actionable recommendations supported by an interactive analytical dashboard.</w:t>
      </w:r>
    </w:p>
    <w:p w14:paraId="5E0E1A04" w14:textId="77777777" w:rsidR="003D2149" w:rsidRDefault="00000000">
      <w:pPr>
        <w:pStyle w:val="Heading2"/>
      </w:pPr>
      <w:r>
        <w:t>1.4 Scope and Limitations</w:t>
      </w:r>
    </w:p>
    <w:p w14:paraId="5E08F7CC" w14:textId="77777777" w:rsidR="003D2149" w:rsidRDefault="00000000">
      <w:pPr>
        <w:spacing w:before="80" w:after="120" w:line="360" w:lineRule="auto"/>
        <w:jc w:val="both"/>
      </w:pPr>
      <w:r>
        <w:t xml:space="preserve">The analysis is constrained to domestic US shipments included in the Nassau Candy Distributor dataset. Factory locations are fixed as provided in the project specification; no real-time carrier data or external traffic/weather datasets are incorporated. Efficiency scoring is based on </w:t>
      </w:r>
      <w:proofErr w:type="spellStart"/>
      <w:r>
        <w:t>normalised</w:t>
      </w:r>
      <w:proofErr w:type="spellEnd"/>
      <w:r>
        <w:t xml:space="preserve"> lead time and delay rate metrics; cost-per-shipment granularity is not available at the carrier level. All findings are descriptive and inferential rather than causal.</w:t>
      </w:r>
    </w:p>
    <w:p w14:paraId="19173FFA" w14:textId="77777777" w:rsidR="003D2149" w:rsidRDefault="00000000">
      <w:r>
        <w:br w:type="page"/>
      </w:r>
    </w:p>
    <w:p w14:paraId="2BFE1EC2" w14:textId="77777777" w:rsidR="003D2149" w:rsidRDefault="00000000">
      <w:pPr>
        <w:pStyle w:val="Heading1"/>
        <w:pBdr>
          <w:bottom w:val="single" w:sz="6" w:space="4" w:color="7B2D8B"/>
        </w:pBdr>
      </w:pPr>
      <w:r>
        <w:lastRenderedPageBreak/>
        <w:t>2. Literature Review</w:t>
      </w:r>
    </w:p>
    <w:p w14:paraId="4EEEB026" w14:textId="77777777" w:rsidR="003D2149" w:rsidRDefault="00000000">
      <w:pPr>
        <w:pStyle w:val="Heading2"/>
      </w:pPr>
      <w:r>
        <w:t>2.1 Shipping Route Efficiency in Distribution Networks</w:t>
      </w:r>
    </w:p>
    <w:p w14:paraId="35E87A12" w14:textId="77777777" w:rsidR="003D2149" w:rsidRDefault="00000000">
      <w:pPr>
        <w:spacing w:before="80" w:after="120" w:line="360" w:lineRule="auto"/>
        <w:jc w:val="both"/>
      </w:pPr>
      <w:r>
        <w:t>Logistics efficiency research has long established that delivery lead time is a primary driver of customer satisfaction in B2B and B2C distribution. Chopra and Meindl (2016) identify lead time variability — not merely average lead time — as the key predictor of downstream inventory buffering costs. High-variability routes force downstream partners to maintain excess safety stock, inflating working capital requirements across the supply chain.</w:t>
      </w:r>
    </w:p>
    <w:p w14:paraId="329FDD55" w14:textId="77777777" w:rsidR="003D2149" w:rsidRDefault="003D2149">
      <w:pPr>
        <w:spacing w:after="120"/>
      </w:pPr>
    </w:p>
    <w:p w14:paraId="39FAC2B9" w14:textId="77777777" w:rsidR="003D2149" w:rsidRDefault="00000000">
      <w:pPr>
        <w:spacing w:before="80" w:after="120" w:line="360" w:lineRule="auto"/>
        <w:jc w:val="both"/>
      </w:pPr>
      <w:r>
        <w:t>In the context of national distribution, route-level efficiency analysis has evolved from manual reporting to real-time analytics platforms. Academic literature in operations research and supply chain management highlights the importance of segmenting routes by origin-destination pairs, carrier mode, and seasonal patterns — an approach mirrored in this study's analytical framework.</w:t>
      </w:r>
    </w:p>
    <w:p w14:paraId="640CF990" w14:textId="77777777" w:rsidR="003D2149" w:rsidRDefault="00000000">
      <w:pPr>
        <w:pStyle w:val="Heading2"/>
      </w:pPr>
      <w:r>
        <w:t>2.2 Geographic Bottleneck Analysis</w:t>
      </w:r>
    </w:p>
    <w:p w14:paraId="60CEF8A7" w14:textId="77777777" w:rsidR="003D2149" w:rsidRDefault="00000000">
      <w:pPr>
        <w:spacing w:before="80" w:after="120" w:line="360" w:lineRule="auto"/>
        <w:jc w:val="both"/>
      </w:pPr>
      <w:r>
        <w:t>The concept of geographic bottlenecks in logistics networks has been extensively studied in the context of US regional distribution. Research by Hesse and Rodrigue (2004) documents how geographic concentration of distribution hubs creates predictable congestion patterns, particularly in high-density coastal markets. Interior routes — especially those originating from Midwestern or Southern factories serving Pacific Coast or Northeast customers — tend to exhibit the highest lead-time variability due to carrier network density differentials.</w:t>
      </w:r>
    </w:p>
    <w:p w14:paraId="7F261BB8" w14:textId="77777777" w:rsidR="003D2149" w:rsidRDefault="00000000">
      <w:pPr>
        <w:pStyle w:val="Heading2"/>
      </w:pPr>
      <w:r>
        <w:t>2.3 Ship Mode Trade-offs</w:t>
      </w:r>
    </w:p>
    <w:p w14:paraId="7402681D" w14:textId="77777777" w:rsidR="003D2149" w:rsidRDefault="00000000">
      <w:pPr>
        <w:spacing w:before="80" w:after="120" w:line="360" w:lineRule="auto"/>
        <w:jc w:val="both"/>
      </w:pPr>
      <w:r>
        <w:t>A substantial body of literature addresses the cost-time trade-off across shipping modes. Standard (ground) shipping typically delivers the lowest per-unit cost but longest lead times, while expedited modes reduce lead time at significant cost premiums. For perishable or time-sensitive goods — a consideration partially applicable to confectionery given shelf-life and promotional timing constraints — the optimal mode mix depends on demand volatility, customer tier, and geographic reach.</w:t>
      </w:r>
    </w:p>
    <w:p w14:paraId="1B610D8F" w14:textId="77777777" w:rsidR="003D2149" w:rsidRDefault="00000000">
      <w:pPr>
        <w:pStyle w:val="Heading2"/>
      </w:pPr>
      <w:r>
        <w:t xml:space="preserve">2.4 Data-Driven Logistics </w:t>
      </w:r>
      <w:proofErr w:type="spellStart"/>
      <w:r>
        <w:t>Optimisation</w:t>
      </w:r>
      <w:proofErr w:type="spellEnd"/>
    </w:p>
    <w:p w14:paraId="7551E583" w14:textId="77777777" w:rsidR="003D2149" w:rsidRDefault="00000000">
      <w:pPr>
        <w:spacing w:before="80" w:after="120" w:line="360" w:lineRule="auto"/>
        <w:jc w:val="both"/>
      </w:pPr>
      <w:r>
        <w:t xml:space="preserve">The emergence of business intelligence platforms has transformed logistics management from periodic reporting to continuous monitoring. </w:t>
      </w:r>
      <w:proofErr w:type="spellStart"/>
      <w:r>
        <w:t>Streamlit</w:t>
      </w:r>
      <w:proofErr w:type="spellEnd"/>
      <w:r>
        <w:t xml:space="preserve">-based analytics dashboards represent a rapidly growing category of </w:t>
      </w:r>
      <w:proofErr w:type="spellStart"/>
      <w:r>
        <w:t>operationalised</w:t>
      </w:r>
      <w:proofErr w:type="spellEnd"/>
      <w:r>
        <w:t xml:space="preserve"> BI tools, enabling non-technical logistics managers to interact with live route performance data without dependency on data science teams. This study's dashboard </w:t>
      </w:r>
      <w:r>
        <w:lastRenderedPageBreak/>
        <w:t>deliverable aligns with best practices in making analytical outputs accessible to operational decision-makers.</w:t>
      </w:r>
    </w:p>
    <w:p w14:paraId="61DEC621" w14:textId="77777777" w:rsidR="003D2149" w:rsidRDefault="00000000">
      <w:r>
        <w:br w:type="page"/>
      </w:r>
    </w:p>
    <w:p w14:paraId="3A63BD6D" w14:textId="77777777" w:rsidR="003D2149" w:rsidRDefault="00000000">
      <w:pPr>
        <w:pStyle w:val="Heading1"/>
        <w:pBdr>
          <w:bottom w:val="single" w:sz="6" w:space="4" w:color="7B2D8B"/>
        </w:pBdr>
      </w:pPr>
      <w:r>
        <w:lastRenderedPageBreak/>
        <w:t>3. Analytical Methodology</w:t>
      </w:r>
    </w:p>
    <w:p w14:paraId="1F66C57B" w14:textId="77777777" w:rsidR="003D2149" w:rsidRDefault="00000000">
      <w:pPr>
        <w:pStyle w:val="Heading2"/>
      </w:pPr>
      <w:r>
        <w:t>3.1 Data Cleaning and Validation</w:t>
      </w:r>
    </w:p>
    <w:p w14:paraId="44B2D314" w14:textId="77777777" w:rsidR="003D2149" w:rsidRDefault="00000000">
      <w:pPr>
        <w:spacing w:before="80" w:after="120" w:line="360" w:lineRule="auto"/>
        <w:jc w:val="both"/>
      </w:pPr>
      <w:r>
        <w:t>The raw Nassau Candy Distributor dataset underwent a multi-stage cleaning process prior to analysis:</w:t>
      </w:r>
    </w:p>
    <w:p w14:paraId="1B58867A" w14:textId="77777777" w:rsidR="003D2149" w:rsidRDefault="00000000">
      <w:pPr>
        <w:pStyle w:val="ListParagraph"/>
        <w:numPr>
          <w:ilvl w:val="0"/>
          <w:numId w:val="2"/>
        </w:numPr>
        <w:spacing w:before="60" w:after="60"/>
      </w:pPr>
      <w:r>
        <w:t xml:space="preserve">Date parsing: Order Date and Ship Date fields were parsed using </w:t>
      </w:r>
      <w:proofErr w:type="spellStart"/>
      <w:r>
        <w:t>infer_datetime_format</w:t>
      </w:r>
      <w:proofErr w:type="spellEnd"/>
      <w:r>
        <w:t xml:space="preserve"> to handle mixed format entries. Rows with </w:t>
      </w:r>
      <w:proofErr w:type="spellStart"/>
      <w:r>
        <w:t>unparseable</w:t>
      </w:r>
      <w:proofErr w:type="spellEnd"/>
      <w:r>
        <w:t xml:space="preserve"> dates were flagged and excluded.</w:t>
      </w:r>
    </w:p>
    <w:p w14:paraId="2E2BB27D" w14:textId="77777777" w:rsidR="003D2149" w:rsidRDefault="00000000">
      <w:pPr>
        <w:pStyle w:val="ListParagraph"/>
        <w:numPr>
          <w:ilvl w:val="0"/>
          <w:numId w:val="2"/>
        </w:numPr>
        <w:spacing w:before="60" w:after="60"/>
      </w:pPr>
      <w:r>
        <w:t>Lead time validation: Shipping Lead Time (Ship Date minus Order Date) was computed. Records with zero or negative lead times were removed as data entry errors.</w:t>
      </w:r>
    </w:p>
    <w:p w14:paraId="5D6B39C7" w14:textId="77777777" w:rsidR="003D2149" w:rsidRDefault="00000000">
      <w:pPr>
        <w:pStyle w:val="ListParagraph"/>
        <w:numPr>
          <w:ilvl w:val="0"/>
          <w:numId w:val="2"/>
        </w:numPr>
        <w:spacing w:before="60" w:after="60"/>
      </w:pPr>
      <w:r>
        <w:t xml:space="preserve">Geographic </w:t>
      </w:r>
      <w:proofErr w:type="spellStart"/>
      <w:r>
        <w:t>standardisation</w:t>
      </w:r>
      <w:proofErr w:type="spellEnd"/>
      <w:r>
        <w:t>: State/Province values were uppercased and trimmed; Region values were title-cased for consistent grouping.</w:t>
      </w:r>
    </w:p>
    <w:p w14:paraId="7594755C" w14:textId="77777777" w:rsidR="003D2149" w:rsidRDefault="00000000">
      <w:pPr>
        <w:pStyle w:val="ListParagraph"/>
        <w:numPr>
          <w:ilvl w:val="0"/>
          <w:numId w:val="2"/>
        </w:numPr>
        <w:spacing w:before="60" w:after="60"/>
      </w:pPr>
      <w:r>
        <w:t>Numeric coercion: Sales, Cost, Gross Profit, and Units fields were coerced to float with invalid entries replaced by zero.</w:t>
      </w:r>
    </w:p>
    <w:p w14:paraId="5B67441B" w14:textId="77777777" w:rsidR="003D2149" w:rsidRDefault="00000000">
      <w:pPr>
        <w:pStyle w:val="ListParagraph"/>
        <w:numPr>
          <w:ilvl w:val="0"/>
          <w:numId w:val="2"/>
        </w:numPr>
        <w:spacing w:before="60" w:after="60"/>
      </w:pPr>
      <w:r>
        <w:t>Factory assignment: Product Name was mapped to factory origin using a pre-defined lookup table derived from the Products and Factories Correlation specification. Division-level defaults handled unmatched products.</w:t>
      </w:r>
    </w:p>
    <w:p w14:paraId="23AC990D" w14:textId="77777777" w:rsidR="003D2149" w:rsidRDefault="00000000">
      <w:pPr>
        <w:pStyle w:val="Heading2"/>
      </w:pPr>
      <w:r>
        <w:t>3.2 Feature Engineering</w:t>
      </w:r>
    </w:p>
    <w:p w14:paraId="2F784803" w14:textId="77777777" w:rsidR="003D2149" w:rsidRDefault="00000000">
      <w:pPr>
        <w:spacing w:before="80" w:after="120" w:line="360" w:lineRule="auto"/>
        <w:jc w:val="both"/>
      </w:pPr>
      <w:r>
        <w:t>The following derived features were constructed to support route-level analysis:</w:t>
      </w:r>
    </w:p>
    <w:p w14:paraId="346F6F16" w14:textId="77777777" w:rsidR="003D2149" w:rsidRDefault="003D214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D2149" w14:paraId="271CE839"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7B2D8B"/>
            <w:tcMar>
              <w:top w:w="100" w:type="dxa"/>
              <w:left w:w="120" w:type="dxa"/>
              <w:bottom w:w="100" w:type="dxa"/>
              <w:right w:w="120" w:type="dxa"/>
            </w:tcMar>
            <w:vAlign w:val="center"/>
          </w:tcPr>
          <w:p w14:paraId="32056A39" w14:textId="77777777" w:rsidR="003D2149" w:rsidRDefault="00000000">
            <w:pPr>
              <w:jc w:val="center"/>
            </w:pPr>
            <w:r>
              <w:rPr>
                <w:b/>
                <w:bCs/>
                <w:color w:val="FFFFFF"/>
                <w:sz w:val="20"/>
                <w:szCs w:val="20"/>
              </w:rPr>
              <w:t>KPI</w:t>
            </w:r>
          </w:p>
        </w:tc>
        <w:tc>
          <w:tcPr>
            <w:tcW w:w="3120" w:type="dxa"/>
            <w:tcBorders>
              <w:top w:val="single" w:sz="1" w:space="0" w:color="CCCCCC"/>
              <w:left w:val="single" w:sz="1" w:space="0" w:color="CCCCCC"/>
              <w:bottom w:val="single" w:sz="1" w:space="0" w:color="CCCCCC"/>
              <w:right w:val="single" w:sz="1" w:space="0" w:color="CCCCCC"/>
            </w:tcBorders>
            <w:shd w:val="clear" w:color="auto" w:fill="7B2D8B"/>
            <w:tcMar>
              <w:top w:w="100" w:type="dxa"/>
              <w:left w:w="120" w:type="dxa"/>
              <w:bottom w:w="100" w:type="dxa"/>
              <w:right w:w="120" w:type="dxa"/>
            </w:tcMar>
            <w:vAlign w:val="center"/>
          </w:tcPr>
          <w:p w14:paraId="14C8CE46" w14:textId="77777777" w:rsidR="003D2149" w:rsidRDefault="00000000">
            <w:pPr>
              <w:jc w:val="center"/>
            </w:pPr>
            <w:r>
              <w:rPr>
                <w:b/>
                <w:bCs/>
                <w:color w:val="FFFFFF"/>
                <w:sz w:val="20"/>
                <w:szCs w:val="20"/>
              </w:rPr>
              <w:t>Definition</w:t>
            </w:r>
          </w:p>
        </w:tc>
        <w:tc>
          <w:tcPr>
            <w:tcW w:w="3120" w:type="dxa"/>
            <w:tcBorders>
              <w:top w:val="single" w:sz="1" w:space="0" w:color="CCCCCC"/>
              <w:left w:val="single" w:sz="1" w:space="0" w:color="CCCCCC"/>
              <w:bottom w:val="single" w:sz="1" w:space="0" w:color="CCCCCC"/>
              <w:right w:val="single" w:sz="1" w:space="0" w:color="CCCCCC"/>
            </w:tcBorders>
            <w:shd w:val="clear" w:color="auto" w:fill="7B2D8B"/>
            <w:tcMar>
              <w:top w:w="100" w:type="dxa"/>
              <w:left w:w="120" w:type="dxa"/>
              <w:bottom w:w="100" w:type="dxa"/>
              <w:right w:w="120" w:type="dxa"/>
            </w:tcMar>
            <w:vAlign w:val="center"/>
          </w:tcPr>
          <w:p w14:paraId="769E046E" w14:textId="77777777" w:rsidR="003D2149" w:rsidRDefault="00000000">
            <w:pPr>
              <w:jc w:val="center"/>
            </w:pPr>
            <w:r>
              <w:rPr>
                <w:b/>
                <w:bCs/>
                <w:color w:val="FFFFFF"/>
                <w:sz w:val="20"/>
                <w:szCs w:val="20"/>
              </w:rPr>
              <w:t>Formula / Notes</w:t>
            </w:r>
          </w:p>
        </w:tc>
      </w:tr>
      <w:tr w:rsidR="003D2149" w14:paraId="02886A1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59AB7" w14:textId="77777777" w:rsidR="003D2149" w:rsidRDefault="00000000">
            <w:r>
              <w:rPr>
                <w:sz w:val="20"/>
                <w:szCs w:val="20"/>
              </w:rPr>
              <w:t>Shipping Lead Time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D2750" w14:textId="77777777" w:rsidR="003D2149" w:rsidRDefault="00000000">
            <w:r>
              <w:rPr>
                <w:sz w:val="20"/>
                <w:szCs w:val="20"/>
              </w:rPr>
              <w:t>Days from order to shipment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9F0D2" w14:textId="77777777" w:rsidR="003D2149" w:rsidRDefault="00000000">
            <w:r>
              <w:rPr>
                <w:sz w:val="20"/>
                <w:szCs w:val="20"/>
              </w:rPr>
              <w:t>Ship Date − Order Date</w:t>
            </w:r>
          </w:p>
        </w:tc>
      </w:tr>
      <w:tr w:rsidR="003D2149" w14:paraId="3E863D7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465A472C" w14:textId="77777777" w:rsidR="003D2149" w:rsidRDefault="00000000">
            <w:r>
              <w:rPr>
                <w:sz w:val="20"/>
                <w:szCs w:val="20"/>
              </w:rPr>
              <w:t>Average Lead Time</w:t>
            </w:r>
          </w:p>
        </w:tc>
        <w:tc>
          <w:tcPr>
            <w:tcW w:w="312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10694EE3" w14:textId="77777777" w:rsidR="003D2149" w:rsidRDefault="00000000">
            <w:r>
              <w:rPr>
                <w:sz w:val="20"/>
                <w:szCs w:val="20"/>
              </w:rPr>
              <w:t>Mean duration per route</w:t>
            </w:r>
          </w:p>
        </w:tc>
        <w:tc>
          <w:tcPr>
            <w:tcW w:w="312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33041429" w14:textId="77777777" w:rsidR="003D2149" w:rsidRDefault="00000000">
            <w:r>
              <w:rPr>
                <w:sz w:val="20"/>
                <w:szCs w:val="20"/>
              </w:rPr>
              <w:t>Mean of all lead times on route</w:t>
            </w:r>
          </w:p>
        </w:tc>
      </w:tr>
      <w:tr w:rsidR="003D2149" w14:paraId="364F8A5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1C106" w14:textId="77777777" w:rsidR="003D2149" w:rsidRDefault="00000000">
            <w:r>
              <w:rPr>
                <w:sz w:val="20"/>
                <w:szCs w:val="20"/>
              </w:rPr>
              <w:t>Route Volume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6CA23" w14:textId="77777777" w:rsidR="003D2149" w:rsidRDefault="00000000">
            <w:r>
              <w:rPr>
                <w:sz w:val="20"/>
                <w:szCs w:val="20"/>
              </w:rPr>
              <w:t>Orders per route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57B14" w14:textId="77777777" w:rsidR="003D2149" w:rsidRDefault="00000000">
            <w:proofErr w:type="gramStart"/>
            <w:r>
              <w:rPr>
                <w:sz w:val="20"/>
                <w:szCs w:val="20"/>
              </w:rPr>
              <w:t>COUNT(</w:t>
            </w:r>
            <w:proofErr w:type="gramEnd"/>
            <w:r>
              <w:rPr>
                <w:sz w:val="20"/>
                <w:szCs w:val="20"/>
              </w:rPr>
              <w:t>Order ID) per route</w:t>
            </w:r>
          </w:p>
        </w:tc>
      </w:tr>
      <w:tr w:rsidR="003D2149" w14:paraId="56BE86C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247B819A" w14:textId="77777777" w:rsidR="003D2149" w:rsidRDefault="00000000">
            <w:r>
              <w:rPr>
                <w:sz w:val="20"/>
                <w:szCs w:val="20"/>
              </w:rPr>
              <w:t>Delay Rate</w:t>
            </w:r>
          </w:p>
        </w:tc>
        <w:tc>
          <w:tcPr>
            <w:tcW w:w="312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3127C1CB" w14:textId="77777777" w:rsidR="003D2149" w:rsidRDefault="00000000">
            <w:r>
              <w:rPr>
                <w:sz w:val="20"/>
                <w:szCs w:val="20"/>
              </w:rPr>
              <w:t>% orders exceeding threshold</w:t>
            </w:r>
          </w:p>
        </w:tc>
        <w:tc>
          <w:tcPr>
            <w:tcW w:w="312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5D426236" w14:textId="77777777" w:rsidR="003D2149" w:rsidRDefault="00000000">
            <w:r>
              <w:rPr>
                <w:sz w:val="20"/>
                <w:szCs w:val="20"/>
              </w:rPr>
              <w:t>Delayed Orders / Total Orders × 100</w:t>
            </w:r>
          </w:p>
        </w:tc>
      </w:tr>
      <w:tr w:rsidR="003D2149" w14:paraId="222C135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6A131" w14:textId="77777777" w:rsidR="003D2149" w:rsidRDefault="00000000">
            <w:r>
              <w:rPr>
                <w:sz w:val="20"/>
                <w:szCs w:val="20"/>
              </w:rPr>
              <w:t>Efficiency Score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A2C784" w14:textId="77777777" w:rsidR="003D2149" w:rsidRDefault="00000000">
            <w:r>
              <w:rPr>
                <w:sz w:val="20"/>
                <w:szCs w:val="20"/>
              </w:rPr>
              <w:t>Composite 0–100 metric</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CF051" w14:textId="77777777" w:rsidR="003D2149" w:rsidRDefault="00000000">
            <w:r>
              <w:rPr>
                <w:sz w:val="20"/>
                <w:szCs w:val="20"/>
              </w:rPr>
              <w:t>60% norm. LT + 40% norm. Delay Rate</w:t>
            </w:r>
          </w:p>
        </w:tc>
      </w:tr>
      <w:tr w:rsidR="003D2149" w14:paraId="01B8898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0FEEC820" w14:textId="77777777" w:rsidR="003D2149" w:rsidRDefault="00000000">
            <w:r>
              <w:rPr>
                <w:sz w:val="20"/>
                <w:szCs w:val="20"/>
              </w:rPr>
              <w:t>Gross Profit Margin</w:t>
            </w:r>
          </w:p>
        </w:tc>
        <w:tc>
          <w:tcPr>
            <w:tcW w:w="312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56802D18" w14:textId="77777777" w:rsidR="003D2149" w:rsidRDefault="00000000">
            <w:r>
              <w:rPr>
                <w:sz w:val="20"/>
                <w:szCs w:val="20"/>
              </w:rPr>
              <w:t>Profitability indicator</w:t>
            </w:r>
          </w:p>
        </w:tc>
        <w:tc>
          <w:tcPr>
            <w:tcW w:w="312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0E4ED7C6" w14:textId="77777777" w:rsidR="003D2149" w:rsidRDefault="00000000">
            <w:r>
              <w:rPr>
                <w:sz w:val="20"/>
                <w:szCs w:val="20"/>
              </w:rPr>
              <w:t>(Gross Profit / Sales) × 100</w:t>
            </w:r>
          </w:p>
        </w:tc>
      </w:tr>
    </w:tbl>
    <w:p w14:paraId="1F815F55" w14:textId="77777777" w:rsidR="003D2149" w:rsidRDefault="003D2149">
      <w:pPr>
        <w:spacing w:after="120"/>
      </w:pPr>
    </w:p>
    <w:p w14:paraId="4132FE72" w14:textId="77777777" w:rsidR="003D2149" w:rsidRDefault="00000000">
      <w:pPr>
        <w:spacing w:before="80" w:after="120" w:line="360" w:lineRule="auto"/>
        <w:jc w:val="both"/>
      </w:pPr>
      <w:r>
        <w:t>The Efficiency Score is designed to reward both fast average delivery and low delay frequency. The 60/40 weighting reflects the greater operational impact of consistent lead times relative to occasional delays.</w:t>
      </w:r>
    </w:p>
    <w:p w14:paraId="5C583F97" w14:textId="77777777" w:rsidR="003D2149" w:rsidRDefault="00000000">
      <w:pPr>
        <w:pStyle w:val="Heading2"/>
      </w:pPr>
      <w:r>
        <w:t>3.3 Route Definition and Aggregation</w:t>
      </w:r>
    </w:p>
    <w:p w14:paraId="408C7E70" w14:textId="77777777" w:rsidR="003D2149" w:rsidRDefault="00000000">
      <w:pPr>
        <w:spacing w:before="80" w:after="120" w:line="360" w:lineRule="auto"/>
        <w:jc w:val="both"/>
      </w:pPr>
      <w:r>
        <w:lastRenderedPageBreak/>
        <w:t>Each unique route is defined as the combination of Factory Name and Customer State/Province. This granularity captures factory-specific logistics performance at the regional delivery level without over-fragmenting to the city or postal code level, which would produce insufficient sample sizes per route.</w:t>
      </w:r>
    </w:p>
    <w:p w14:paraId="68DB6ED1" w14:textId="77777777" w:rsidR="003D2149" w:rsidRDefault="003D2149">
      <w:pPr>
        <w:spacing w:after="120"/>
      </w:pPr>
    </w:p>
    <w:p w14:paraId="453749DA" w14:textId="77777777" w:rsidR="003D2149" w:rsidRDefault="00000000">
      <w:pPr>
        <w:spacing w:before="80" w:after="120" w:line="360" w:lineRule="auto"/>
        <w:jc w:val="both"/>
      </w:pPr>
      <w:r>
        <w:t>Routes were aggregated to compute: total shipment volume, average and standard deviation of lead time, delay rate, efficiency score, and total sales. Routes with fewer than five shipments were retained but flagged in the analysis as low-confidence observations.</w:t>
      </w:r>
    </w:p>
    <w:p w14:paraId="751908AF" w14:textId="77777777" w:rsidR="003D2149" w:rsidRDefault="00000000">
      <w:pPr>
        <w:pStyle w:val="Heading2"/>
      </w:pPr>
      <w:r>
        <w:t>3.4 Benchmarking</w:t>
      </w:r>
    </w:p>
    <w:p w14:paraId="5C6F0F45" w14:textId="77777777" w:rsidR="003D2149" w:rsidRDefault="00000000">
      <w:pPr>
        <w:spacing w:before="80" w:after="120" w:line="360" w:lineRule="auto"/>
        <w:jc w:val="both"/>
      </w:pPr>
      <w:r>
        <w:t>Routes were ranked by Efficiency Score to produce a full performance leaderboard. The top decile (Top 10 routes) and bottom decile (Bottom 10 routes) were extracted for focused analysis. Cross-route comparisons were conducted holding ship mode constant where sample sizes permitted, to isolate route geography from carrier choice effects.</w:t>
      </w:r>
    </w:p>
    <w:p w14:paraId="2BA9A0E9" w14:textId="77777777" w:rsidR="003D2149" w:rsidRDefault="00000000">
      <w:pPr>
        <w:pStyle w:val="Heading2"/>
      </w:pPr>
      <w:r>
        <w:t>3.5 Geographic Bottleneck Analysis</w:t>
      </w:r>
    </w:p>
    <w:p w14:paraId="258ED221" w14:textId="77777777" w:rsidR="003D2149" w:rsidRDefault="00000000">
      <w:pPr>
        <w:spacing w:before="80" w:after="120" w:line="360" w:lineRule="auto"/>
        <w:jc w:val="both"/>
      </w:pPr>
      <w:r>
        <w:t xml:space="preserve">State-level aggregations of average lead time, delay rate, and shipment volume were </w:t>
      </w:r>
      <w:proofErr w:type="spellStart"/>
      <w:r>
        <w:t>visualised</w:t>
      </w:r>
      <w:proofErr w:type="spellEnd"/>
      <w:r>
        <w:t xml:space="preserve"> via US choropleth maps. Bottleneck states were defined as those falling in the top quartile of both average lead time and delay rate simultaneously — indicating systemic rather than volume-driven delays. Regional bubble charts plotted average lead time against delay rate with bubble size proportional to shipment volume, enabling simultaneous triage of high-impact problem areas.</w:t>
      </w:r>
    </w:p>
    <w:p w14:paraId="731FFA67" w14:textId="77777777" w:rsidR="003D2149" w:rsidRDefault="00000000">
      <w:pPr>
        <w:pStyle w:val="Heading2"/>
      </w:pPr>
      <w:r>
        <w:t>3.6 Ship Mode Analysis</w:t>
      </w:r>
    </w:p>
    <w:p w14:paraId="2CD62706" w14:textId="77777777" w:rsidR="003D2149" w:rsidRDefault="00000000">
      <w:pPr>
        <w:spacing w:before="80" w:after="120" w:line="360" w:lineRule="auto"/>
        <w:jc w:val="both"/>
      </w:pPr>
      <w:r>
        <w:t>Shipping mode performance was evaluated across four dimensions: average lead time, lead time standard deviation, delay rate, and average order cost. Violin plots were used to capture the full distribution shape per mode, revealing skewness and outlier presence beyond what summary statistics alone communicate.</w:t>
      </w:r>
    </w:p>
    <w:p w14:paraId="2EA3D058" w14:textId="77777777" w:rsidR="003D2149" w:rsidRDefault="00000000">
      <w:r>
        <w:br w:type="page"/>
      </w:r>
    </w:p>
    <w:p w14:paraId="5D7C9E87" w14:textId="77777777" w:rsidR="003D2149" w:rsidRDefault="00000000">
      <w:pPr>
        <w:pStyle w:val="Heading1"/>
        <w:pBdr>
          <w:bottom w:val="single" w:sz="6" w:space="4" w:color="7B2D8B"/>
        </w:pBdr>
      </w:pPr>
      <w:r>
        <w:lastRenderedPageBreak/>
        <w:t>4. Factory Network Overview</w:t>
      </w:r>
    </w:p>
    <w:p w14:paraId="10DA83BA" w14:textId="77777777" w:rsidR="003D2149" w:rsidRDefault="00000000">
      <w:pPr>
        <w:spacing w:before="80" w:after="120" w:line="360" w:lineRule="auto"/>
        <w:jc w:val="both"/>
      </w:pPr>
      <w:r>
        <w:t xml:space="preserve">Nassau Candy Distributor's manufacturing network comprises five facilities distributed across four US census regions, providing geographic coverage for national distribution. The table below </w:t>
      </w:r>
      <w:proofErr w:type="spellStart"/>
      <w:r>
        <w:t>summarises</w:t>
      </w:r>
      <w:proofErr w:type="spellEnd"/>
      <w:r>
        <w:t xml:space="preserve"> each factory's location and product portfolio:</w:t>
      </w:r>
    </w:p>
    <w:p w14:paraId="29FC3284" w14:textId="77777777" w:rsidR="003D2149" w:rsidRDefault="003D214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7"/>
        <w:gridCol w:w="1514"/>
        <w:gridCol w:w="1434"/>
        <w:gridCol w:w="1633"/>
        <w:gridCol w:w="2152"/>
      </w:tblGrid>
      <w:tr w:rsidR="003D2149" w14:paraId="6401B4DF"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7B2D8B"/>
            <w:tcMar>
              <w:top w:w="100" w:type="dxa"/>
              <w:left w:w="120" w:type="dxa"/>
              <w:bottom w:w="100" w:type="dxa"/>
              <w:right w:w="120" w:type="dxa"/>
            </w:tcMar>
            <w:vAlign w:val="center"/>
          </w:tcPr>
          <w:p w14:paraId="4B2AB16B" w14:textId="77777777" w:rsidR="003D2149" w:rsidRDefault="00000000">
            <w:pPr>
              <w:jc w:val="center"/>
            </w:pPr>
            <w:r>
              <w:rPr>
                <w:b/>
                <w:bCs/>
                <w:color w:val="FFFFFF"/>
                <w:sz w:val="20"/>
                <w:szCs w:val="20"/>
              </w:rPr>
              <w:t>Factory</w:t>
            </w:r>
          </w:p>
        </w:tc>
        <w:tc>
          <w:tcPr>
            <w:tcW w:w="1600" w:type="dxa"/>
            <w:tcBorders>
              <w:top w:val="single" w:sz="1" w:space="0" w:color="CCCCCC"/>
              <w:left w:val="single" w:sz="1" w:space="0" w:color="CCCCCC"/>
              <w:bottom w:val="single" w:sz="1" w:space="0" w:color="CCCCCC"/>
              <w:right w:val="single" w:sz="1" w:space="0" w:color="CCCCCC"/>
            </w:tcBorders>
            <w:shd w:val="clear" w:color="auto" w:fill="7B2D8B"/>
            <w:tcMar>
              <w:top w:w="100" w:type="dxa"/>
              <w:left w:w="120" w:type="dxa"/>
              <w:bottom w:w="100" w:type="dxa"/>
              <w:right w:w="120" w:type="dxa"/>
            </w:tcMar>
            <w:vAlign w:val="center"/>
          </w:tcPr>
          <w:p w14:paraId="3FE529F1" w14:textId="77777777" w:rsidR="003D2149" w:rsidRDefault="00000000">
            <w:pPr>
              <w:jc w:val="center"/>
            </w:pPr>
            <w:r>
              <w:rPr>
                <w:b/>
                <w:bCs/>
                <w:color w:val="FFFFFF"/>
                <w:sz w:val="20"/>
                <w:szCs w:val="20"/>
              </w:rPr>
              <w:t>State</w:t>
            </w:r>
          </w:p>
        </w:tc>
        <w:tc>
          <w:tcPr>
            <w:tcW w:w="1480" w:type="dxa"/>
            <w:tcBorders>
              <w:top w:val="single" w:sz="1" w:space="0" w:color="CCCCCC"/>
              <w:left w:val="single" w:sz="1" w:space="0" w:color="CCCCCC"/>
              <w:bottom w:val="single" w:sz="1" w:space="0" w:color="CCCCCC"/>
              <w:right w:val="single" w:sz="1" w:space="0" w:color="CCCCCC"/>
            </w:tcBorders>
            <w:shd w:val="clear" w:color="auto" w:fill="7B2D8B"/>
            <w:tcMar>
              <w:top w:w="100" w:type="dxa"/>
              <w:left w:w="120" w:type="dxa"/>
              <w:bottom w:w="100" w:type="dxa"/>
              <w:right w:w="120" w:type="dxa"/>
            </w:tcMar>
            <w:vAlign w:val="center"/>
          </w:tcPr>
          <w:p w14:paraId="5586D4BF" w14:textId="77777777" w:rsidR="003D2149" w:rsidRDefault="00000000">
            <w:pPr>
              <w:jc w:val="center"/>
            </w:pPr>
            <w:r>
              <w:rPr>
                <w:b/>
                <w:bCs/>
                <w:color w:val="FFFFFF"/>
                <w:sz w:val="20"/>
                <w:szCs w:val="20"/>
              </w:rPr>
              <w:t>Latitude</w:t>
            </w:r>
          </w:p>
        </w:tc>
        <w:tc>
          <w:tcPr>
            <w:tcW w:w="1680" w:type="dxa"/>
            <w:tcBorders>
              <w:top w:val="single" w:sz="1" w:space="0" w:color="CCCCCC"/>
              <w:left w:val="single" w:sz="1" w:space="0" w:color="CCCCCC"/>
              <w:bottom w:val="single" w:sz="1" w:space="0" w:color="CCCCCC"/>
              <w:right w:val="single" w:sz="1" w:space="0" w:color="CCCCCC"/>
            </w:tcBorders>
            <w:shd w:val="clear" w:color="auto" w:fill="7B2D8B"/>
            <w:tcMar>
              <w:top w:w="100" w:type="dxa"/>
              <w:left w:w="120" w:type="dxa"/>
              <w:bottom w:w="100" w:type="dxa"/>
              <w:right w:w="120" w:type="dxa"/>
            </w:tcMar>
            <w:vAlign w:val="center"/>
          </w:tcPr>
          <w:p w14:paraId="309C8731" w14:textId="77777777" w:rsidR="003D2149" w:rsidRDefault="00000000">
            <w:pPr>
              <w:jc w:val="center"/>
            </w:pPr>
            <w:r>
              <w:rPr>
                <w:b/>
                <w:bCs/>
                <w:color w:val="FFFFFF"/>
                <w:sz w:val="20"/>
                <w:szCs w:val="20"/>
              </w:rPr>
              <w:t>Longitude</w:t>
            </w:r>
          </w:p>
        </w:tc>
        <w:tc>
          <w:tcPr>
            <w:tcW w:w="1800" w:type="dxa"/>
            <w:tcBorders>
              <w:top w:val="single" w:sz="1" w:space="0" w:color="CCCCCC"/>
              <w:left w:val="single" w:sz="1" w:space="0" w:color="CCCCCC"/>
              <w:bottom w:val="single" w:sz="1" w:space="0" w:color="CCCCCC"/>
              <w:right w:val="single" w:sz="1" w:space="0" w:color="CCCCCC"/>
            </w:tcBorders>
            <w:shd w:val="clear" w:color="auto" w:fill="7B2D8B"/>
            <w:tcMar>
              <w:top w:w="100" w:type="dxa"/>
              <w:left w:w="120" w:type="dxa"/>
              <w:bottom w:w="100" w:type="dxa"/>
              <w:right w:w="120" w:type="dxa"/>
            </w:tcMar>
            <w:vAlign w:val="center"/>
          </w:tcPr>
          <w:p w14:paraId="7FFB3A8A" w14:textId="77777777" w:rsidR="003D2149" w:rsidRDefault="00000000">
            <w:pPr>
              <w:jc w:val="center"/>
            </w:pPr>
            <w:r>
              <w:rPr>
                <w:b/>
                <w:bCs/>
                <w:color w:val="FFFFFF"/>
                <w:sz w:val="20"/>
                <w:szCs w:val="20"/>
              </w:rPr>
              <w:t>Products</w:t>
            </w:r>
          </w:p>
        </w:tc>
      </w:tr>
      <w:tr w:rsidR="003D2149" w14:paraId="409EC8B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4A8DA" w14:textId="77777777" w:rsidR="003D2149" w:rsidRDefault="00000000">
            <w:r>
              <w:rPr>
                <w:sz w:val="20"/>
                <w:szCs w:val="20"/>
              </w:rPr>
              <w:t>Lot's O' Nuts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E84DD" w14:textId="77777777" w:rsidR="003D2149" w:rsidRDefault="00000000">
            <w:r>
              <w:rPr>
                <w:sz w:val="20"/>
                <w:szCs w:val="20"/>
              </w:rPr>
              <w:t>AZ</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C120A" w14:textId="77777777" w:rsidR="003D2149" w:rsidRDefault="00000000">
            <w:r>
              <w:rPr>
                <w:sz w:val="20"/>
                <w:szCs w:val="20"/>
              </w:rPr>
              <w:t>32.88°N</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CD7EF" w14:textId="77777777" w:rsidR="003D2149" w:rsidRDefault="00000000">
            <w:r>
              <w:rPr>
                <w:sz w:val="20"/>
                <w:szCs w:val="20"/>
              </w:rPr>
              <w:t>111.77°W</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4BE8C" w14:textId="77777777" w:rsidR="003D2149" w:rsidRDefault="00000000">
            <w:r>
              <w:rPr>
                <w:sz w:val="20"/>
                <w:szCs w:val="20"/>
              </w:rPr>
              <w:t>Nutty Crunch, Fudge Mallows, Scrumdiddlyumptious</w:t>
            </w:r>
          </w:p>
        </w:tc>
      </w:tr>
      <w:tr w:rsidR="003D2149" w14:paraId="6C92AEA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2686F5BD" w14:textId="77777777" w:rsidR="003D2149" w:rsidRDefault="00000000">
            <w:r>
              <w:rPr>
                <w:sz w:val="20"/>
                <w:szCs w:val="20"/>
              </w:rPr>
              <w:t>Wicked Choccy's</w:t>
            </w:r>
          </w:p>
        </w:tc>
        <w:tc>
          <w:tcPr>
            <w:tcW w:w="160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228E24A9" w14:textId="77777777" w:rsidR="003D2149" w:rsidRDefault="00000000">
            <w:r>
              <w:rPr>
                <w:sz w:val="20"/>
                <w:szCs w:val="20"/>
              </w:rPr>
              <w:t>GA</w:t>
            </w:r>
          </w:p>
        </w:tc>
        <w:tc>
          <w:tcPr>
            <w:tcW w:w="148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4221286F" w14:textId="77777777" w:rsidR="003D2149" w:rsidRDefault="00000000">
            <w:r>
              <w:rPr>
                <w:sz w:val="20"/>
                <w:szCs w:val="20"/>
              </w:rPr>
              <w:t>32.08°N</w:t>
            </w:r>
          </w:p>
        </w:tc>
        <w:tc>
          <w:tcPr>
            <w:tcW w:w="168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0D18F747" w14:textId="77777777" w:rsidR="003D2149" w:rsidRDefault="00000000">
            <w:r>
              <w:rPr>
                <w:sz w:val="20"/>
                <w:szCs w:val="20"/>
              </w:rPr>
              <w:t>81.09°W</w:t>
            </w:r>
          </w:p>
        </w:tc>
        <w:tc>
          <w:tcPr>
            <w:tcW w:w="180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11D3272D" w14:textId="77777777" w:rsidR="003D2149" w:rsidRDefault="00000000">
            <w:r>
              <w:rPr>
                <w:sz w:val="20"/>
                <w:szCs w:val="20"/>
              </w:rPr>
              <w:t>Milk Chocolate, Triple Dazzle Caramel</w:t>
            </w:r>
          </w:p>
        </w:tc>
      </w:tr>
      <w:tr w:rsidR="003D2149" w14:paraId="4D06416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433D8B" w14:textId="77777777" w:rsidR="003D2149" w:rsidRDefault="00000000">
            <w:r>
              <w:rPr>
                <w:sz w:val="20"/>
                <w:szCs w:val="20"/>
              </w:rPr>
              <w:t>Sugar Shack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CE784" w14:textId="77777777" w:rsidR="003D2149" w:rsidRDefault="00000000">
            <w:r>
              <w:rPr>
                <w:sz w:val="20"/>
                <w:szCs w:val="20"/>
              </w:rPr>
              <w:t>MN</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AB3FB" w14:textId="77777777" w:rsidR="003D2149" w:rsidRDefault="00000000">
            <w:r>
              <w:rPr>
                <w:sz w:val="20"/>
                <w:szCs w:val="20"/>
              </w:rPr>
              <w:t>48.12°N</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775EE" w14:textId="77777777" w:rsidR="003D2149" w:rsidRDefault="00000000">
            <w:r>
              <w:rPr>
                <w:sz w:val="20"/>
                <w:szCs w:val="20"/>
              </w:rPr>
              <w:t>96.18°W</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40BD3" w14:textId="77777777" w:rsidR="003D2149" w:rsidRDefault="00000000">
            <w:r>
              <w:rPr>
                <w:sz w:val="20"/>
                <w:szCs w:val="20"/>
              </w:rPr>
              <w:t xml:space="preserve">Laffy Taffy, </w:t>
            </w:r>
            <w:proofErr w:type="spellStart"/>
            <w:r>
              <w:rPr>
                <w:sz w:val="20"/>
                <w:szCs w:val="20"/>
              </w:rPr>
              <w:t>SweeTARTS</w:t>
            </w:r>
            <w:proofErr w:type="spellEnd"/>
            <w:r>
              <w:rPr>
                <w:sz w:val="20"/>
                <w:szCs w:val="20"/>
              </w:rPr>
              <w:t>, Nerds, Fun Dip, Fizzy Lifting Drinks</w:t>
            </w:r>
          </w:p>
        </w:tc>
      </w:tr>
      <w:tr w:rsidR="003D2149" w14:paraId="4E7E03E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04078BD3" w14:textId="77777777" w:rsidR="003D2149" w:rsidRDefault="00000000">
            <w:r>
              <w:rPr>
                <w:sz w:val="20"/>
                <w:szCs w:val="20"/>
              </w:rPr>
              <w:t>Secret Factory</w:t>
            </w:r>
          </w:p>
        </w:tc>
        <w:tc>
          <w:tcPr>
            <w:tcW w:w="160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308BBFBF" w14:textId="77777777" w:rsidR="003D2149" w:rsidRDefault="00000000">
            <w:r>
              <w:rPr>
                <w:sz w:val="20"/>
                <w:szCs w:val="20"/>
              </w:rPr>
              <w:t>IL</w:t>
            </w:r>
          </w:p>
        </w:tc>
        <w:tc>
          <w:tcPr>
            <w:tcW w:w="148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7C47CEA9" w14:textId="77777777" w:rsidR="003D2149" w:rsidRDefault="00000000">
            <w:r>
              <w:rPr>
                <w:sz w:val="20"/>
                <w:szCs w:val="20"/>
              </w:rPr>
              <w:t>41.45°N</w:t>
            </w:r>
          </w:p>
        </w:tc>
        <w:tc>
          <w:tcPr>
            <w:tcW w:w="168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69D02626" w14:textId="77777777" w:rsidR="003D2149" w:rsidRDefault="00000000">
            <w:r>
              <w:rPr>
                <w:sz w:val="20"/>
                <w:szCs w:val="20"/>
              </w:rPr>
              <w:t>90.57°W</w:t>
            </w:r>
          </w:p>
        </w:tc>
        <w:tc>
          <w:tcPr>
            <w:tcW w:w="180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71546A46" w14:textId="77777777" w:rsidR="003D2149" w:rsidRDefault="00000000">
            <w:r>
              <w:rPr>
                <w:sz w:val="20"/>
                <w:szCs w:val="20"/>
              </w:rPr>
              <w:t>Everlasting Gobstopper, Lickable Wallpaper, Wonka Gum</w:t>
            </w:r>
          </w:p>
        </w:tc>
      </w:tr>
      <w:tr w:rsidR="003D2149" w14:paraId="72E3D1C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89427" w14:textId="77777777" w:rsidR="003D2149" w:rsidRDefault="00000000">
            <w:r>
              <w:rPr>
                <w:sz w:val="20"/>
                <w:szCs w:val="20"/>
              </w:rPr>
              <w:t>The Other Factory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870D6" w14:textId="77777777" w:rsidR="003D2149" w:rsidRDefault="00000000">
            <w:r>
              <w:rPr>
                <w:sz w:val="20"/>
                <w:szCs w:val="20"/>
              </w:rPr>
              <w:t>TN</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DA552" w14:textId="77777777" w:rsidR="003D2149" w:rsidRDefault="00000000">
            <w:r>
              <w:rPr>
                <w:sz w:val="20"/>
                <w:szCs w:val="20"/>
              </w:rPr>
              <w:t>35.12°N</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C2410" w14:textId="77777777" w:rsidR="003D2149" w:rsidRDefault="00000000">
            <w:r>
              <w:rPr>
                <w:sz w:val="20"/>
                <w:szCs w:val="20"/>
              </w:rPr>
              <w:t>89.97°W</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A05B86" w14:textId="77777777" w:rsidR="003D2149" w:rsidRDefault="00000000">
            <w:r>
              <w:rPr>
                <w:sz w:val="20"/>
                <w:szCs w:val="20"/>
              </w:rPr>
              <w:t xml:space="preserve">Hair Toffee, </w:t>
            </w:r>
            <w:proofErr w:type="spellStart"/>
            <w:r>
              <w:rPr>
                <w:sz w:val="20"/>
                <w:szCs w:val="20"/>
              </w:rPr>
              <w:t>Kazookles</w:t>
            </w:r>
            <w:proofErr w:type="spellEnd"/>
          </w:p>
        </w:tc>
      </w:tr>
    </w:tbl>
    <w:p w14:paraId="28F2F484" w14:textId="77777777" w:rsidR="003D2149" w:rsidRDefault="003D2149">
      <w:pPr>
        <w:spacing w:after="120"/>
      </w:pPr>
    </w:p>
    <w:p w14:paraId="0B9B3B4E" w14:textId="77777777" w:rsidR="003D2149" w:rsidRDefault="00000000">
      <w:pPr>
        <w:spacing w:before="80" w:after="120" w:line="360" w:lineRule="auto"/>
        <w:jc w:val="both"/>
      </w:pPr>
      <w:r>
        <w:t xml:space="preserve">The geographic dispersion of factories creates a complex routing matrix. Sugar Shack in Minnesota serves as the primary origin for Sugar division products and is the northernmost facility — creating longer baseline </w:t>
      </w:r>
      <w:proofErr w:type="gramStart"/>
      <w:r>
        <w:t>lead</w:t>
      </w:r>
      <w:proofErr w:type="gramEnd"/>
      <w:r>
        <w:t xml:space="preserve"> times to Southern and Western destinations. Lot's O' Nuts in Arizona and The Other Factory in Tennessee are positioned to serve Western and Southeastern markets respectively, though their product </w:t>
      </w:r>
      <w:proofErr w:type="spellStart"/>
      <w:r>
        <w:t>specialisations</w:t>
      </w:r>
      <w:proofErr w:type="spellEnd"/>
      <w:r>
        <w:t xml:space="preserve"> may not align optimally with regional demand concentrations.</w:t>
      </w:r>
    </w:p>
    <w:p w14:paraId="5D3EE086" w14:textId="77777777" w:rsidR="003D2149" w:rsidRDefault="00000000">
      <w:r>
        <w:br w:type="page"/>
      </w:r>
    </w:p>
    <w:p w14:paraId="50384F91" w14:textId="77777777" w:rsidR="003D2149" w:rsidRDefault="00000000">
      <w:pPr>
        <w:pStyle w:val="Heading1"/>
        <w:pBdr>
          <w:bottom w:val="single" w:sz="6" w:space="4" w:color="7B2D8B"/>
        </w:pBdr>
      </w:pPr>
      <w:r>
        <w:lastRenderedPageBreak/>
        <w:t>5. Dataset Description</w:t>
      </w:r>
    </w:p>
    <w:p w14:paraId="1B51542E" w14:textId="77777777" w:rsidR="003D2149" w:rsidRDefault="00000000">
      <w:pPr>
        <w:spacing w:before="80" w:after="120" w:line="360" w:lineRule="auto"/>
        <w:jc w:val="both"/>
      </w:pPr>
      <w:r>
        <w:t>The Nassau Candy Distributor dataset contains order-level transactional records spanning multiple years of shipment history. Each record corresponds to a unique order line with the following fields:</w:t>
      </w:r>
    </w:p>
    <w:p w14:paraId="1A172EC6" w14:textId="77777777" w:rsidR="003D2149" w:rsidRDefault="003D214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3D2149" w14:paraId="1423FAD4"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7B2D8B"/>
            <w:tcMar>
              <w:top w:w="100" w:type="dxa"/>
              <w:left w:w="120" w:type="dxa"/>
              <w:bottom w:w="100" w:type="dxa"/>
              <w:right w:w="120" w:type="dxa"/>
            </w:tcMar>
            <w:vAlign w:val="center"/>
          </w:tcPr>
          <w:p w14:paraId="066A0F0A" w14:textId="77777777" w:rsidR="003D2149" w:rsidRDefault="00000000">
            <w:pPr>
              <w:jc w:val="center"/>
            </w:pPr>
            <w:r>
              <w:rPr>
                <w:b/>
                <w:bCs/>
                <w:color w:val="FFFFFF"/>
                <w:sz w:val="20"/>
                <w:szCs w:val="20"/>
              </w:rPr>
              <w:t>Field</w:t>
            </w:r>
          </w:p>
        </w:tc>
        <w:tc>
          <w:tcPr>
            <w:tcW w:w="6560" w:type="dxa"/>
            <w:tcBorders>
              <w:top w:val="single" w:sz="1" w:space="0" w:color="CCCCCC"/>
              <w:left w:val="single" w:sz="1" w:space="0" w:color="CCCCCC"/>
              <w:bottom w:val="single" w:sz="1" w:space="0" w:color="CCCCCC"/>
              <w:right w:val="single" w:sz="1" w:space="0" w:color="CCCCCC"/>
            </w:tcBorders>
            <w:shd w:val="clear" w:color="auto" w:fill="7B2D8B"/>
            <w:tcMar>
              <w:top w:w="100" w:type="dxa"/>
              <w:left w:w="120" w:type="dxa"/>
              <w:bottom w:w="100" w:type="dxa"/>
              <w:right w:w="120" w:type="dxa"/>
            </w:tcMar>
            <w:vAlign w:val="center"/>
          </w:tcPr>
          <w:p w14:paraId="2DCFB372" w14:textId="77777777" w:rsidR="003D2149" w:rsidRDefault="00000000">
            <w:pPr>
              <w:jc w:val="center"/>
            </w:pPr>
            <w:r>
              <w:rPr>
                <w:b/>
                <w:bCs/>
                <w:color w:val="FFFFFF"/>
                <w:sz w:val="20"/>
                <w:szCs w:val="20"/>
              </w:rPr>
              <w:t>Description</w:t>
            </w:r>
          </w:p>
        </w:tc>
      </w:tr>
      <w:tr w:rsidR="003D2149" w14:paraId="2005EF3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A4565" w14:textId="77777777" w:rsidR="003D2149" w:rsidRDefault="00000000">
            <w:r>
              <w:rPr>
                <w:sz w:val="20"/>
                <w:szCs w:val="20"/>
              </w:rPr>
              <w:t>Row ID / Order 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51E3C" w14:textId="77777777" w:rsidR="003D2149" w:rsidRDefault="00000000">
            <w:r>
              <w:rPr>
                <w:sz w:val="20"/>
                <w:szCs w:val="20"/>
              </w:rPr>
              <w:t>Unique identifiers for each record and order</w:t>
            </w:r>
          </w:p>
        </w:tc>
      </w:tr>
      <w:tr w:rsidR="003D2149" w14:paraId="596817E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1EB7D25A" w14:textId="77777777" w:rsidR="003D2149" w:rsidRDefault="00000000">
            <w:r>
              <w:rPr>
                <w:sz w:val="20"/>
                <w:szCs w:val="20"/>
              </w:rPr>
              <w:t>Order Date / Ship Date</w:t>
            </w:r>
          </w:p>
        </w:tc>
        <w:tc>
          <w:tcPr>
            <w:tcW w:w="656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0D0D7C59" w14:textId="77777777" w:rsidR="003D2149" w:rsidRDefault="00000000">
            <w:r>
              <w:rPr>
                <w:sz w:val="20"/>
                <w:szCs w:val="20"/>
              </w:rPr>
              <w:t>Timestamps used to compute Shipping Lead Time</w:t>
            </w:r>
          </w:p>
        </w:tc>
      </w:tr>
      <w:tr w:rsidR="003D2149" w14:paraId="7035265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9F441" w14:textId="77777777" w:rsidR="003D2149" w:rsidRDefault="00000000">
            <w:r>
              <w:rPr>
                <w:sz w:val="20"/>
                <w:szCs w:val="20"/>
              </w:rPr>
              <w:t>Ship Mode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C1457" w14:textId="77777777" w:rsidR="003D2149" w:rsidRDefault="00000000">
            <w:r>
              <w:rPr>
                <w:sz w:val="20"/>
                <w:szCs w:val="20"/>
              </w:rPr>
              <w:t>Shipping method (Standard, Expedited, etc.)</w:t>
            </w:r>
          </w:p>
        </w:tc>
      </w:tr>
      <w:tr w:rsidR="003D2149" w14:paraId="37883DA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420BF407" w14:textId="77777777" w:rsidR="003D2149" w:rsidRDefault="00000000">
            <w:r>
              <w:rPr>
                <w:sz w:val="20"/>
                <w:szCs w:val="20"/>
              </w:rPr>
              <w:t>Customer ID</w:t>
            </w:r>
          </w:p>
        </w:tc>
        <w:tc>
          <w:tcPr>
            <w:tcW w:w="656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5F9D7B18" w14:textId="77777777" w:rsidR="003D2149" w:rsidRDefault="00000000">
            <w:r>
              <w:rPr>
                <w:sz w:val="20"/>
                <w:szCs w:val="20"/>
              </w:rPr>
              <w:t>Unique customer identifier</w:t>
            </w:r>
          </w:p>
        </w:tc>
      </w:tr>
      <w:tr w:rsidR="003D2149" w14:paraId="77B4176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B22C21" w14:textId="77777777" w:rsidR="003D2149" w:rsidRDefault="00000000">
            <w:r>
              <w:rPr>
                <w:sz w:val="20"/>
                <w:szCs w:val="20"/>
              </w:rPr>
              <w:t>City / State / Province / Postal Code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39626" w14:textId="77777777" w:rsidR="003D2149" w:rsidRDefault="00000000">
            <w:r>
              <w:rPr>
                <w:sz w:val="20"/>
                <w:szCs w:val="20"/>
              </w:rPr>
              <w:t>Customer delivery location</w:t>
            </w:r>
          </w:p>
        </w:tc>
      </w:tr>
      <w:tr w:rsidR="003D2149" w14:paraId="4A2B224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52F3C448" w14:textId="77777777" w:rsidR="003D2149" w:rsidRDefault="00000000">
            <w:r>
              <w:rPr>
                <w:sz w:val="20"/>
                <w:szCs w:val="20"/>
              </w:rPr>
              <w:t>Region</w:t>
            </w:r>
          </w:p>
        </w:tc>
        <w:tc>
          <w:tcPr>
            <w:tcW w:w="656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6CBDD898" w14:textId="77777777" w:rsidR="003D2149" w:rsidRDefault="00000000">
            <w:r>
              <w:rPr>
                <w:sz w:val="20"/>
                <w:szCs w:val="20"/>
              </w:rPr>
              <w:t>US geographic region grouping</w:t>
            </w:r>
          </w:p>
        </w:tc>
      </w:tr>
      <w:tr w:rsidR="003D2149" w14:paraId="422CCDC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EB65C" w14:textId="77777777" w:rsidR="003D2149" w:rsidRDefault="00000000">
            <w:r>
              <w:rPr>
                <w:sz w:val="20"/>
                <w:szCs w:val="20"/>
              </w:rPr>
              <w:t>Division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6ECF1" w14:textId="77777777" w:rsidR="003D2149" w:rsidRDefault="00000000">
            <w:r>
              <w:rPr>
                <w:sz w:val="20"/>
                <w:szCs w:val="20"/>
              </w:rPr>
              <w:t>Product category — Chocolate, Sugar, Other</w:t>
            </w:r>
          </w:p>
        </w:tc>
      </w:tr>
      <w:tr w:rsidR="003D2149" w14:paraId="218D23E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4BDEA77A" w14:textId="77777777" w:rsidR="003D2149" w:rsidRDefault="00000000">
            <w:r>
              <w:rPr>
                <w:sz w:val="20"/>
                <w:szCs w:val="20"/>
              </w:rPr>
              <w:t>Product ID / Product Name</w:t>
            </w:r>
          </w:p>
        </w:tc>
        <w:tc>
          <w:tcPr>
            <w:tcW w:w="656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37CBD3E7" w14:textId="77777777" w:rsidR="003D2149" w:rsidRDefault="00000000">
            <w:r>
              <w:rPr>
                <w:sz w:val="20"/>
                <w:szCs w:val="20"/>
              </w:rPr>
              <w:t>SKU-level product identification</w:t>
            </w:r>
          </w:p>
        </w:tc>
      </w:tr>
      <w:tr w:rsidR="003D2149" w14:paraId="136E03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A8213A" w14:textId="77777777" w:rsidR="003D2149" w:rsidRDefault="00000000">
            <w:r>
              <w:rPr>
                <w:sz w:val="20"/>
                <w:szCs w:val="20"/>
              </w:rPr>
              <w:t>Sales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0F77A6" w14:textId="77777777" w:rsidR="003D2149" w:rsidRDefault="00000000">
            <w:r>
              <w:rPr>
                <w:sz w:val="20"/>
                <w:szCs w:val="20"/>
              </w:rPr>
              <w:t>Total order revenue ($)</w:t>
            </w:r>
          </w:p>
        </w:tc>
      </w:tr>
      <w:tr w:rsidR="003D2149" w14:paraId="5AFA73E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7E84858A" w14:textId="77777777" w:rsidR="003D2149" w:rsidRDefault="00000000">
            <w:r>
              <w:rPr>
                <w:sz w:val="20"/>
                <w:szCs w:val="20"/>
              </w:rPr>
              <w:t>Units</w:t>
            </w:r>
          </w:p>
        </w:tc>
        <w:tc>
          <w:tcPr>
            <w:tcW w:w="656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3D03EF27" w14:textId="77777777" w:rsidR="003D2149" w:rsidRDefault="00000000">
            <w:r>
              <w:rPr>
                <w:sz w:val="20"/>
                <w:szCs w:val="20"/>
              </w:rPr>
              <w:t>Quantity of product shipped</w:t>
            </w:r>
          </w:p>
        </w:tc>
      </w:tr>
      <w:tr w:rsidR="003D2149" w14:paraId="1DA9F66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E0CE2" w14:textId="77777777" w:rsidR="003D2149" w:rsidRDefault="00000000">
            <w:r>
              <w:rPr>
                <w:sz w:val="20"/>
                <w:szCs w:val="20"/>
              </w:rPr>
              <w:t>Gross Profit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1265F" w14:textId="77777777" w:rsidR="003D2149" w:rsidRDefault="00000000">
            <w:r>
              <w:rPr>
                <w:sz w:val="20"/>
                <w:szCs w:val="20"/>
              </w:rPr>
              <w:t>Sales minus Cost of Goods</w:t>
            </w:r>
          </w:p>
        </w:tc>
      </w:tr>
      <w:tr w:rsidR="003D2149" w14:paraId="2DEA823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1C5EE334" w14:textId="77777777" w:rsidR="003D2149" w:rsidRDefault="00000000">
            <w:r>
              <w:rPr>
                <w:sz w:val="20"/>
                <w:szCs w:val="20"/>
              </w:rPr>
              <w:t>Cost</w:t>
            </w:r>
          </w:p>
        </w:tc>
        <w:tc>
          <w:tcPr>
            <w:tcW w:w="656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7F3EF92F" w14:textId="77777777" w:rsidR="003D2149" w:rsidRDefault="00000000">
            <w:r>
              <w:rPr>
                <w:sz w:val="20"/>
                <w:szCs w:val="20"/>
              </w:rPr>
              <w:t>Manufacturing cost of the order</w:t>
            </w:r>
          </w:p>
        </w:tc>
      </w:tr>
    </w:tbl>
    <w:p w14:paraId="1892B22E" w14:textId="77777777" w:rsidR="003D2149" w:rsidRDefault="003D2149">
      <w:pPr>
        <w:spacing w:after="120"/>
      </w:pPr>
    </w:p>
    <w:p w14:paraId="4ECA50A6" w14:textId="77777777" w:rsidR="003D2149" w:rsidRDefault="00000000">
      <w:pPr>
        <w:spacing w:before="80" w:after="120" w:line="360" w:lineRule="auto"/>
        <w:jc w:val="both"/>
      </w:pPr>
      <w:r>
        <w:t xml:space="preserve">The dataset enables computation of all required KPIs directly from raw fields, with factory origin derived through the product-factory lookup. The richness of geographic fields (city, state, postal code, region) supports analysis at multiple geographic granularities without requiring external </w:t>
      </w:r>
      <w:proofErr w:type="spellStart"/>
      <w:r>
        <w:t>geoenrichment</w:t>
      </w:r>
      <w:proofErr w:type="spellEnd"/>
      <w:r>
        <w:t>.</w:t>
      </w:r>
    </w:p>
    <w:p w14:paraId="4284C426" w14:textId="77777777" w:rsidR="003D2149" w:rsidRDefault="00000000">
      <w:r>
        <w:br w:type="page"/>
      </w:r>
    </w:p>
    <w:p w14:paraId="7A65C975" w14:textId="77777777" w:rsidR="003D2149" w:rsidRDefault="00000000">
      <w:pPr>
        <w:pStyle w:val="Heading1"/>
        <w:pBdr>
          <w:bottom w:val="single" w:sz="6" w:space="4" w:color="7B2D8B"/>
        </w:pBdr>
      </w:pPr>
      <w:r>
        <w:lastRenderedPageBreak/>
        <w:t>6. Exploratory Data Analysis</w:t>
      </w:r>
    </w:p>
    <w:p w14:paraId="2DEE7DAC" w14:textId="77777777" w:rsidR="003D2149" w:rsidRDefault="00000000">
      <w:pPr>
        <w:pStyle w:val="Heading2"/>
      </w:pPr>
      <w:r>
        <w:t>6.1 Lead Time Distribution</w:t>
      </w:r>
    </w:p>
    <w:p w14:paraId="3158062D" w14:textId="77777777" w:rsidR="003D2149" w:rsidRDefault="00000000">
      <w:pPr>
        <w:spacing w:before="80" w:after="120" w:line="360" w:lineRule="auto"/>
        <w:jc w:val="both"/>
      </w:pPr>
      <w:r>
        <w:t>Shipping lead times across the full dataset exhibit a right-skewed distribution, consistent with expectations in distribution logistics where the majority of orders ship within a compressed window but a long tail of delayed orders inflates the mean above the median. The modal lead time falls between 3 and 5 days, reflecting the dominant presence of standard ground shipping across domestic routes.</w:t>
      </w:r>
    </w:p>
    <w:p w14:paraId="18F1CC42" w14:textId="77777777" w:rsidR="003D2149" w:rsidRDefault="003D2149">
      <w:pPr>
        <w:spacing w:after="120"/>
      </w:pPr>
    </w:p>
    <w:p w14:paraId="0F35C6A3" w14:textId="77777777" w:rsidR="003D2149" w:rsidRDefault="00000000">
      <w:pPr>
        <w:spacing w:before="80" w:after="120" w:line="360" w:lineRule="auto"/>
        <w:jc w:val="both"/>
      </w:pPr>
      <w:r>
        <w:t>Lead time variability differs substantially by factory origin. Sugar Shack (Minnesota) exhibits the highest standard deviation in lead times, reflecting its central-northern location and the resulting distance heterogeneity to East Coast versus West Coast destinations. Wicked Choccy's (Georgia) shows relatively compressed lead times, benefiting from its proximity to the densely populated Southeast consumer market.</w:t>
      </w:r>
    </w:p>
    <w:p w14:paraId="1D1219B5" w14:textId="77777777" w:rsidR="003D2149" w:rsidRDefault="00000000">
      <w:pPr>
        <w:pStyle w:val="Heading2"/>
      </w:pPr>
      <w:r>
        <w:t>6.2 Route Volume Distribution</w:t>
      </w:r>
    </w:p>
    <w:p w14:paraId="5A70FAF6" w14:textId="77777777" w:rsidR="003D2149" w:rsidRDefault="00000000">
      <w:pPr>
        <w:spacing w:before="80" w:after="120" w:line="360" w:lineRule="auto"/>
        <w:jc w:val="both"/>
      </w:pPr>
      <w:r>
        <w:t xml:space="preserve">Route volumes are highly concentrated, with a small number of factory-state corridors accounting for a disproportionate share of total shipment volume. This Pareto-like concentration suggests that </w:t>
      </w:r>
      <w:proofErr w:type="spellStart"/>
      <w:r>
        <w:t>optimising</w:t>
      </w:r>
      <w:proofErr w:type="spellEnd"/>
      <w:r>
        <w:t xml:space="preserve"> performance on the top 20% of routes by volume could yield outsized system-wide improvements. Low-volume routes warrant scrutiny as well, since their delay rates — while affecting fewer customers — may reflect chronic infrastructure gaps rather than random variation.</w:t>
      </w:r>
    </w:p>
    <w:p w14:paraId="3B5890C6" w14:textId="77777777" w:rsidR="003D2149" w:rsidRDefault="00000000">
      <w:pPr>
        <w:pStyle w:val="Heading2"/>
      </w:pPr>
      <w:r>
        <w:t>6.3 Ship Mode Composition</w:t>
      </w:r>
    </w:p>
    <w:p w14:paraId="4FB6DADD" w14:textId="77777777" w:rsidR="003D2149" w:rsidRDefault="00000000">
      <w:pPr>
        <w:spacing w:before="80" w:after="120" w:line="360" w:lineRule="auto"/>
        <w:jc w:val="both"/>
      </w:pPr>
      <w:r>
        <w:t>Analysis of the ship mode distribution reveals that Standard shipping accounts for the majority of orders, followed by expedited categories. The proportion of expedited shipments varies significantly by region, with markets such as the Northeast showing a higher rate of expedited mode usage — consistent with denser urban customer bases and higher customer service expectations in those markets.</w:t>
      </w:r>
    </w:p>
    <w:p w14:paraId="34F72F72" w14:textId="77777777" w:rsidR="003D2149" w:rsidRDefault="00000000">
      <w:pPr>
        <w:pStyle w:val="Heading2"/>
      </w:pPr>
      <w:r>
        <w:t>6.4 Profitability vs. Lead Time</w:t>
      </w:r>
    </w:p>
    <w:p w14:paraId="09E3F61E" w14:textId="77777777" w:rsidR="003D2149" w:rsidRDefault="00000000">
      <w:pPr>
        <w:spacing w:before="80" w:after="120" w:line="360" w:lineRule="auto"/>
        <w:jc w:val="both"/>
      </w:pPr>
      <w:r>
        <w:t>Order-level analysis reveals a modest negative correlation between lead time and gross profit margin, suggesting that orders experiencing longer shipping delays tend to occur on lower-margin products or in markets where cost pressure constrains carrier mode selection. This relationship is not causal but highlights the alignment between logistics performance and financial outcomes at the order level.</w:t>
      </w:r>
    </w:p>
    <w:p w14:paraId="09659E3D" w14:textId="77777777" w:rsidR="003D2149" w:rsidRDefault="00000000">
      <w:pPr>
        <w:pStyle w:val="Heading2"/>
      </w:pPr>
      <w:r>
        <w:lastRenderedPageBreak/>
        <w:t>6.5 Temporal Patterns</w:t>
      </w:r>
    </w:p>
    <w:p w14:paraId="1A744CA0" w14:textId="77777777" w:rsidR="003D2149" w:rsidRDefault="00000000">
      <w:pPr>
        <w:spacing w:before="80" w:after="120" w:line="360" w:lineRule="auto"/>
        <w:jc w:val="both"/>
      </w:pPr>
      <w:r>
        <w:t xml:space="preserve">Weekly aggregations of order volume and average lead time reveal seasonal patterns consistent with confectionery industry demand cycles — notably elevated order volumes and slightly compressed lead times in the pre-Halloween and pre-holiday periods, suggesting that Nassau Candy proactively upgrades shipping modes during peak demand periods. Post-holiday periods show volume </w:t>
      </w:r>
      <w:proofErr w:type="spellStart"/>
      <w:r>
        <w:t>normalisation</w:t>
      </w:r>
      <w:proofErr w:type="spellEnd"/>
      <w:r>
        <w:t xml:space="preserve"> with lead time reversion to baseline levels.</w:t>
      </w:r>
    </w:p>
    <w:p w14:paraId="7AAC4E05" w14:textId="77777777" w:rsidR="003D2149" w:rsidRDefault="00000000">
      <w:r>
        <w:br w:type="page"/>
      </w:r>
    </w:p>
    <w:p w14:paraId="3F3A02FD" w14:textId="77777777" w:rsidR="003D2149" w:rsidRDefault="00000000">
      <w:pPr>
        <w:pStyle w:val="Heading1"/>
        <w:pBdr>
          <w:bottom w:val="single" w:sz="6" w:space="4" w:color="7B2D8B"/>
        </w:pBdr>
      </w:pPr>
      <w:r>
        <w:lastRenderedPageBreak/>
        <w:t>7. Key Findings</w:t>
      </w:r>
    </w:p>
    <w:p w14:paraId="2F91706A" w14:textId="77777777" w:rsidR="003D2149" w:rsidRDefault="00000000">
      <w:pPr>
        <w:pStyle w:val="Heading2"/>
      </w:pPr>
      <w:r>
        <w:t>7.1 Route Efficiency Rankings</w:t>
      </w:r>
    </w:p>
    <w:p w14:paraId="79925770" w14:textId="77777777" w:rsidR="003D2149" w:rsidRDefault="00000000">
      <w:pPr>
        <w:spacing w:before="80" w:after="120" w:line="360" w:lineRule="auto"/>
        <w:jc w:val="both"/>
      </w:pPr>
      <w:r>
        <w:t>Efficiency Score analysis across all factory-state route combinations reveals a wide performance spectrum. The most efficient routes — concentrated among factory-state pairs with short geographic distance and high carrier network density — achieve efficiency scores above 85/100, with average lead times well below the system-wide mean. These routes benefit from proximity, established carrier partnerships, and high-frequency shipping schedules.</w:t>
      </w:r>
    </w:p>
    <w:p w14:paraId="7E316815" w14:textId="77777777" w:rsidR="003D2149" w:rsidRDefault="003D2149">
      <w:pPr>
        <w:spacing w:after="120"/>
      </w:pPr>
    </w:p>
    <w:p w14:paraId="4872EC55" w14:textId="77777777" w:rsidR="003D2149" w:rsidRDefault="00000000">
      <w:pPr>
        <w:spacing w:before="80" w:after="120" w:line="360" w:lineRule="auto"/>
        <w:jc w:val="both"/>
      </w:pPr>
      <w:r>
        <w:t xml:space="preserve">The least efficient routes — </w:t>
      </w:r>
      <w:proofErr w:type="spellStart"/>
      <w:r>
        <w:t>characterised</w:t>
      </w:r>
      <w:proofErr w:type="spellEnd"/>
      <w:r>
        <w:t xml:space="preserve"> by long geographic distances, low shipment volumes, or misalignment between factory </w:t>
      </w:r>
      <w:proofErr w:type="spellStart"/>
      <w:r>
        <w:t>specialisation</w:t>
      </w:r>
      <w:proofErr w:type="spellEnd"/>
      <w:r>
        <w:t xml:space="preserve"> and regional product demand — exhibit efficiency scores below 35/100. These routes show not only elevated average lead times but high lead-time variability, making them particularly costly from an inventory planning perspective.</w:t>
      </w:r>
    </w:p>
    <w:p w14:paraId="7BE158B5" w14:textId="77777777" w:rsidR="003D2149" w:rsidRDefault="00000000">
      <w:pPr>
        <w:pStyle w:val="Heading2"/>
      </w:pPr>
      <w:r>
        <w:t>7.2 Geographic Bottlenecks</w:t>
      </w:r>
    </w:p>
    <w:p w14:paraId="0F15242C" w14:textId="77777777" w:rsidR="003D2149" w:rsidRDefault="00000000">
      <w:pPr>
        <w:spacing w:before="80" w:after="120" w:line="360" w:lineRule="auto"/>
        <w:jc w:val="both"/>
      </w:pPr>
      <w:r>
        <w:t>Geographic bottleneck analysis identifies a cluster of states in the Pacific Northwest and Upper Rocky Mountain region as chronic underperformers in terms of average lead time. These states are primarily served by Lot's O' Nuts (Arizona) and Sugar Shack (Minnesota), both of which face significant distance barriers to Pacific Northwest customers. The Northeast corridor (particularly New England states) also exhibits elevated delay rates, concentrated on Sugar and Other division products shipped from Sugar Shack.</w:t>
      </w:r>
    </w:p>
    <w:p w14:paraId="39196EBF" w14:textId="77777777" w:rsidR="003D2149" w:rsidRDefault="003D2149">
      <w:pPr>
        <w:spacing w:after="120"/>
      </w:pPr>
    </w:p>
    <w:p w14:paraId="1FBA6929" w14:textId="77777777" w:rsidR="003D2149" w:rsidRDefault="00000000">
      <w:pPr>
        <w:spacing w:before="80" w:after="120" w:line="360" w:lineRule="auto"/>
        <w:jc w:val="both"/>
      </w:pPr>
      <w:r>
        <w:t>Conversely, Southeastern states — particularly those in the immediate vicinity of Wicked Choccy's (Georgia) and The Other Factory (Tennessee) — demonstrate the strongest geographic efficiency, with short lead times and low delay rates for Chocolate and Other division products.</w:t>
      </w:r>
    </w:p>
    <w:p w14:paraId="4D610038" w14:textId="77777777" w:rsidR="003D2149" w:rsidRDefault="00000000">
      <w:pPr>
        <w:pStyle w:val="Heading2"/>
      </w:pPr>
      <w:r>
        <w:t>7.3 Ship Mode Performance</w:t>
      </w:r>
    </w:p>
    <w:p w14:paraId="1D523246" w14:textId="77777777" w:rsidR="003D2149" w:rsidRDefault="00000000">
      <w:pPr>
        <w:spacing w:before="80" w:after="120" w:line="360" w:lineRule="auto"/>
        <w:jc w:val="both"/>
      </w:pPr>
      <w:r>
        <w:t xml:space="preserve">Standard shipping mode achieves the lowest average lead time for short-haul routes but exhibits the greatest variability on long-haul corridors. Expedited modes compress lead times significantly on long-haul routes but at substantial cost premiums that may not be justified for low-margin product lines. Analysis suggests that a dynamic mode selection strategy — defaulting to standard shipping on short-haul routes and selectively upgrading to expedited on high-volume or high-margin long-haul routes — would </w:t>
      </w:r>
      <w:proofErr w:type="spellStart"/>
      <w:r>
        <w:t>optimise</w:t>
      </w:r>
      <w:proofErr w:type="spellEnd"/>
      <w:r>
        <w:t xml:space="preserve"> the cost-time trade-off across the network.</w:t>
      </w:r>
    </w:p>
    <w:p w14:paraId="755F574E" w14:textId="77777777" w:rsidR="003D2149" w:rsidRDefault="00000000">
      <w:pPr>
        <w:pStyle w:val="Heading2"/>
      </w:pPr>
      <w:r>
        <w:lastRenderedPageBreak/>
        <w:t>7.4 Factory-Level Insights</w:t>
      </w:r>
    </w:p>
    <w:p w14:paraId="65A54E29" w14:textId="77777777" w:rsidR="003D2149" w:rsidRDefault="00000000">
      <w:pPr>
        <w:spacing w:before="80" w:after="120" w:line="360" w:lineRule="auto"/>
        <w:jc w:val="both"/>
      </w:pPr>
      <w:r>
        <w:t>Sugar Shack (Minnesota) generates the highest delay rate of any factory, driven by its northern location and wide geographic footprint. Despite serving the broadest range of destination states, its carrier network connections are less dense than those available to Southern and Eastern factories. Secret Factory (Illinois) benefits from its central location, achieving above-average efficiency scores across a diverse range of destination states — positioning it as the network's most logistically advantaged facility.</w:t>
      </w:r>
    </w:p>
    <w:p w14:paraId="11B45A6E" w14:textId="77777777" w:rsidR="003D2149" w:rsidRDefault="00000000">
      <w:r>
        <w:br w:type="page"/>
      </w:r>
    </w:p>
    <w:p w14:paraId="4EFDF824" w14:textId="77777777" w:rsidR="003D2149" w:rsidRDefault="00000000">
      <w:pPr>
        <w:pStyle w:val="Heading1"/>
        <w:pBdr>
          <w:bottom w:val="single" w:sz="6" w:space="4" w:color="7B2D8B"/>
        </w:pBdr>
      </w:pPr>
      <w:r>
        <w:lastRenderedPageBreak/>
        <w:t>8. Recommendations</w:t>
      </w:r>
    </w:p>
    <w:p w14:paraId="0025502E" w14:textId="77777777" w:rsidR="003D2149" w:rsidRDefault="00000000">
      <w:pPr>
        <w:pStyle w:val="Heading2"/>
      </w:pPr>
      <w:r>
        <w:t xml:space="preserve">8.1 Route </w:t>
      </w:r>
      <w:proofErr w:type="spellStart"/>
      <w:r>
        <w:t>Optimisation</w:t>
      </w:r>
      <w:proofErr w:type="spellEnd"/>
    </w:p>
    <w:p w14:paraId="328192AF" w14:textId="77777777" w:rsidR="003D2149" w:rsidRDefault="00000000">
      <w:pPr>
        <w:pStyle w:val="ListParagraph"/>
        <w:numPr>
          <w:ilvl w:val="0"/>
          <w:numId w:val="2"/>
        </w:numPr>
        <w:spacing w:before="60" w:after="60"/>
      </w:pPr>
      <w:proofErr w:type="spellStart"/>
      <w:r>
        <w:t>Prioritise</w:t>
      </w:r>
      <w:proofErr w:type="spellEnd"/>
      <w:r>
        <w:t xml:space="preserve"> carrier contract renegotiation on the Bottom 10 efficiency routes identified in the dashboard, focusing on both average lead time reduction and variance compression.</w:t>
      </w:r>
    </w:p>
    <w:p w14:paraId="2FE5103B" w14:textId="77777777" w:rsidR="003D2149" w:rsidRDefault="00000000">
      <w:pPr>
        <w:pStyle w:val="ListParagraph"/>
        <w:numPr>
          <w:ilvl w:val="0"/>
          <w:numId w:val="2"/>
        </w:numPr>
        <w:spacing w:before="60" w:after="60"/>
      </w:pPr>
      <w:r>
        <w:t xml:space="preserve">Evaluate cross-docking opportunities for high-volume routes connecting Sugar Shack (MN) to Pacific Coast states, potentially </w:t>
      </w:r>
      <w:proofErr w:type="spellStart"/>
      <w:r>
        <w:t>utilising</w:t>
      </w:r>
      <w:proofErr w:type="spellEnd"/>
      <w:r>
        <w:t xml:space="preserve"> Secret Factory (IL) as a relay point.</w:t>
      </w:r>
    </w:p>
    <w:p w14:paraId="01AC6255" w14:textId="77777777" w:rsidR="003D2149" w:rsidRDefault="00000000">
      <w:pPr>
        <w:pStyle w:val="ListParagraph"/>
        <w:numPr>
          <w:ilvl w:val="0"/>
          <w:numId w:val="2"/>
        </w:numPr>
        <w:spacing w:before="60" w:after="60"/>
      </w:pPr>
      <w:r>
        <w:t>Consider demand-based factory-routing adjustments for products manufactured at multiple facilities to align factory output with proximity to high-demand markets.</w:t>
      </w:r>
    </w:p>
    <w:p w14:paraId="4D450183" w14:textId="77777777" w:rsidR="003D2149" w:rsidRDefault="00000000">
      <w:pPr>
        <w:pStyle w:val="Heading2"/>
      </w:pPr>
      <w:r>
        <w:t>8.2 Carrier and Ship Mode Strategy</w:t>
      </w:r>
    </w:p>
    <w:p w14:paraId="6B57E5FE" w14:textId="77777777" w:rsidR="003D2149" w:rsidRDefault="00000000">
      <w:pPr>
        <w:pStyle w:val="ListParagraph"/>
        <w:numPr>
          <w:ilvl w:val="0"/>
          <w:numId w:val="2"/>
        </w:numPr>
        <w:spacing w:before="60" w:after="60"/>
      </w:pPr>
      <w:r>
        <w:t>Implement dynamic carrier mode selection rules: upgrade to expedited shipping for orders exceeding a distance threshold (e.g., &gt;1,500 miles) on routes with delay rates above 15%.</w:t>
      </w:r>
    </w:p>
    <w:p w14:paraId="261F253B" w14:textId="77777777" w:rsidR="003D2149" w:rsidRDefault="00000000">
      <w:pPr>
        <w:pStyle w:val="ListParagraph"/>
        <w:numPr>
          <w:ilvl w:val="0"/>
          <w:numId w:val="2"/>
        </w:numPr>
        <w:spacing w:before="60" w:after="60"/>
      </w:pPr>
      <w:r>
        <w:t>Negotiate volume-based rate agreements with carriers on the highest-volume routes to reduce cost-per-shipment without compromising lead time performance.</w:t>
      </w:r>
    </w:p>
    <w:p w14:paraId="13E407E7" w14:textId="77777777" w:rsidR="003D2149" w:rsidRDefault="00000000">
      <w:pPr>
        <w:pStyle w:val="ListParagraph"/>
        <w:numPr>
          <w:ilvl w:val="0"/>
          <w:numId w:val="2"/>
        </w:numPr>
        <w:spacing w:before="60" w:after="60"/>
      </w:pPr>
      <w:r>
        <w:t>Establish service-level agreements (SLAs) with carriers on Bottom 10 routes, with performance penalties tied to delay rate targets.</w:t>
      </w:r>
    </w:p>
    <w:p w14:paraId="2E0FD6A0" w14:textId="77777777" w:rsidR="003D2149" w:rsidRDefault="00000000">
      <w:pPr>
        <w:pStyle w:val="Heading2"/>
      </w:pPr>
      <w:r>
        <w:t>8.3 Geographic Strategy</w:t>
      </w:r>
    </w:p>
    <w:p w14:paraId="30A98A53" w14:textId="77777777" w:rsidR="003D2149" w:rsidRDefault="00000000">
      <w:pPr>
        <w:pStyle w:val="ListParagraph"/>
        <w:numPr>
          <w:ilvl w:val="0"/>
          <w:numId w:val="2"/>
        </w:numPr>
        <w:spacing w:before="60" w:after="60"/>
      </w:pPr>
      <w:r>
        <w:t xml:space="preserve">Evaluate the feasibility of a distribution </w:t>
      </w:r>
      <w:proofErr w:type="spellStart"/>
      <w:r>
        <w:t>centre</w:t>
      </w:r>
      <w:proofErr w:type="spellEnd"/>
      <w:r>
        <w:t xml:space="preserve"> or 3PL partnership in the Pacific Northwest to reduce last-mile lead times for the cluster of chronically delayed Western states.</w:t>
      </w:r>
    </w:p>
    <w:p w14:paraId="732C4F97" w14:textId="77777777" w:rsidR="003D2149" w:rsidRDefault="00000000">
      <w:pPr>
        <w:pStyle w:val="ListParagraph"/>
        <w:numPr>
          <w:ilvl w:val="0"/>
          <w:numId w:val="2"/>
        </w:numPr>
        <w:spacing w:before="60" w:after="60"/>
      </w:pPr>
      <w:r>
        <w:t>Explore seasonal distribution adjustments around peak confectionery demand periods (pre-Halloween, pre-holiday) to pre-position inventory and reduce expedited shipping reliance.</w:t>
      </w:r>
    </w:p>
    <w:p w14:paraId="05F651F7" w14:textId="77777777" w:rsidR="003D2149" w:rsidRDefault="00000000">
      <w:pPr>
        <w:pStyle w:val="Heading2"/>
      </w:pPr>
      <w:r>
        <w:t>8.4 Data and Analytics</w:t>
      </w:r>
    </w:p>
    <w:p w14:paraId="55B318D1" w14:textId="77777777" w:rsidR="003D2149" w:rsidRDefault="00000000">
      <w:pPr>
        <w:pStyle w:val="ListParagraph"/>
        <w:numPr>
          <w:ilvl w:val="0"/>
          <w:numId w:val="2"/>
        </w:numPr>
        <w:spacing w:before="60" w:after="60"/>
      </w:pPr>
      <w:r>
        <w:t xml:space="preserve">Deploy the </w:t>
      </w:r>
      <w:proofErr w:type="spellStart"/>
      <w:r>
        <w:t>Streamlit</w:t>
      </w:r>
      <w:proofErr w:type="spellEnd"/>
      <w:r>
        <w:t xml:space="preserve"> Route Efficiency Dashboard as an operational tool for the logistics team, with weekly automated data refreshes.</w:t>
      </w:r>
    </w:p>
    <w:p w14:paraId="52CBEA95" w14:textId="77777777" w:rsidR="003D2149" w:rsidRDefault="00000000">
      <w:pPr>
        <w:pStyle w:val="ListParagraph"/>
        <w:numPr>
          <w:ilvl w:val="0"/>
          <w:numId w:val="2"/>
        </w:numPr>
        <w:spacing w:before="60" w:after="60"/>
      </w:pPr>
      <w:r>
        <w:t>Integrate carrier-level cost data to enable ROI-based mode selection analytics within the dashboard.</w:t>
      </w:r>
    </w:p>
    <w:p w14:paraId="73F33C1A" w14:textId="77777777" w:rsidR="003D2149" w:rsidRDefault="00000000">
      <w:pPr>
        <w:pStyle w:val="ListParagraph"/>
        <w:numPr>
          <w:ilvl w:val="0"/>
          <w:numId w:val="2"/>
        </w:numPr>
        <w:spacing w:before="60" w:after="60"/>
      </w:pPr>
      <w:r>
        <w:t>Establish alert thresholds within the dashboard: routes crossing the delay rate or lead time threshold should trigger automated logistics review workflows.</w:t>
      </w:r>
    </w:p>
    <w:p w14:paraId="5555B9D0" w14:textId="77777777" w:rsidR="003D2149" w:rsidRDefault="00000000">
      <w:r>
        <w:br w:type="page"/>
      </w:r>
    </w:p>
    <w:p w14:paraId="54C650E1" w14:textId="77777777" w:rsidR="003D2149" w:rsidRDefault="00000000">
      <w:pPr>
        <w:pStyle w:val="Heading1"/>
        <w:pBdr>
          <w:bottom w:val="single" w:sz="6" w:space="4" w:color="7B2D8B"/>
        </w:pBdr>
      </w:pPr>
      <w:r>
        <w:lastRenderedPageBreak/>
        <w:t>9. Conclusion</w:t>
      </w:r>
    </w:p>
    <w:p w14:paraId="5719AC4A" w14:textId="77777777" w:rsidR="003D2149" w:rsidRDefault="00000000">
      <w:pPr>
        <w:spacing w:before="80" w:after="120" w:line="360" w:lineRule="auto"/>
        <w:jc w:val="both"/>
      </w:pPr>
      <w:r>
        <w:t xml:space="preserve">This research demonstrates that a systematic, data-driven approach to shipping route efficiency analysis can reveal actionable intelligence from transactional order data that would otherwise remain latent in operational records. By engineering route-level performance metrics, benchmarking factory-state corridors, and </w:t>
      </w:r>
      <w:proofErr w:type="spellStart"/>
      <w:r>
        <w:t>visualising</w:t>
      </w:r>
      <w:proofErr w:type="spellEnd"/>
      <w:r>
        <w:t xml:space="preserve"> geographic patterns, Nassau Candy Distributor now has a foundation for proactive logistics management.</w:t>
      </w:r>
    </w:p>
    <w:p w14:paraId="0EF389F2" w14:textId="77777777" w:rsidR="003D2149" w:rsidRDefault="003D2149">
      <w:pPr>
        <w:spacing w:after="120"/>
      </w:pPr>
    </w:p>
    <w:p w14:paraId="2FFFD471" w14:textId="77777777" w:rsidR="003D2149" w:rsidRDefault="00000000">
      <w:pPr>
        <w:spacing w:before="80" w:after="120" w:line="360" w:lineRule="auto"/>
        <w:jc w:val="both"/>
      </w:pPr>
      <w:r>
        <w:t>The analysis reveals that efficiency is not uniformly distributed across the network: a small number of routes account for disproportionate delay risk, specific geographic regions are chronic underperformers, and carrier mode strategy is a critical lever that remains sub-optimally calibrated on long-haul corridors. Addressing these gaps through the targeted recommendations outlined in Section 8 offers significant potential to reduce operational costs, improve customer satisfaction, and enhance supply chain scalability.</w:t>
      </w:r>
    </w:p>
    <w:p w14:paraId="0485D07E" w14:textId="77777777" w:rsidR="003D2149" w:rsidRDefault="003D2149">
      <w:pPr>
        <w:spacing w:after="120"/>
      </w:pPr>
    </w:p>
    <w:p w14:paraId="1C9C124B" w14:textId="77777777" w:rsidR="003D2149" w:rsidRDefault="00000000">
      <w:pPr>
        <w:spacing w:before="80" w:after="120" w:line="360" w:lineRule="auto"/>
        <w:jc w:val="both"/>
      </w:pPr>
      <w:r>
        <w:t xml:space="preserve">The accompanying </w:t>
      </w:r>
      <w:proofErr w:type="spellStart"/>
      <w:r>
        <w:t>Streamlit</w:t>
      </w:r>
      <w:proofErr w:type="spellEnd"/>
      <w:r>
        <w:t xml:space="preserve"> dashboard translates these analytical insights into an accessible, interactive operational tool that empowers logistics managers to monitor route performance in real time, drill into specific factory-state corridors, and apply dynamic filters without requiring data science expertise. Together, the research findings and dashboard constitute a comprehensive logistics intelligence solution for Nassau Candy Distributor.</w:t>
      </w:r>
    </w:p>
    <w:p w14:paraId="2A769AA5" w14:textId="77777777" w:rsidR="003D2149" w:rsidRDefault="00000000">
      <w:r>
        <w:br w:type="page"/>
      </w:r>
    </w:p>
    <w:p w14:paraId="231765CA" w14:textId="77777777" w:rsidR="003D2149" w:rsidRDefault="00000000">
      <w:pPr>
        <w:pStyle w:val="Heading1"/>
        <w:pBdr>
          <w:bottom w:val="single" w:sz="6" w:space="4" w:color="7B2D8B"/>
        </w:pBdr>
      </w:pPr>
      <w:r>
        <w:lastRenderedPageBreak/>
        <w:t>10. References</w:t>
      </w:r>
    </w:p>
    <w:p w14:paraId="53A8B28D" w14:textId="77777777" w:rsidR="003D2149" w:rsidRDefault="00000000">
      <w:pPr>
        <w:spacing w:before="80" w:after="120" w:line="360" w:lineRule="auto"/>
        <w:jc w:val="both"/>
      </w:pPr>
      <w:r>
        <w:t>Chopra, S., &amp; Meindl, P. (2016). Supply Chain Management: Strategy, Planning, and Operation (6th ed.). Pearson Education.</w:t>
      </w:r>
    </w:p>
    <w:p w14:paraId="09D69F98" w14:textId="77777777" w:rsidR="003D2149" w:rsidRDefault="003D2149">
      <w:pPr>
        <w:spacing w:after="120"/>
      </w:pPr>
    </w:p>
    <w:p w14:paraId="09B551EE" w14:textId="77777777" w:rsidR="003D2149" w:rsidRDefault="00000000">
      <w:pPr>
        <w:spacing w:before="80" w:after="120" w:line="360" w:lineRule="auto"/>
        <w:jc w:val="both"/>
      </w:pPr>
      <w:r>
        <w:t>Hesse, M., &amp; Rodrigue, J.-P. (2004). The transport geography of logistics and freight distribution. Journal of Transport Geography, 12(3), 171-184.</w:t>
      </w:r>
    </w:p>
    <w:p w14:paraId="0C14C46C" w14:textId="77777777" w:rsidR="003D2149" w:rsidRDefault="003D2149">
      <w:pPr>
        <w:spacing w:after="120"/>
      </w:pPr>
    </w:p>
    <w:p w14:paraId="13C0161D" w14:textId="77777777" w:rsidR="003D2149" w:rsidRDefault="00000000">
      <w:pPr>
        <w:spacing w:before="80" w:after="120" w:line="360" w:lineRule="auto"/>
        <w:jc w:val="both"/>
      </w:pPr>
      <w:r>
        <w:t>McKinnon, A. C. (2018). Decarbonizing Logistics: Distributing Goods in a Low Carbon World. Kogan Page.</w:t>
      </w:r>
    </w:p>
    <w:p w14:paraId="4B1D16D3" w14:textId="77777777" w:rsidR="003D2149" w:rsidRDefault="003D2149">
      <w:pPr>
        <w:spacing w:after="120"/>
      </w:pPr>
    </w:p>
    <w:p w14:paraId="360170A6" w14:textId="77777777" w:rsidR="003D2149" w:rsidRDefault="00000000">
      <w:pPr>
        <w:spacing w:before="80" w:after="120" w:line="360" w:lineRule="auto"/>
        <w:jc w:val="both"/>
      </w:pPr>
      <w:r>
        <w:t>Rushton, A., Croucher, P., &amp; Baker, P. (2017). The Handbook of Logistics and Distribution Management (5th ed.). Kogan Page.</w:t>
      </w:r>
    </w:p>
    <w:p w14:paraId="704B5B88" w14:textId="77777777" w:rsidR="003D2149" w:rsidRDefault="003D2149">
      <w:pPr>
        <w:spacing w:after="120"/>
      </w:pPr>
    </w:p>
    <w:p w14:paraId="16035856" w14:textId="77777777" w:rsidR="003D2149" w:rsidRDefault="00000000">
      <w:pPr>
        <w:spacing w:before="80" w:after="120" w:line="360" w:lineRule="auto"/>
        <w:jc w:val="both"/>
      </w:pPr>
      <w:proofErr w:type="spellStart"/>
      <w:r>
        <w:t>Streamlit</w:t>
      </w:r>
      <w:proofErr w:type="spellEnd"/>
      <w:r>
        <w:t xml:space="preserve"> Inc. (2024). </w:t>
      </w:r>
      <w:proofErr w:type="spellStart"/>
      <w:r>
        <w:t>Streamlit</w:t>
      </w:r>
      <w:proofErr w:type="spellEnd"/>
      <w:r>
        <w:t xml:space="preserve"> Documentation. https://docs.streamlit.io</w:t>
      </w:r>
    </w:p>
    <w:p w14:paraId="19608C53" w14:textId="77777777" w:rsidR="003D2149" w:rsidRDefault="003D2149">
      <w:pPr>
        <w:spacing w:after="120"/>
      </w:pPr>
    </w:p>
    <w:p w14:paraId="27F3FEA8" w14:textId="77777777" w:rsidR="003D2149" w:rsidRDefault="00000000">
      <w:pPr>
        <w:spacing w:before="80" w:after="120" w:line="360" w:lineRule="auto"/>
        <w:jc w:val="both"/>
      </w:pPr>
      <w:proofErr w:type="spellStart"/>
      <w:r>
        <w:t>Plotly</w:t>
      </w:r>
      <w:proofErr w:type="spellEnd"/>
      <w:r>
        <w:t xml:space="preserve"> Technologies Inc. (2024). </w:t>
      </w:r>
      <w:proofErr w:type="spellStart"/>
      <w:r>
        <w:t>Plotly</w:t>
      </w:r>
      <w:proofErr w:type="spellEnd"/>
      <w:r>
        <w:t xml:space="preserve"> Python </w:t>
      </w:r>
      <w:proofErr w:type="gramStart"/>
      <w:r>
        <w:t>Open Source</w:t>
      </w:r>
      <w:proofErr w:type="gramEnd"/>
      <w:r>
        <w:t xml:space="preserve"> Graphing Library. https://plotly.com/python/</w:t>
      </w:r>
    </w:p>
    <w:sectPr w:rsidR="003D2149">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FCAC6A" w14:textId="77777777" w:rsidR="00F90788" w:rsidRDefault="00F90788">
      <w:r>
        <w:separator/>
      </w:r>
    </w:p>
  </w:endnote>
  <w:endnote w:type="continuationSeparator" w:id="0">
    <w:p w14:paraId="7A7C1D6E" w14:textId="77777777" w:rsidR="00F90788" w:rsidRDefault="00F907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81641" w14:textId="77777777" w:rsidR="003D2149" w:rsidRDefault="00000000">
    <w:pPr>
      <w:pBdr>
        <w:top w:val="single" w:sz="4" w:space="4" w:color="7B2D8B"/>
      </w:pBdr>
      <w:tabs>
        <w:tab w:val="right" w:pos="9360"/>
      </w:tabs>
    </w:pPr>
    <w:r>
      <w:rPr>
        <w:color w:val="555555"/>
        <w:sz w:val="16"/>
        <w:szCs w:val="16"/>
      </w:rPr>
      <w:t xml:space="preserve">Confidential Research </w:t>
    </w:r>
    <w:proofErr w:type="gramStart"/>
    <w:r>
      <w:rPr>
        <w:color w:val="555555"/>
        <w:sz w:val="16"/>
        <w:szCs w:val="16"/>
      </w:rPr>
      <w:t>Paper  |</w:t>
    </w:r>
    <w:proofErr w:type="gramEnd"/>
    <w:r>
      <w:rPr>
        <w:color w:val="555555"/>
        <w:sz w:val="16"/>
        <w:szCs w:val="16"/>
      </w:rPr>
      <w:t xml:space="preserve">  June 2026</w:t>
    </w:r>
    <w:r>
      <w:rPr>
        <w:sz w:val="16"/>
        <w:szCs w:val="16"/>
      </w:rPr>
      <w:tab/>
    </w:r>
    <w:r>
      <w:rPr>
        <w:color w:val="555555"/>
        <w:sz w:val="16"/>
        <w:szCs w:val="16"/>
      </w:rPr>
      <w:t xml:space="preserve">Page </w:t>
    </w:r>
    <w:r>
      <w:fldChar w:fldCharType="begin"/>
    </w:r>
    <w:r>
      <w:instrText>PAGE</w:instrText>
    </w:r>
    <w:r>
      <w:fldChar w:fldCharType="separate"/>
    </w:r>
    <w:r w:rsidR="00D1596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2F60B" w14:textId="77777777" w:rsidR="00F90788" w:rsidRDefault="00F90788">
      <w:r>
        <w:separator/>
      </w:r>
    </w:p>
  </w:footnote>
  <w:footnote w:type="continuationSeparator" w:id="0">
    <w:p w14:paraId="629D4C6E" w14:textId="77777777" w:rsidR="00F90788" w:rsidRDefault="00F907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69970" w14:textId="77777777" w:rsidR="003D2149" w:rsidRDefault="00000000">
    <w:pPr>
      <w:pBdr>
        <w:bottom w:val="single" w:sz="6" w:space="4" w:color="7B2D8B"/>
      </w:pBdr>
    </w:pPr>
    <w:r>
      <w:rPr>
        <w:b/>
        <w:bCs/>
        <w:color w:val="7B2D8B"/>
        <w:sz w:val="18"/>
        <w:szCs w:val="18"/>
      </w:rPr>
      <w:t xml:space="preserve">Nassau Candy </w:t>
    </w:r>
    <w:proofErr w:type="gramStart"/>
    <w:r>
      <w:rPr>
        <w:b/>
        <w:bCs/>
        <w:color w:val="7B2D8B"/>
        <w:sz w:val="18"/>
        <w:szCs w:val="18"/>
      </w:rPr>
      <w:t>Distributor  |</w:t>
    </w:r>
    <w:proofErr w:type="gramEnd"/>
    <w:r>
      <w:rPr>
        <w:b/>
        <w:bCs/>
        <w:color w:val="7B2D8B"/>
        <w:sz w:val="18"/>
        <w:szCs w:val="18"/>
      </w:rPr>
      <w:t xml:space="preserve">  </w:t>
    </w:r>
    <w:r>
      <w:rPr>
        <w:color w:val="555555"/>
        <w:sz w:val="18"/>
        <w:szCs w:val="18"/>
      </w:rPr>
      <w:t>Factory-to-Customer Shipping Route Efficiency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AC219C"/>
    <w:multiLevelType w:val="hybridMultilevel"/>
    <w:tmpl w:val="A65E131C"/>
    <w:lvl w:ilvl="0" w:tplc="6484A764">
      <w:start w:val="1"/>
      <w:numFmt w:val="bullet"/>
      <w:lvlText w:val="●"/>
      <w:lvlJc w:val="left"/>
      <w:pPr>
        <w:ind w:left="720" w:hanging="360"/>
      </w:pPr>
    </w:lvl>
    <w:lvl w:ilvl="1" w:tplc="2738015E">
      <w:start w:val="1"/>
      <w:numFmt w:val="bullet"/>
      <w:lvlText w:val="○"/>
      <w:lvlJc w:val="left"/>
      <w:pPr>
        <w:ind w:left="1440" w:hanging="360"/>
      </w:pPr>
    </w:lvl>
    <w:lvl w:ilvl="2" w:tplc="BB960E28">
      <w:start w:val="1"/>
      <w:numFmt w:val="bullet"/>
      <w:lvlText w:val="■"/>
      <w:lvlJc w:val="left"/>
      <w:pPr>
        <w:ind w:left="2160" w:hanging="360"/>
      </w:pPr>
    </w:lvl>
    <w:lvl w:ilvl="3" w:tplc="94A293F8">
      <w:start w:val="1"/>
      <w:numFmt w:val="bullet"/>
      <w:lvlText w:val="●"/>
      <w:lvlJc w:val="left"/>
      <w:pPr>
        <w:ind w:left="2880" w:hanging="360"/>
      </w:pPr>
    </w:lvl>
    <w:lvl w:ilvl="4" w:tplc="39B439B2">
      <w:start w:val="1"/>
      <w:numFmt w:val="bullet"/>
      <w:lvlText w:val="○"/>
      <w:lvlJc w:val="left"/>
      <w:pPr>
        <w:ind w:left="3600" w:hanging="360"/>
      </w:pPr>
    </w:lvl>
    <w:lvl w:ilvl="5" w:tplc="DD66423E">
      <w:start w:val="1"/>
      <w:numFmt w:val="bullet"/>
      <w:lvlText w:val="■"/>
      <w:lvlJc w:val="left"/>
      <w:pPr>
        <w:ind w:left="4320" w:hanging="360"/>
      </w:pPr>
    </w:lvl>
    <w:lvl w:ilvl="6" w:tplc="C32266E8">
      <w:start w:val="1"/>
      <w:numFmt w:val="bullet"/>
      <w:lvlText w:val="●"/>
      <w:lvlJc w:val="left"/>
      <w:pPr>
        <w:ind w:left="5040" w:hanging="360"/>
      </w:pPr>
    </w:lvl>
    <w:lvl w:ilvl="7" w:tplc="3C620C2C">
      <w:start w:val="1"/>
      <w:numFmt w:val="bullet"/>
      <w:lvlText w:val="●"/>
      <w:lvlJc w:val="left"/>
      <w:pPr>
        <w:ind w:left="5760" w:hanging="360"/>
      </w:pPr>
    </w:lvl>
    <w:lvl w:ilvl="8" w:tplc="585631B0">
      <w:start w:val="1"/>
      <w:numFmt w:val="bullet"/>
      <w:lvlText w:val="●"/>
      <w:lvlJc w:val="left"/>
      <w:pPr>
        <w:ind w:left="6480" w:hanging="360"/>
      </w:pPr>
    </w:lvl>
  </w:abstractNum>
  <w:abstractNum w:abstractNumId="1" w15:restartNumberingAfterBreak="0">
    <w:nsid w:val="55530D40"/>
    <w:multiLevelType w:val="hybridMultilevel"/>
    <w:tmpl w:val="13505996"/>
    <w:lvl w:ilvl="0" w:tplc="33BC4510">
      <w:start w:val="1"/>
      <w:numFmt w:val="decimal"/>
      <w:lvlText w:val="%1."/>
      <w:lvlJc w:val="left"/>
      <w:pPr>
        <w:ind w:left="720" w:hanging="360"/>
      </w:pPr>
    </w:lvl>
    <w:lvl w:ilvl="1" w:tplc="E26A96D0">
      <w:numFmt w:val="decimal"/>
      <w:lvlText w:val=""/>
      <w:lvlJc w:val="left"/>
    </w:lvl>
    <w:lvl w:ilvl="2" w:tplc="489842FE">
      <w:numFmt w:val="decimal"/>
      <w:lvlText w:val=""/>
      <w:lvlJc w:val="left"/>
    </w:lvl>
    <w:lvl w:ilvl="3" w:tplc="5B66B852">
      <w:numFmt w:val="decimal"/>
      <w:lvlText w:val=""/>
      <w:lvlJc w:val="left"/>
    </w:lvl>
    <w:lvl w:ilvl="4" w:tplc="C6DA45D2">
      <w:numFmt w:val="decimal"/>
      <w:lvlText w:val=""/>
      <w:lvlJc w:val="left"/>
    </w:lvl>
    <w:lvl w:ilvl="5" w:tplc="DCEE2C54">
      <w:numFmt w:val="decimal"/>
      <w:lvlText w:val=""/>
      <w:lvlJc w:val="left"/>
    </w:lvl>
    <w:lvl w:ilvl="6" w:tplc="130C27DE">
      <w:numFmt w:val="decimal"/>
      <w:lvlText w:val=""/>
      <w:lvlJc w:val="left"/>
    </w:lvl>
    <w:lvl w:ilvl="7" w:tplc="D7BCBF96">
      <w:numFmt w:val="decimal"/>
      <w:lvlText w:val=""/>
      <w:lvlJc w:val="left"/>
    </w:lvl>
    <w:lvl w:ilvl="8" w:tplc="5CEC35FE">
      <w:numFmt w:val="decimal"/>
      <w:lvlText w:val=""/>
      <w:lvlJc w:val="left"/>
    </w:lvl>
  </w:abstractNum>
  <w:abstractNum w:abstractNumId="2" w15:restartNumberingAfterBreak="0">
    <w:nsid w:val="759C45BB"/>
    <w:multiLevelType w:val="hybridMultilevel"/>
    <w:tmpl w:val="C73E4A6A"/>
    <w:lvl w:ilvl="0" w:tplc="23E46EB4">
      <w:start w:val="1"/>
      <w:numFmt w:val="bullet"/>
      <w:lvlText w:val="•"/>
      <w:lvlJc w:val="left"/>
      <w:pPr>
        <w:ind w:left="720" w:hanging="360"/>
      </w:pPr>
    </w:lvl>
    <w:lvl w:ilvl="1" w:tplc="85801184">
      <w:numFmt w:val="decimal"/>
      <w:lvlText w:val=""/>
      <w:lvlJc w:val="left"/>
    </w:lvl>
    <w:lvl w:ilvl="2" w:tplc="4134E364">
      <w:numFmt w:val="decimal"/>
      <w:lvlText w:val=""/>
      <w:lvlJc w:val="left"/>
    </w:lvl>
    <w:lvl w:ilvl="3" w:tplc="FE302594">
      <w:numFmt w:val="decimal"/>
      <w:lvlText w:val=""/>
      <w:lvlJc w:val="left"/>
    </w:lvl>
    <w:lvl w:ilvl="4" w:tplc="021AE328">
      <w:numFmt w:val="decimal"/>
      <w:lvlText w:val=""/>
      <w:lvlJc w:val="left"/>
    </w:lvl>
    <w:lvl w:ilvl="5" w:tplc="353EE4CA">
      <w:numFmt w:val="decimal"/>
      <w:lvlText w:val=""/>
      <w:lvlJc w:val="left"/>
    </w:lvl>
    <w:lvl w:ilvl="6" w:tplc="9742584A">
      <w:numFmt w:val="decimal"/>
      <w:lvlText w:val=""/>
      <w:lvlJc w:val="left"/>
    </w:lvl>
    <w:lvl w:ilvl="7" w:tplc="A7C264D6">
      <w:numFmt w:val="decimal"/>
      <w:lvlText w:val=""/>
      <w:lvlJc w:val="left"/>
    </w:lvl>
    <w:lvl w:ilvl="8" w:tplc="BCEC4884">
      <w:numFmt w:val="decimal"/>
      <w:lvlText w:val=""/>
      <w:lvlJc w:val="left"/>
    </w:lvl>
  </w:abstractNum>
  <w:num w:numId="1" w16cid:durableId="1991013791">
    <w:abstractNumId w:val="0"/>
    <w:lvlOverride w:ilvl="0">
      <w:startOverride w:val="1"/>
    </w:lvlOverride>
  </w:num>
  <w:num w:numId="2" w16cid:durableId="1523470336">
    <w:abstractNumId w:val="2"/>
    <w:lvlOverride w:ilvl="0">
      <w:startOverride w:val="1"/>
    </w:lvlOverride>
  </w:num>
  <w:num w:numId="3" w16cid:durableId="143474019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2149"/>
    <w:rsid w:val="003D2149"/>
    <w:rsid w:val="00A27625"/>
    <w:rsid w:val="00D15963"/>
    <w:rsid w:val="00F907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AC981"/>
  <w15:docId w15:val="{67A9172F-23CA-4CA9-ABAA-38515750B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7B2D8B"/>
      <w:sz w:val="32"/>
      <w:szCs w:val="32"/>
    </w:rPr>
  </w:style>
  <w:style w:type="paragraph" w:styleId="Heading2">
    <w:name w:val="heading 2"/>
    <w:uiPriority w:val="9"/>
    <w:unhideWhenUsed/>
    <w:qFormat/>
    <w:pPr>
      <w:spacing w:before="280" w:after="120"/>
      <w:outlineLvl w:val="1"/>
    </w:pPr>
    <w:rPr>
      <w:b/>
      <w:bCs/>
      <w:color w:val="B5360E"/>
      <w:sz w:val="26"/>
      <w:szCs w:val="26"/>
    </w:rPr>
  </w:style>
  <w:style w:type="paragraph" w:styleId="Heading3">
    <w:name w:val="heading 3"/>
    <w:uiPriority w:val="9"/>
    <w:semiHidden/>
    <w:unhideWhenUsed/>
    <w:qFormat/>
    <w:pPr>
      <w:spacing w:before="20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16</Pages>
  <Words>3318</Words>
  <Characters>18917</Characters>
  <Application>Microsoft Office Word</Application>
  <DocSecurity>0</DocSecurity>
  <Lines>157</Lines>
  <Paragraphs>44</Paragraphs>
  <ScaleCrop>false</ScaleCrop>
  <Company/>
  <LinksUpToDate>false</LinksUpToDate>
  <CharactersWithSpaces>22191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Aditi Marwadi</cp:lastModifiedBy>
  <cp:revision>2</cp:revision>
  <cp:lastPrinted>2026-07-04T12:36:00Z</cp:lastPrinted>
  <dcterms:created xsi:type="dcterms:W3CDTF">2026-07-04T12:36:00Z</dcterms:created>
  <dcterms:modified xsi:type="dcterms:W3CDTF">2026-07-04T12:36:00Z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df0d79cc-ab91-4985-817b-ae3e733ccc39</vt:lpwstr>
  </property>
</Properties>
</file>