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COMPREHENSIVE TESTING STRATEGY</w:t>
        <w:br/>
        <w:t>AND QUALITY ASSURANCE PLAN</w:t>
      </w:r>
    </w:p>
    <w:p>
      <w:pPr>
        <w:jc w:val="center"/>
      </w:pPr>
      <w:r>
        <w:rPr>
          <w:b/>
        </w:rPr>
        <w:t>Week 4 Internship Task</w:t>
        <w:br/>
      </w:r>
      <w:r>
        <w:t>Prepared by: [Your Name]</w:t>
        <w:br/>
        <w:t>Project: Sample Student Management System</w:t>
        <w:br/>
        <w:t>Date: [Insert Date]</w:t>
      </w:r>
    </w:p>
    <w:p>
      <w:pPr>
        <w:pStyle w:val="Heading1"/>
      </w:pPr>
      <w:r>
        <w:t>1. Executive Summary</w:t>
      </w:r>
    </w:p>
    <w:p>
      <w:r>
        <w:t>This report defines a practical testing strategy and Quality Assurance (QA) plan for a sample Student Management System. The system is assumed to support creating, viewing, updating, and deleting student records, validating input, and storing records in a database. The plan describes testing levels, sample test cases, quality metrics, manual and automated testing, defect management, and code review practices. The approach can be adapted to another software project by replacing the sample modules and requirements.</w:t>
      </w:r>
    </w:p>
    <w:p>
      <w:pPr>
        <w:pStyle w:val="Heading1"/>
      </w:pPr>
      <w:r>
        <w:t>2. Project Overview and Quality Objectives</w:t>
      </w:r>
    </w:p>
    <w:p>
      <w:r>
        <w:t>The sample Student Management System helps an authorized user maintain student information such as student ID, name, email, course, and year. Its key quality objectives are correctness, usability, reliability, security, maintainability, and acceptable response time.</w:t>
      </w:r>
    </w:p>
    <w:p>
      <w:pPr>
        <w:pStyle w:val="ListBullet"/>
      </w:pPr>
      <w:r>
        <w:t>Verify that each feature meets its documented requirements.</w:t>
      </w:r>
    </w:p>
    <w:p>
      <w:pPr>
        <w:pStyle w:val="ListBullet"/>
      </w:pPr>
      <w:r>
        <w:t>Detect defects early and prevent regressions after code changes.</w:t>
      </w:r>
    </w:p>
    <w:p>
      <w:pPr>
        <w:pStyle w:val="ListBullet"/>
      </w:pPr>
      <w:r>
        <w:t>Validate normal, boundary, invalid, and unexpected inputs.</w:t>
      </w:r>
    </w:p>
    <w:p>
      <w:pPr>
        <w:pStyle w:val="ListBullet"/>
      </w:pPr>
      <w:r>
        <w:t>Protect student information through access control and safe data handling.</w:t>
      </w:r>
    </w:p>
    <w:p>
      <w:pPr>
        <w:pStyle w:val="ListBullet"/>
      </w:pPr>
      <w:r>
        <w:t>Maintain traceable records of test results, defects, and release decisions.</w:t>
      </w:r>
    </w:p>
    <w:p>
      <w:pPr>
        <w:pStyle w:val="Heading1"/>
      </w:pPr>
      <w:r>
        <w:t>3. Scope, Assumptions, and Test Environment</w:t>
      </w:r>
    </w:p>
    <w:p>
      <w:r>
        <w:t>In scope: login/access checks (if implemented), student record creation, record search/view, record update, record deletion, input validation, data persistence, error handling, and basic performance checks. Out of scope unless implemented: payment processing, third-party integrations, and production deployment.</w:t>
      </w:r>
    </w:p>
    <w:p>
      <w:r>
        <w:t>Assumptions: this is a sample project plan and no source code or live system has been supplied for execution. Test cases below are proposed examples, not evidence that tests have already been run. The team should record the actual environment, build version, test data, and results when testing the real application.</w:t>
      </w:r>
    </w:p>
    <w:p>
      <w:r>
        <w:t>Suggested environment: a development or staging build, a test database with fictional data, supported browsers or devices, version-controlled source code, and a defect tracker such as GitHub Issues. Never use real student personal information in test data unless formally authorized and protected.</w:t>
      </w:r>
    </w:p>
    <w:p>
      <w:pPr>
        <w:pStyle w:val="Heading1"/>
      </w:pPr>
      <w:r>
        <w:t>4. Testing Framework</w:t>
      </w:r>
    </w:p>
    <w:p>
      <w:pPr>
        <w:pStyle w:val="Heading2"/>
      </w:pPr>
      <w:r>
        <w:t>4.1 Unit Testing</w:t>
      </w:r>
    </w:p>
    <w:p>
      <w:r>
        <w:t>Purpose: test the smallest testable units, such as input validators, student ID generators, and service methods, in isolation. Use mocked dependencies where appropriate. Run unit tests on every pull request and after relevant code changes. Success criterion: all required unit tests pass and no unresolved critical failure remains.</w:t>
      </w:r>
    </w:p>
    <w:p>
      <w:pPr>
        <w:pStyle w:val="Heading2"/>
      </w:pPr>
      <w:r>
        <w:t>4.2 Integration Testing</w:t>
      </w:r>
    </w:p>
    <w:p>
      <w:r>
        <w:t>Purpose: verify that modules work together, especially the user interface, business logic, and data-access layer. Examples include saving a student through the service layer and confirming the record can be retrieved from the test database. Success criterion: data is transferred correctly and transaction/error handling behaves as expected.</w:t>
      </w:r>
    </w:p>
    <w:p>
      <w:pPr>
        <w:pStyle w:val="Heading2"/>
      </w:pPr>
      <w:r>
        <w:t>4.3 System Testing</w:t>
      </w:r>
    </w:p>
    <w:p>
      <w:r>
        <w:t>Purpose: test the complete application against functional and non-functional requirements in a staging-like environment. Cover end-to-end workflows, validation, error handling, permissions, usability, and performance. Success criterion: all release-critical scenarios pass and no open blocker or critical defect remains.</w:t>
      </w:r>
    </w:p>
    <w:p>
      <w:pPr>
        <w:pStyle w:val="Heading2"/>
      </w:pPr>
      <w:r>
        <w:t>4.4 Acceptance Testing</w:t>
      </w:r>
    </w:p>
    <w:p>
      <w:r>
        <w:t>Purpose: confirm with the intended user or project owner that the system supports the required real-world tasks. Use realistic scenarios and explicit acceptance criteria. Success criterion: the project owner approves the agreed criteria, or records remaining limitations and accepts them knowingly.</w:t>
      </w:r>
    </w:p>
    <w:p>
      <w:pPr>
        <w:pStyle w:val="Heading1"/>
      </w:pPr>
      <w:r>
        <w:t>5. Sample Test Cases</w:t>
      </w:r>
    </w:p>
    <w:p>
      <w:r>
        <w:t>Priority meanings: P1 = critical/high priority, P2 = normal priority, P3 = low priority. The expected results below are planned outcomes. Actual results and status should be filled in only after execution.</w:t>
      </w:r>
    </w:p>
    <w:tbl>
      <w:tblPr>
        <w:tblStyle w:val="LightShading-Accent1"/>
        <w:tblW w:type="auto" w:w="0"/>
        <w:tblLook w:firstColumn="1" w:firstRow="1" w:lastColumn="0" w:lastRow="0" w:noHBand="0" w:noVBand="1" w:val="04A0"/>
      </w:tblPr>
      <w:tblGrid>
        <w:gridCol w:w="1987"/>
        <w:gridCol w:w="1987"/>
        <w:gridCol w:w="1987"/>
        <w:gridCol w:w="1987"/>
        <w:gridCol w:w="1987"/>
      </w:tblGrid>
      <w:tr>
        <w:tc>
          <w:tcPr>
            <w:tcW w:type="dxa" w:w="1987"/>
          </w:tcPr>
          <w:p>
            <w:r>
              <w:rPr>
                <w:rFonts w:ascii="Arial" w:hAnsi="Arial"/>
                <w:sz w:val="16"/>
              </w:rPr>
              <w:t>Test ID</w:t>
            </w:r>
          </w:p>
        </w:tc>
        <w:tc>
          <w:tcPr>
            <w:tcW w:type="dxa" w:w="1987"/>
          </w:tcPr>
          <w:p>
            <w:r>
              <w:rPr>
                <w:rFonts w:ascii="Arial" w:hAnsi="Arial"/>
                <w:sz w:val="16"/>
              </w:rPr>
              <w:t>Module</w:t>
            </w:r>
          </w:p>
        </w:tc>
        <w:tc>
          <w:tcPr>
            <w:tcW w:type="dxa" w:w="1987"/>
          </w:tcPr>
          <w:p>
            <w:r>
              <w:rPr>
                <w:rFonts w:ascii="Arial" w:hAnsi="Arial"/>
                <w:sz w:val="16"/>
              </w:rPr>
              <w:t>Steps / Test Data</w:t>
            </w:r>
          </w:p>
        </w:tc>
        <w:tc>
          <w:tcPr>
            <w:tcW w:type="dxa" w:w="1987"/>
          </w:tcPr>
          <w:p>
            <w:r>
              <w:rPr>
                <w:rFonts w:ascii="Arial" w:hAnsi="Arial"/>
                <w:sz w:val="16"/>
              </w:rPr>
              <w:t>Expected Result</w:t>
            </w:r>
          </w:p>
        </w:tc>
        <w:tc>
          <w:tcPr>
            <w:tcW w:type="dxa" w:w="1987"/>
          </w:tcPr>
          <w:p>
            <w:r>
              <w:rPr>
                <w:rFonts w:ascii="Arial" w:hAnsi="Arial"/>
                <w:sz w:val="16"/>
              </w:rPr>
              <w:t>Priority</w:t>
            </w:r>
          </w:p>
        </w:tc>
      </w:tr>
      <w:tr>
        <w:tc>
          <w:tcPr>
            <w:tcW w:type="dxa" w:w="1987"/>
          </w:tcPr>
          <w:p>
            <w:r>
              <w:rPr>
                <w:rFonts w:ascii="Arial" w:hAnsi="Arial"/>
                <w:sz w:val="16"/>
              </w:rPr>
              <w:t>TC-01</w:t>
            </w:r>
          </w:p>
        </w:tc>
        <w:tc>
          <w:tcPr>
            <w:tcW w:type="dxa" w:w="1987"/>
          </w:tcPr>
          <w:p>
            <w:r>
              <w:rPr>
                <w:rFonts w:ascii="Arial" w:hAnsi="Arial"/>
                <w:sz w:val="16"/>
              </w:rPr>
              <w:t>Input validation</w:t>
            </w:r>
          </w:p>
        </w:tc>
        <w:tc>
          <w:tcPr>
            <w:tcW w:type="dxa" w:w="1987"/>
          </w:tcPr>
          <w:p>
            <w:r>
              <w:rPr>
                <w:rFonts w:ascii="Arial" w:hAnsi="Arial"/>
                <w:sz w:val="16"/>
              </w:rPr>
              <w:t>Enter a valid student name, email, course, and year.</w:t>
            </w:r>
          </w:p>
        </w:tc>
        <w:tc>
          <w:tcPr>
            <w:tcW w:type="dxa" w:w="1987"/>
          </w:tcPr>
          <w:p>
            <w:r>
              <w:rPr>
                <w:rFonts w:ascii="Arial" w:hAnsi="Arial"/>
                <w:sz w:val="16"/>
              </w:rPr>
              <w:t>Record is accepted and validation messages are absent.</w:t>
            </w:r>
          </w:p>
        </w:tc>
        <w:tc>
          <w:tcPr>
            <w:tcW w:type="dxa" w:w="1987"/>
          </w:tcPr>
          <w:p>
            <w:r>
              <w:rPr>
                <w:rFonts w:ascii="Arial" w:hAnsi="Arial"/>
                <w:sz w:val="16"/>
              </w:rPr>
              <w:t>P1</w:t>
            </w:r>
          </w:p>
        </w:tc>
      </w:tr>
      <w:tr>
        <w:tc>
          <w:tcPr>
            <w:tcW w:type="dxa" w:w="1987"/>
          </w:tcPr>
          <w:p>
            <w:r>
              <w:rPr>
                <w:rFonts w:ascii="Arial" w:hAnsi="Arial"/>
                <w:sz w:val="16"/>
              </w:rPr>
              <w:t>TC-02</w:t>
            </w:r>
          </w:p>
        </w:tc>
        <w:tc>
          <w:tcPr>
            <w:tcW w:type="dxa" w:w="1987"/>
          </w:tcPr>
          <w:p>
            <w:r>
              <w:rPr>
                <w:rFonts w:ascii="Arial" w:hAnsi="Arial"/>
                <w:sz w:val="16"/>
              </w:rPr>
              <w:t>Input validation</w:t>
            </w:r>
          </w:p>
        </w:tc>
        <w:tc>
          <w:tcPr>
            <w:tcW w:type="dxa" w:w="1987"/>
          </w:tcPr>
          <w:p>
            <w:r>
              <w:rPr>
                <w:rFonts w:ascii="Arial" w:hAnsi="Arial"/>
                <w:sz w:val="16"/>
              </w:rPr>
              <w:t>Leave the required student name blank and submit.</w:t>
            </w:r>
          </w:p>
        </w:tc>
        <w:tc>
          <w:tcPr>
            <w:tcW w:type="dxa" w:w="1987"/>
          </w:tcPr>
          <w:p>
            <w:r>
              <w:rPr>
                <w:rFonts w:ascii="Arial" w:hAnsi="Arial"/>
                <w:sz w:val="16"/>
              </w:rPr>
              <w:t>Submission is blocked and a clear required-field message appears.</w:t>
            </w:r>
          </w:p>
        </w:tc>
        <w:tc>
          <w:tcPr>
            <w:tcW w:type="dxa" w:w="1987"/>
          </w:tcPr>
          <w:p>
            <w:r>
              <w:rPr>
                <w:rFonts w:ascii="Arial" w:hAnsi="Arial"/>
                <w:sz w:val="16"/>
              </w:rPr>
              <w:t>P1</w:t>
            </w:r>
          </w:p>
        </w:tc>
      </w:tr>
      <w:tr>
        <w:tc>
          <w:tcPr>
            <w:tcW w:type="dxa" w:w="1987"/>
          </w:tcPr>
          <w:p>
            <w:r>
              <w:rPr>
                <w:rFonts w:ascii="Arial" w:hAnsi="Arial"/>
                <w:sz w:val="16"/>
              </w:rPr>
              <w:t>TC-03</w:t>
            </w:r>
          </w:p>
        </w:tc>
        <w:tc>
          <w:tcPr>
            <w:tcW w:type="dxa" w:w="1987"/>
          </w:tcPr>
          <w:p>
            <w:r>
              <w:rPr>
                <w:rFonts w:ascii="Arial" w:hAnsi="Arial"/>
                <w:sz w:val="16"/>
              </w:rPr>
              <w:t>Input validation</w:t>
            </w:r>
          </w:p>
        </w:tc>
        <w:tc>
          <w:tcPr>
            <w:tcW w:type="dxa" w:w="1987"/>
          </w:tcPr>
          <w:p>
            <w:r>
              <w:rPr>
                <w:rFonts w:ascii="Arial" w:hAnsi="Arial"/>
                <w:sz w:val="16"/>
              </w:rPr>
              <w:t>Enter an incorrectly formatted email address.</w:t>
            </w:r>
          </w:p>
        </w:tc>
        <w:tc>
          <w:tcPr>
            <w:tcW w:type="dxa" w:w="1987"/>
          </w:tcPr>
          <w:p>
            <w:r>
              <w:rPr>
                <w:rFonts w:ascii="Arial" w:hAnsi="Arial"/>
                <w:sz w:val="16"/>
              </w:rPr>
              <w:t>Invalid email is rejected with a helpful message.</w:t>
            </w:r>
          </w:p>
        </w:tc>
        <w:tc>
          <w:tcPr>
            <w:tcW w:type="dxa" w:w="1987"/>
          </w:tcPr>
          <w:p>
            <w:r>
              <w:rPr>
                <w:rFonts w:ascii="Arial" w:hAnsi="Arial"/>
                <w:sz w:val="16"/>
              </w:rPr>
              <w:t>P2</w:t>
            </w:r>
          </w:p>
        </w:tc>
      </w:tr>
      <w:tr>
        <w:tc>
          <w:tcPr>
            <w:tcW w:type="dxa" w:w="1987"/>
          </w:tcPr>
          <w:p>
            <w:r>
              <w:rPr>
                <w:rFonts w:ascii="Arial" w:hAnsi="Arial"/>
                <w:sz w:val="16"/>
              </w:rPr>
              <w:t>TC-04</w:t>
            </w:r>
          </w:p>
        </w:tc>
        <w:tc>
          <w:tcPr>
            <w:tcW w:type="dxa" w:w="1987"/>
          </w:tcPr>
          <w:p>
            <w:r>
              <w:rPr>
                <w:rFonts w:ascii="Arial" w:hAnsi="Arial"/>
                <w:sz w:val="16"/>
              </w:rPr>
              <w:t>Create student</w:t>
            </w:r>
          </w:p>
        </w:tc>
        <w:tc>
          <w:tcPr>
            <w:tcW w:type="dxa" w:w="1987"/>
          </w:tcPr>
          <w:p>
            <w:r>
              <w:rPr>
                <w:rFonts w:ascii="Arial" w:hAnsi="Arial"/>
                <w:sz w:val="16"/>
              </w:rPr>
              <w:t>Create a record using a unique student ID and valid fields.</w:t>
            </w:r>
          </w:p>
        </w:tc>
        <w:tc>
          <w:tcPr>
            <w:tcW w:type="dxa" w:w="1987"/>
          </w:tcPr>
          <w:p>
            <w:r>
              <w:rPr>
                <w:rFonts w:ascii="Arial" w:hAnsi="Arial"/>
                <w:sz w:val="16"/>
              </w:rPr>
              <w:t>Record is saved once and a success confirmation appears.</w:t>
            </w:r>
          </w:p>
        </w:tc>
        <w:tc>
          <w:tcPr>
            <w:tcW w:type="dxa" w:w="1987"/>
          </w:tcPr>
          <w:p>
            <w:r>
              <w:rPr>
                <w:rFonts w:ascii="Arial" w:hAnsi="Arial"/>
                <w:sz w:val="16"/>
              </w:rPr>
              <w:t>P1</w:t>
            </w:r>
          </w:p>
        </w:tc>
      </w:tr>
      <w:tr>
        <w:tc>
          <w:tcPr>
            <w:tcW w:type="dxa" w:w="1987"/>
          </w:tcPr>
          <w:p>
            <w:r>
              <w:rPr>
                <w:rFonts w:ascii="Arial" w:hAnsi="Arial"/>
                <w:sz w:val="16"/>
              </w:rPr>
              <w:t>TC-05</w:t>
            </w:r>
          </w:p>
        </w:tc>
        <w:tc>
          <w:tcPr>
            <w:tcW w:type="dxa" w:w="1987"/>
          </w:tcPr>
          <w:p>
            <w:r>
              <w:rPr>
                <w:rFonts w:ascii="Arial" w:hAnsi="Arial"/>
                <w:sz w:val="16"/>
              </w:rPr>
              <w:t>Duplicate handling</w:t>
            </w:r>
          </w:p>
        </w:tc>
        <w:tc>
          <w:tcPr>
            <w:tcW w:type="dxa" w:w="1987"/>
          </w:tcPr>
          <w:p>
            <w:r>
              <w:rPr>
                <w:rFonts w:ascii="Arial" w:hAnsi="Arial"/>
                <w:sz w:val="16"/>
              </w:rPr>
              <w:t>Attempt to create a record with an existing unique student ID.</w:t>
            </w:r>
          </w:p>
        </w:tc>
        <w:tc>
          <w:tcPr>
            <w:tcW w:type="dxa" w:w="1987"/>
          </w:tcPr>
          <w:p>
            <w:r>
              <w:rPr>
                <w:rFonts w:ascii="Arial" w:hAnsi="Arial"/>
                <w:sz w:val="16"/>
              </w:rPr>
              <w:t>Duplicate is rejected or handled according to requirements; existing data remains unchanged.</w:t>
            </w:r>
          </w:p>
        </w:tc>
        <w:tc>
          <w:tcPr>
            <w:tcW w:type="dxa" w:w="1987"/>
          </w:tcPr>
          <w:p>
            <w:r>
              <w:rPr>
                <w:rFonts w:ascii="Arial" w:hAnsi="Arial"/>
                <w:sz w:val="16"/>
              </w:rPr>
              <w:t>P1</w:t>
            </w:r>
          </w:p>
        </w:tc>
      </w:tr>
      <w:tr>
        <w:tc>
          <w:tcPr>
            <w:tcW w:type="dxa" w:w="1987"/>
          </w:tcPr>
          <w:p>
            <w:r>
              <w:rPr>
                <w:rFonts w:ascii="Arial" w:hAnsi="Arial"/>
                <w:sz w:val="16"/>
              </w:rPr>
              <w:t>TC-06</w:t>
            </w:r>
          </w:p>
        </w:tc>
        <w:tc>
          <w:tcPr>
            <w:tcW w:type="dxa" w:w="1987"/>
          </w:tcPr>
          <w:p>
            <w:r>
              <w:rPr>
                <w:rFonts w:ascii="Arial" w:hAnsi="Arial"/>
                <w:sz w:val="16"/>
              </w:rPr>
              <w:t>View/search student</w:t>
            </w:r>
          </w:p>
        </w:tc>
        <w:tc>
          <w:tcPr>
            <w:tcW w:type="dxa" w:w="1987"/>
          </w:tcPr>
          <w:p>
            <w:r>
              <w:rPr>
                <w:rFonts w:ascii="Arial" w:hAnsi="Arial"/>
                <w:sz w:val="16"/>
              </w:rPr>
              <w:t>Search using an existing student ID.</w:t>
            </w:r>
          </w:p>
        </w:tc>
        <w:tc>
          <w:tcPr>
            <w:tcW w:type="dxa" w:w="1987"/>
          </w:tcPr>
          <w:p>
            <w:r>
              <w:rPr>
                <w:rFonts w:ascii="Arial" w:hAnsi="Arial"/>
                <w:sz w:val="16"/>
              </w:rPr>
              <w:t>The correct student record is displayed.</w:t>
            </w:r>
          </w:p>
        </w:tc>
        <w:tc>
          <w:tcPr>
            <w:tcW w:type="dxa" w:w="1987"/>
          </w:tcPr>
          <w:p>
            <w:r>
              <w:rPr>
                <w:rFonts w:ascii="Arial" w:hAnsi="Arial"/>
                <w:sz w:val="16"/>
              </w:rPr>
              <w:t>P1</w:t>
            </w:r>
          </w:p>
        </w:tc>
      </w:tr>
      <w:tr>
        <w:tc>
          <w:tcPr>
            <w:tcW w:type="dxa" w:w="1987"/>
          </w:tcPr>
          <w:p>
            <w:r>
              <w:rPr>
                <w:rFonts w:ascii="Arial" w:hAnsi="Arial"/>
                <w:sz w:val="16"/>
              </w:rPr>
              <w:t>TC-07</w:t>
            </w:r>
          </w:p>
        </w:tc>
        <w:tc>
          <w:tcPr>
            <w:tcW w:type="dxa" w:w="1987"/>
          </w:tcPr>
          <w:p>
            <w:r>
              <w:rPr>
                <w:rFonts w:ascii="Arial" w:hAnsi="Arial"/>
                <w:sz w:val="16"/>
              </w:rPr>
              <w:t>View/search student</w:t>
            </w:r>
          </w:p>
        </w:tc>
        <w:tc>
          <w:tcPr>
            <w:tcW w:type="dxa" w:w="1987"/>
          </w:tcPr>
          <w:p>
            <w:r>
              <w:rPr>
                <w:rFonts w:ascii="Arial" w:hAnsi="Arial"/>
                <w:sz w:val="16"/>
              </w:rPr>
              <w:t>Search for a student ID that does not exist.</w:t>
            </w:r>
          </w:p>
        </w:tc>
        <w:tc>
          <w:tcPr>
            <w:tcW w:type="dxa" w:w="1987"/>
          </w:tcPr>
          <w:p>
            <w:r>
              <w:rPr>
                <w:rFonts w:ascii="Arial" w:hAnsi="Arial"/>
                <w:sz w:val="16"/>
              </w:rPr>
              <w:t>A no-results message appears; the application remains stable.</w:t>
            </w:r>
          </w:p>
        </w:tc>
        <w:tc>
          <w:tcPr>
            <w:tcW w:type="dxa" w:w="1987"/>
          </w:tcPr>
          <w:p>
            <w:r>
              <w:rPr>
                <w:rFonts w:ascii="Arial" w:hAnsi="Arial"/>
                <w:sz w:val="16"/>
              </w:rPr>
              <w:t>P2</w:t>
            </w:r>
          </w:p>
        </w:tc>
      </w:tr>
      <w:tr>
        <w:tc>
          <w:tcPr>
            <w:tcW w:type="dxa" w:w="1987"/>
          </w:tcPr>
          <w:p>
            <w:r>
              <w:rPr>
                <w:rFonts w:ascii="Arial" w:hAnsi="Arial"/>
                <w:sz w:val="16"/>
              </w:rPr>
              <w:t>TC-08</w:t>
            </w:r>
          </w:p>
        </w:tc>
        <w:tc>
          <w:tcPr>
            <w:tcW w:type="dxa" w:w="1987"/>
          </w:tcPr>
          <w:p>
            <w:r>
              <w:rPr>
                <w:rFonts w:ascii="Arial" w:hAnsi="Arial"/>
                <w:sz w:val="16"/>
              </w:rPr>
              <w:t>Update student</w:t>
            </w:r>
          </w:p>
        </w:tc>
        <w:tc>
          <w:tcPr>
            <w:tcW w:type="dxa" w:w="1987"/>
          </w:tcPr>
          <w:p>
            <w:r>
              <w:rPr>
                <w:rFonts w:ascii="Arial" w:hAnsi="Arial"/>
                <w:sz w:val="16"/>
              </w:rPr>
              <w:t>Change a student’s course and save.</w:t>
            </w:r>
          </w:p>
        </w:tc>
        <w:tc>
          <w:tcPr>
            <w:tcW w:type="dxa" w:w="1987"/>
          </w:tcPr>
          <w:p>
            <w:r>
              <w:rPr>
                <w:rFonts w:ascii="Arial" w:hAnsi="Arial"/>
                <w:sz w:val="16"/>
              </w:rPr>
              <w:t>The updated course persists after reopening the record.</w:t>
            </w:r>
          </w:p>
        </w:tc>
        <w:tc>
          <w:tcPr>
            <w:tcW w:type="dxa" w:w="1987"/>
          </w:tcPr>
          <w:p>
            <w:r>
              <w:rPr>
                <w:rFonts w:ascii="Arial" w:hAnsi="Arial"/>
                <w:sz w:val="16"/>
              </w:rPr>
              <w:t>P1</w:t>
            </w:r>
          </w:p>
        </w:tc>
      </w:tr>
      <w:tr>
        <w:tc>
          <w:tcPr>
            <w:tcW w:type="dxa" w:w="1987"/>
          </w:tcPr>
          <w:p>
            <w:r>
              <w:rPr>
                <w:rFonts w:ascii="Arial" w:hAnsi="Arial"/>
                <w:sz w:val="16"/>
              </w:rPr>
              <w:t>TC-09</w:t>
            </w:r>
          </w:p>
        </w:tc>
        <w:tc>
          <w:tcPr>
            <w:tcW w:type="dxa" w:w="1987"/>
          </w:tcPr>
          <w:p>
            <w:r>
              <w:rPr>
                <w:rFonts w:ascii="Arial" w:hAnsi="Arial"/>
                <w:sz w:val="16"/>
              </w:rPr>
              <w:t>Delete student</w:t>
            </w:r>
          </w:p>
        </w:tc>
        <w:tc>
          <w:tcPr>
            <w:tcW w:type="dxa" w:w="1987"/>
          </w:tcPr>
          <w:p>
            <w:r>
              <w:rPr>
                <w:rFonts w:ascii="Arial" w:hAnsi="Arial"/>
                <w:sz w:val="16"/>
              </w:rPr>
              <w:t>Delete a test record after confirming the action.</w:t>
            </w:r>
          </w:p>
        </w:tc>
        <w:tc>
          <w:tcPr>
            <w:tcW w:type="dxa" w:w="1987"/>
          </w:tcPr>
          <w:p>
            <w:r>
              <w:rPr>
                <w:rFonts w:ascii="Arial" w:hAnsi="Arial"/>
                <w:sz w:val="16"/>
              </w:rPr>
              <w:t>The record is removed or marked deleted as specified and no longer appears in normal search.</w:t>
            </w:r>
          </w:p>
        </w:tc>
        <w:tc>
          <w:tcPr>
            <w:tcW w:type="dxa" w:w="1987"/>
          </w:tcPr>
          <w:p>
            <w:r>
              <w:rPr>
                <w:rFonts w:ascii="Arial" w:hAnsi="Arial"/>
                <w:sz w:val="16"/>
              </w:rPr>
              <w:t>P1</w:t>
            </w:r>
          </w:p>
        </w:tc>
      </w:tr>
      <w:tr>
        <w:tc>
          <w:tcPr>
            <w:tcW w:type="dxa" w:w="1987"/>
          </w:tcPr>
          <w:p>
            <w:r>
              <w:rPr>
                <w:rFonts w:ascii="Arial" w:hAnsi="Arial"/>
                <w:sz w:val="16"/>
              </w:rPr>
              <w:t>TC-10</w:t>
            </w:r>
          </w:p>
        </w:tc>
        <w:tc>
          <w:tcPr>
            <w:tcW w:type="dxa" w:w="1987"/>
          </w:tcPr>
          <w:p>
            <w:r>
              <w:rPr>
                <w:rFonts w:ascii="Arial" w:hAnsi="Arial"/>
                <w:sz w:val="16"/>
              </w:rPr>
              <w:t>Data persistence</w:t>
            </w:r>
          </w:p>
        </w:tc>
        <w:tc>
          <w:tcPr>
            <w:tcW w:type="dxa" w:w="1987"/>
          </w:tcPr>
          <w:p>
            <w:r>
              <w:rPr>
                <w:rFonts w:ascii="Arial" w:hAnsi="Arial"/>
                <w:sz w:val="16"/>
              </w:rPr>
              <w:t>Save a record and restart/reopen the application.</w:t>
            </w:r>
          </w:p>
        </w:tc>
        <w:tc>
          <w:tcPr>
            <w:tcW w:type="dxa" w:w="1987"/>
          </w:tcPr>
          <w:p>
            <w:r>
              <w:rPr>
                <w:rFonts w:ascii="Arial" w:hAnsi="Arial"/>
                <w:sz w:val="16"/>
              </w:rPr>
              <w:t>The saved record remains available.</w:t>
            </w:r>
          </w:p>
        </w:tc>
        <w:tc>
          <w:tcPr>
            <w:tcW w:type="dxa" w:w="1987"/>
          </w:tcPr>
          <w:p>
            <w:r>
              <w:rPr>
                <w:rFonts w:ascii="Arial" w:hAnsi="Arial"/>
                <w:sz w:val="16"/>
              </w:rPr>
              <w:t>P1</w:t>
            </w:r>
          </w:p>
        </w:tc>
      </w:tr>
      <w:tr>
        <w:tc>
          <w:tcPr>
            <w:tcW w:type="dxa" w:w="1987"/>
          </w:tcPr>
          <w:p>
            <w:r>
              <w:rPr>
                <w:rFonts w:ascii="Arial" w:hAnsi="Arial"/>
                <w:sz w:val="16"/>
              </w:rPr>
              <w:t>TC-11</w:t>
            </w:r>
          </w:p>
        </w:tc>
        <w:tc>
          <w:tcPr>
            <w:tcW w:type="dxa" w:w="1987"/>
          </w:tcPr>
          <w:p>
            <w:r>
              <w:rPr>
                <w:rFonts w:ascii="Arial" w:hAnsi="Arial"/>
                <w:sz w:val="16"/>
              </w:rPr>
              <w:t>Error handling</w:t>
            </w:r>
          </w:p>
        </w:tc>
        <w:tc>
          <w:tcPr>
            <w:tcW w:type="dxa" w:w="1987"/>
          </w:tcPr>
          <w:p>
            <w:r>
              <w:rPr>
                <w:rFonts w:ascii="Arial" w:hAnsi="Arial"/>
                <w:sz w:val="16"/>
              </w:rPr>
              <w:t>Simulate database unavailability in a controlled test environment.</w:t>
            </w:r>
          </w:p>
        </w:tc>
        <w:tc>
          <w:tcPr>
            <w:tcW w:type="dxa" w:w="1987"/>
          </w:tcPr>
          <w:p>
            <w:r>
              <w:rPr>
                <w:rFonts w:ascii="Arial" w:hAnsi="Arial"/>
                <w:sz w:val="16"/>
              </w:rPr>
              <w:t>A safe, understandable error is shown; no misleading success message appears.</w:t>
            </w:r>
          </w:p>
        </w:tc>
        <w:tc>
          <w:tcPr>
            <w:tcW w:type="dxa" w:w="1987"/>
          </w:tcPr>
          <w:p>
            <w:r>
              <w:rPr>
                <w:rFonts w:ascii="Arial" w:hAnsi="Arial"/>
                <w:sz w:val="16"/>
              </w:rPr>
              <w:t>P1</w:t>
            </w:r>
          </w:p>
        </w:tc>
      </w:tr>
      <w:tr>
        <w:tc>
          <w:tcPr>
            <w:tcW w:type="dxa" w:w="1987"/>
          </w:tcPr>
          <w:p>
            <w:r>
              <w:rPr>
                <w:rFonts w:ascii="Arial" w:hAnsi="Arial"/>
                <w:sz w:val="16"/>
              </w:rPr>
              <w:t>TC-12</w:t>
            </w:r>
          </w:p>
        </w:tc>
        <w:tc>
          <w:tcPr>
            <w:tcW w:type="dxa" w:w="1987"/>
          </w:tcPr>
          <w:p>
            <w:r>
              <w:rPr>
                <w:rFonts w:ascii="Arial" w:hAnsi="Arial"/>
                <w:sz w:val="16"/>
              </w:rPr>
              <w:t>Access control</w:t>
            </w:r>
          </w:p>
        </w:tc>
        <w:tc>
          <w:tcPr>
            <w:tcW w:type="dxa" w:w="1987"/>
          </w:tcPr>
          <w:p>
            <w:r>
              <w:rPr>
                <w:rFonts w:ascii="Arial" w:hAnsi="Arial"/>
                <w:sz w:val="16"/>
              </w:rPr>
              <w:t>Attempt a restricted action as a user without the required permission.</w:t>
            </w:r>
          </w:p>
        </w:tc>
        <w:tc>
          <w:tcPr>
            <w:tcW w:type="dxa" w:w="1987"/>
          </w:tcPr>
          <w:p>
            <w:r>
              <w:rPr>
                <w:rFonts w:ascii="Arial" w:hAnsi="Arial"/>
                <w:sz w:val="16"/>
              </w:rPr>
              <w:t>Access is denied and protected data is not exposed.</w:t>
            </w:r>
          </w:p>
        </w:tc>
        <w:tc>
          <w:tcPr>
            <w:tcW w:type="dxa" w:w="1987"/>
          </w:tcPr>
          <w:p>
            <w:r>
              <w:rPr>
                <w:rFonts w:ascii="Arial" w:hAnsi="Arial"/>
                <w:sz w:val="16"/>
              </w:rPr>
              <w:t>P1</w:t>
            </w:r>
          </w:p>
        </w:tc>
      </w:tr>
      <w:tr>
        <w:tc>
          <w:tcPr>
            <w:tcW w:type="dxa" w:w="1987"/>
          </w:tcPr>
          <w:p>
            <w:r>
              <w:rPr>
                <w:rFonts w:ascii="Arial" w:hAnsi="Arial"/>
                <w:sz w:val="16"/>
              </w:rPr>
              <w:t>TC-13</w:t>
            </w:r>
          </w:p>
        </w:tc>
        <w:tc>
          <w:tcPr>
            <w:tcW w:type="dxa" w:w="1987"/>
          </w:tcPr>
          <w:p>
            <w:r>
              <w:rPr>
                <w:rFonts w:ascii="Arial" w:hAnsi="Arial"/>
                <w:sz w:val="16"/>
              </w:rPr>
              <w:t>Usability</w:t>
            </w:r>
          </w:p>
        </w:tc>
        <w:tc>
          <w:tcPr>
            <w:tcW w:type="dxa" w:w="1987"/>
          </w:tcPr>
          <w:p>
            <w:r>
              <w:rPr>
                <w:rFonts w:ascii="Arial" w:hAnsi="Arial"/>
                <w:sz w:val="16"/>
              </w:rPr>
              <w:t>Complete the create-student workflow using the interface instructions.</w:t>
            </w:r>
          </w:p>
        </w:tc>
        <w:tc>
          <w:tcPr>
            <w:tcW w:type="dxa" w:w="1987"/>
          </w:tcPr>
          <w:p>
            <w:r>
              <w:rPr>
                <w:rFonts w:ascii="Arial" w:hAnsi="Arial"/>
                <w:sz w:val="16"/>
              </w:rPr>
              <w:t>Labels and messages are understandable; the user can complete the workflow.</w:t>
            </w:r>
          </w:p>
        </w:tc>
        <w:tc>
          <w:tcPr>
            <w:tcW w:type="dxa" w:w="1987"/>
          </w:tcPr>
          <w:p>
            <w:r>
              <w:rPr>
                <w:rFonts w:ascii="Arial" w:hAnsi="Arial"/>
                <w:sz w:val="16"/>
              </w:rPr>
              <w:t>P2</w:t>
            </w:r>
          </w:p>
        </w:tc>
      </w:tr>
      <w:tr>
        <w:tc>
          <w:tcPr>
            <w:tcW w:type="dxa" w:w="1987"/>
          </w:tcPr>
          <w:p>
            <w:r>
              <w:rPr>
                <w:rFonts w:ascii="Arial" w:hAnsi="Arial"/>
                <w:sz w:val="16"/>
              </w:rPr>
              <w:t>TC-14</w:t>
            </w:r>
          </w:p>
        </w:tc>
        <w:tc>
          <w:tcPr>
            <w:tcW w:type="dxa" w:w="1987"/>
          </w:tcPr>
          <w:p>
            <w:r>
              <w:rPr>
                <w:rFonts w:ascii="Arial" w:hAnsi="Arial"/>
                <w:sz w:val="16"/>
              </w:rPr>
              <w:t>Performance</w:t>
            </w:r>
          </w:p>
        </w:tc>
        <w:tc>
          <w:tcPr>
            <w:tcW w:type="dxa" w:w="1987"/>
          </w:tcPr>
          <w:p>
            <w:r>
              <w:rPr>
                <w:rFonts w:ascii="Arial" w:hAnsi="Arial"/>
                <w:sz w:val="16"/>
              </w:rPr>
              <w:t>Measure search response time with a documented representative test dataset.</w:t>
            </w:r>
          </w:p>
        </w:tc>
        <w:tc>
          <w:tcPr>
            <w:tcW w:type="dxa" w:w="1987"/>
          </w:tcPr>
          <w:p>
            <w:r>
              <w:rPr>
                <w:rFonts w:ascii="Arial" w:hAnsi="Arial"/>
                <w:sz w:val="16"/>
              </w:rPr>
              <w:t>Response time meets the agreed project target; record dataset size and measured percentile.</w:t>
            </w:r>
          </w:p>
        </w:tc>
        <w:tc>
          <w:tcPr>
            <w:tcW w:type="dxa" w:w="1987"/>
          </w:tcPr>
          <w:p>
            <w:r>
              <w:rPr>
                <w:rFonts w:ascii="Arial" w:hAnsi="Arial"/>
                <w:sz w:val="16"/>
              </w:rPr>
              <w:t>P2</w:t>
            </w:r>
          </w:p>
        </w:tc>
      </w:tr>
      <w:tr>
        <w:tc>
          <w:tcPr>
            <w:tcW w:type="dxa" w:w="1987"/>
          </w:tcPr>
          <w:p>
            <w:r>
              <w:rPr>
                <w:rFonts w:ascii="Arial" w:hAnsi="Arial"/>
                <w:sz w:val="16"/>
              </w:rPr>
              <w:t>TC-15</w:t>
            </w:r>
          </w:p>
        </w:tc>
        <w:tc>
          <w:tcPr>
            <w:tcW w:type="dxa" w:w="1987"/>
          </w:tcPr>
          <w:p>
            <w:r>
              <w:rPr>
                <w:rFonts w:ascii="Arial" w:hAnsi="Arial"/>
                <w:sz w:val="16"/>
              </w:rPr>
              <w:t>Regression</w:t>
            </w:r>
          </w:p>
        </w:tc>
        <w:tc>
          <w:tcPr>
            <w:tcW w:type="dxa" w:w="1987"/>
          </w:tcPr>
          <w:p>
            <w:r>
              <w:rPr>
                <w:rFonts w:ascii="Arial" w:hAnsi="Arial"/>
                <w:sz w:val="16"/>
              </w:rPr>
              <w:t>Run the core create, search, update, and delete workflows after a code change.</w:t>
            </w:r>
          </w:p>
        </w:tc>
        <w:tc>
          <w:tcPr>
            <w:tcW w:type="dxa" w:w="1987"/>
          </w:tcPr>
          <w:p>
            <w:r>
              <w:rPr>
                <w:rFonts w:ascii="Arial" w:hAnsi="Arial"/>
                <w:sz w:val="16"/>
              </w:rPr>
              <w:t>Previously passing workflows continue to pass.</w:t>
            </w:r>
          </w:p>
        </w:tc>
        <w:tc>
          <w:tcPr>
            <w:tcW w:type="dxa" w:w="1987"/>
          </w:tcPr>
          <w:p>
            <w:r>
              <w:rPr>
                <w:rFonts w:ascii="Arial" w:hAnsi="Arial"/>
                <w:sz w:val="16"/>
              </w:rPr>
              <w:t>P1</w:t>
            </w:r>
          </w:p>
        </w:tc>
      </w:tr>
    </w:tbl>
    <w:p>
      <w:r>
        <w:t>Execution record template: Actual result: __________; Status (Pass/Fail/Blocked/Not Run): __________; Tester: __________; Date/build: __________; Defect ID (if any): __________.</w:t>
      </w:r>
    </w:p>
    <w:p>
      <w:pPr>
        <w:pStyle w:val="Heading1"/>
      </w:pPr>
      <w:r>
        <w:t>6. Quality Assurance Metrics</w:t>
      </w:r>
    </w:p>
    <w:tbl>
      <w:tblPr>
        <w:tblStyle w:val="LightShading-Accent1"/>
        <w:tblW w:type="auto" w:w="0"/>
        <w:tblLook w:firstColumn="1" w:firstRow="1" w:lastColumn="0" w:lastRow="0" w:noHBand="0" w:noVBand="1" w:val="04A0"/>
      </w:tblPr>
      <w:tblGrid>
        <w:gridCol w:w="4968"/>
        <w:gridCol w:w="4968"/>
      </w:tblGrid>
      <w:tr>
        <w:tc>
          <w:tcPr>
            <w:tcW w:type="dxa" w:w="4968"/>
          </w:tcPr>
          <w:p>
            <w:r>
              <w:t>Metric</w:t>
            </w:r>
          </w:p>
        </w:tc>
        <w:tc>
          <w:tcPr>
            <w:tcW w:type="dxa" w:w="4968"/>
          </w:tcPr>
          <w:p>
            <w:r>
              <w:t>How it is measured</w:t>
            </w:r>
          </w:p>
        </w:tc>
      </w:tr>
      <w:tr>
        <w:tc>
          <w:tcPr>
            <w:tcW w:type="dxa" w:w="4968"/>
          </w:tcPr>
          <w:p>
            <w:r>
              <w:t>Test coverage</w:t>
            </w:r>
          </w:p>
        </w:tc>
        <w:tc>
          <w:tcPr>
            <w:tcW w:type="dxa" w:w="4968"/>
          </w:tcPr>
          <w:p>
            <w:r>
              <w:t>Requirements or code items covered by tests ÷ total applicable items × 100. Track requirement coverage and, where tooling supports it, statement/branch coverage. Coverage alone does not prove test quality.</w:t>
            </w:r>
          </w:p>
        </w:tc>
      </w:tr>
      <w:tr>
        <w:tc>
          <w:tcPr>
            <w:tcW w:type="dxa" w:w="4968"/>
          </w:tcPr>
          <w:p>
            <w:r>
              <w:t>Pass rate</w:t>
            </w:r>
          </w:p>
        </w:tc>
        <w:tc>
          <w:tcPr>
            <w:tcW w:type="dxa" w:w="4968"/>
          </w:tcPr>
          <w:p>
            <w:r>
              <w:t>Passed tests ÷ executed tests × 100. Report blocked and not-run tests separately so the rate is not misleading.</w:t>
            </w:r>
          </w:p>
        </w:tc>
      </w:tr>
      <w:tr>
        <w:tc>
          <w:tcPr>
            <w:tcW w:type="dxa" w:w="4968"/>
          </w:tcPr>
          <w:p>
            <w:r>
              <w:t>Defect density</w:t>
            </w:r>
          </w:p>
        </w:tc>
        <w:tc>
          <w:tcPr>
            <w:tcW w:type="dxa" w:w="4968"/>
          </w:tcPr>
          <w:p>
            <w:r>
              <w:t>Confirmed defects ÷ defined size measure (for example, KLOC or function points). Use consistently and compare trends, not teams in isolation.</w:t>
            </w:r>
          </w:p>
        </w:tc>
      </w:tr>
      <w:tr>
        <w:tc>
          <w:tcPr>
            <w:tcW w:type="dxa" w:w="4968"/>
          </w:tcPr>
          <w:p>
            <w:r>
              <w:t>Defect leakage</w:t>
            </w:r>
          </w:p>
        </w:tc>
        <w:tc>
          <w:tcPr>
            <w:tcW w:type="dxa" w:w="4968"/>
          </w:tcPr>
          <w:p>
            <w:r>
              <w:t>Defects found after release ÷ all defects found before and after release × 100. Review by severity and release.</w:t>
            </w:r>
          </w:p>
        </w:tc>
      </w:tr>
      <w:tr>
        <w:tc>
          <w:tcPr>
            <w:tcW w:type="dxa" w:w="4968"/>
          </w:tcPr>
          <w:p>
            <w:r>
              <w:t>Mean time to resolve</w:t>
            </w:r>
          </w:p>
        </w:tc>
        <w:tc>
          <w:tcPr>
            <w:tcW w:type="dxa" w:w="4968"/>
          </w:tcPr>
          <w:p>
            <w:r>
              <w:t>Average elapsed time from defect report to verified closure. Report median as well if a few long-running defects distort the average.</w:t>
            </w:r>
          </w:p>
        </w:tc>
      </w:tr>
      <w:tr>
        <w:tc>
          <w:tcPr>
            <w:tcW w:type="dxa" w:w="4968"/>
          </w:tcPr>
          <w:p>
            <w:r>
              <w:t>Escaped critical defects</w:t>
            </w:r>
          </w:p>
        </w:tc>
        <w:tc>
          <w:tcPr>
            <w:tcW w:type="dxa" w:w="4968"/>
          </w:tcPr>
          <w:p>
            <w:r>
              <w:t>Count of critical/high-severity defects discovered after release. Target: zero known critical defects at release; monitor post-release incidents.</w:t>
            </w:r>
          </w:p>
        </w:tc>
      </w:tr>
      <w:tr>
        <w:tc>
          <w:tcPr>
            <w:tcW w:type="dxa" w:w="4968"/>
          </w:tcPr>
          <w:p>
            <w:r>
              <w:t>Performance</w:t>
            </w:r>
          </w:p>
        </w:tc>
        <w:tc>
          <w:tcPr>
            <w:tcW w:type="dxa" w:w="4968"/>
          </w:tcPr>
          <w:p>
            <w:r>
              <w:t>Measure response time (including a stated percentile), throughput, and error rate under a documented workload and dataset. Set numerical targets with the project owner before testing.</w:t>
            </w:r>
          </w:p>
        </w:tc>
      </w:tr>
      <w:tr>
        <w:tc>
          <w:tcPr>
            <w:tcW w:type="dxa" w:w="4968"/>
          </w:tcPr>
          <w:p>
            <w:r>
              <w:t>Review effectiveness</w:t>
            </w:r>
          </w:p>
        </w:tc>
        <w:tc>
          <w:tcPr>
            <w:tcW w:type="dxa" w:w="4968"/>
          </w:tcPr>
          <w:p>
            <w:r>
              <w:t>Track review findings, rework, and defects discovered during review. Use these as process signals, not as a simplistic individual performance score.</w:t>
            </w:r>
          </w:p>
        </w:tc>
      </w:tr>
    </w:tbl>
    <w:p>
      <w:pPr>
        <w:pStyle w:val="Heading1"/>
      </w:pPr>
      <w:r>
        <w:t>7. Automated vs. Manual Testing</w:t>
      </w:r>
    </w:p>
    <w:p>
      <w:pPr>
        <w:pStyle w:val="Heading2"/>
      </w:pPr>
      <w:r>
        <w:t>7.1 Automated Testing</w:t>
      </w:r>
    </w:p>
    <w:p>
      <w:r>
        <w:t>Advantages: repeatable execution, quick feedback, useful regression coverage, consistent results, and efficient execution of large test suites. Limitations: initial setup and maintenance cost, brittle tests when interfaces change, and inability to judge every usability issue. Suitable for unit tests, stable API checks, repeated regression scenarios, data validation, and CI pipelines.</w:t>
      </w:r>
    </w:p>
    <w:p>
      <w:pPr>
        <w:pStyle w:val="Heading2"/>
      </w:pPr>
      <w:r>
        <w:t>7.2 Manual Testing</w:t>
      </w:r>
    </w:p>
    <w:p>
      <w:r>
        <w:t>Advantages: flexible exploration, human judgment, usability assessment, and investigation of unexpected behavior. Limitations: slower repetition, risk of inconsistent execution, and difficulty scaling large repetitive suites. Suitable for exploratory testing, visual layout checks, accessibility/usability review, new features whose behavior is still changing, and one-off investigative scenarios.</w:t>
      </w:r>
    </w:p>
    <w:p>
      <w:r>
        <w:t>Recommended balance: automate stable, frequent, high-value checks; retain manual testing for exploratory work, human-centered assessment, and scenarios where automation cost exceeds its value. Both approaches complement each other.</w:t>
      </w:r>
    </w:p>
    <w:p>
      <w:pPr>
        <w:pStyle w:val="Heading1"/>
      </w:pPr>
      <w:r>
        <w:t>8. Defect Tracking and Resolution Process</w:t>
      </w:r>
    </w:p>
    <w:p>
      <w:pPr>
        <w:pStyle w:val="ListNumber"/>
      </w:pPr>
      <w:r>
        <w:t>Report: create a ticket in GitHub Issues or an approved defect tracker.</w:t>
      </w:r>
    </w:p>
    <w:p>
      <w:pPr>
        <w:pStyle w:val="ListNumber"/>
      </w:pPr>
      <w:r>
        <w:t>Document: include a clear title, environment/build, preconditions, reproducible steps, expected result, actual result, screenshots/logs where safe, severity, and priority.</w:t>
      </w:r>
    </w:p>
    <w:p>
      <w:pPr>
        <w:pStyle w:val="ListNumber"/>
      </w:pPr>
      <w:r>
        <w:t>Triage: confirm the defect, remove duplicates, assess impact and urgency, and assign an owner.</w:t>
      </w:r>
    </w:p>
    <w:p>
      <w:pPr>
        <w:pStyle w:val="ListNumber"/>
      </w:pPr>
      <w:r>
        <w:t>Fix: developer investigates, implements the change, and links the pull request to the ticket.</w:t>
      </w:r>
    </w:p>
    <w:p>
      <w:pPr>
        <w:pStyle w:val="ListNumber"/>
      </w:pPr>
      <w:r>
        <w:t>Verify: tester repeats the original steps and runs relevant regression tests.</w:t>
      </w:r>
    </w:p>
    <w:p>
      <w:pPr>
        <w:pStyle w:val="ListNumber"/>
      </w:pPr>
      <w:r>
        <w:t>Close or reopen: close only when the fix is verified; reopen if the issue persists. Record any accepted limitation and rationale.</w:t>
      </w:r>
    </w:p>
    <w:p>
      <w:pPr>
        <w:pStyle w:val="ListNumber"/>
      </w:pPr>
      <w:r>
        <w:t>Monitor: review open defects regularly and track age, severity, resolution time, and escaped defects.</w:t>
      </w:r>
    </w:p>
    <w:p>
      <w:r>
        <w:t>Suggested severity levels: Critical (system unusable, serious data/security impact), High (major feature broken), Medium (feature impaired with workaround), Low (minor issue or cosmetic defect). Priority should also consider business urgency and release timing.</w:t>
      </w:r>
    </w:p>
    <w:p>
      <w:pPr>
        <w:pStyle w:val="Heading1"/>
      </w:pPr>
      <w:r>
        <w:t>9. Code Review Process</w:t>
      </w:r>
    </w:p>
    <w:p>
      <w:pPr>
        <w:pStyle w:val="ListBullet"/>
      </w:pPr>
      <w:r>
        <w:t>Create a focused branch and pull request with a description, linked issue, and testing evidence.</w:t>
      </w:r>
    </w:p>
    <w:p>
      <w:pPr>
        <w:pStyle w:val="ListBullet"/>
      </w:pPr>
      <w:r>
        <w:t>Ensure automated checks pass before merging, including build, unit tests, and static analysis where available.</w:t>
      </w:r>
    </w:p>
    <w:p>
      <w:pPr>
        <w:pStyle w:val="ListBullet"/>
      </w:pPr>
      <w:r>
        <w:t>Reviewer checks correctness, readability, maintainability, error handling, security, data validation, and consistency with project conventions.</w:t>
      </w:r>
    </w:p>
    <w:p>
      <w:pPr>
        <w:pStyle w:val="ListBullet"/>
      </w:pPr>
      <w:r>
        <w:t>Request changes with specific explanations; the author responds and updates the code.</w:t>
      </w:r>
    </w:p>
    <w:p>
      <w:pPr>
        <w:pStyle w:val="ListBullet"/>
      </w:pPr>
      <w:r>
        <w:t>Require approval from at least one qualified reviewer for ordinary changes, with additional review for sensitive or high-risk changes where feasible.</w:t>
      </w:r>
    </w:p>
    <w:p>
      <w:pPr>
        <w:pStyle w:val="ListBullet"/>
      </w:pPr>
      <w:r>
        <w:t>Merge only after required approvals and checks pass; retain the pull request history for traceability.</w:t>
      </w:r>
    </w:p>
    <w:p>
      <w:r>
        <w:t>Code review reduces defects by finding problems before release, shares knowledge, and helps maintain consistent design. It complements rather than replaces testing.</w:t>
      </w:r>
    </w:p>
    <w:p>
      <w:pPr>
        <w:pStyle w:val="Heading1"/>
      </w:pPr>
      <w:r>
        <w:t>10. Test Lifecycle and Release Criteria</w:t>
      </w:r>
    </w:p>
    <w:p>
      <w:pPr>
        <w:pStyle w:val="ListNumber"/>
      </w:pPr>
      <w:r>
        <w:t>Plan: review requirements, identify risks, define scope, responsibilities, environments, and acceptance criteria.</w:t>
      </w:r>
    </w:p>
    <w:p>
      <w:pPr>
        <w:pStyle w:val="ListNumber"/>
      </w:pPr>
      <w:r>
        <w:t>Design: map requirements to test cases and prepare controlled test data.</w:t>
      </w:r>
    </w:p>
    <w:p>
      <w:pPr>
        <w:pStyle w:val="ListNumber"/>
      </w:pPr>
      <w:r>
        <w:t>Execute: run unit, integration, system, and acceptance tests at appropriate stages; record evidence and defects.</w:t>
      </w:r>
    </w:p>
    <w:p>
      <w:pPr>
        <w:pStyle w:val="ListNumber"/>
      </w:pPr>
      <w:r>
        <w:t>Report: summarize execution status, coverage, defect severity, risks, and unresolved issues.</w:t>
      </w:r>
    </w:p>
    <w:p>
      <w:pPr>
        <w:pStyle w:val="ListNumber"/>
      </w:pPr>
      <w:r>
        <w:t>Release decision: require all critical workflows to pass, no open blocker/critical defects, agreed coverage targets to be met, and documented acceptance of residual risks.</w:t>
      </w:r>
    </w:p>
    <w:p>
      <w:pPr>
        <w:pStyle w:val="ListNumber"/>
      </w:pPr>
      <w:r>
        <w:t>Improve: review escaped defects and lessons learned; update tests and process to prevent recurrence.</w:t>
      </w:r>
    </w:p>
    <w:p>
      <w:pPr>
        <w:pStyle w:val="Heading1"/>
      </w:pPr>
      <w:r>
        <w:t>11. Risks and Mitigations</w:t>
      </w:r>
    </w:p>
    <w:tbl>
      <w:tblPr>
        <w:tblStyle w:val="LightShading-Accent1"/>
        <w:tblW w:type="auto" w:w="0"/>
        <w:tblLook w:firstColumn="1" w:firstRow="1" w:lastColumn="0" w:lastRow="0" w:noHBand="0" w:noVBand="1" w:val="04A0"/>
      </w:tblPr>
      <w:tblGrid>
        <w:gridCol w:w="4968"/>
        <w:gridCol w:w="4968"/>
      </w:tblGrid>
      <w:tr>
        <w:tc>
          <w:tcPr>
            <w:tcW w:type="dxa" w:w="4968"/>
          </w:tcPr>
          <w:p>
            <w:r>
              <w:t>Risk</w:t>
            </w:r>
          </w:p>
        </w:tc>
        <w:tc>
          <w:tcPr>
            <w:tcW w:type="dxa" w:w="4968"/>
          </w:tcPr>
          <w:p>
            <w:r>
              <w:t>Mitigation</w:t>
            </w:r>
          </w:p>
        </w:tc>
      </w:tr>
      <w:tr>
        <w:tc>
          <w:tcPr>
            <w:tcW w:type="dxa" w:w="4968"/>
          </w:tcPr>
          <w:p>
            <w:r>
              <w:t>Incomplete requirements</w:t>
            </w:r>
          </w:p>
        </w:tc>
        <w:tc>
          <w:tcPr>
            <w:tcW w:type="dxa" w:w="4968"/>
          </w:tcPr>
          <w:p>
            <w:r>
              <w:t>Clarify acceptance criteria with the project owner and map tests to requirements.</w:t>
            </w:r>
          </w:p>
        </w:tc>
      </w:tr>
      <w:tr>
        <w:tc>
          <w:tcPr>
            <w:tcW w:type="dxa" w:w="4968"/>
          </w:tcPr>
          <w:p>
            <w:r>
              <w:t>Unrealistic test data</w:t>
            </w:r>
          </w:p>
        </w:tc>
        <w:tc>
          <w:tcPr>
            <w:tcW w:type="dxa" w:w="4968"/>
          </w:tcPr>
          <w:p>
            <w:r>
              <w:t>Use representative, fictional data and include boundary and invalid values.</w:t>
            </w:r>
          </w:p>
        </w:tc>
      </w:tr>
      <w:tr>
        <w:tc>
          <w:tcPr>
            <w:tcW w:type="dxa" w:w="4968"/>
          </w:tcPr>
          <w:p>
            <w:r>
              <w:t>Late defect discovery</w:t>
            </w:r>
          </w:p>
        </w:tc>
        <w:tc>
          <w:tcPr>
            <w:tcW w:type="dxa" w:w="4968"/>
          </w:tcPr>
          <w:p>
            <w:r>
              <w:t>Run unit and integration tests early and test continuously during development.</w:t>
            </w:r>
          </w:p>
        </w:tc>
      </w:tr>
      <w:tr>
        <w:tc>
          <w:tcPr>
            <w:tcW w:type="dxa" w:w="4968"/>
          </w:tcPr>
          <w:p>
            <w:r>
              <w:t>Flaky automated tests</w:t>
            </w:r>
          </w:p>
        </w:tc>
        <w:tc>
          <w:tcPr>
            <w:tcW w:type="dxa" w:w="4968"/>
          </w:tcPr>
          <w:p>
            <w:r>
              <w:t>Stabilize test data and environments; investigate failures instead of routinely ignoring them.</w:t>
            </w:r>
          </w:p>
        </w:tc>
      </w:tr>
      <w:tr>
        <w:tc>
          <w:tcPr>
            <w:tcW w:type="dxa" w:w="4968"/>
          </w:tcPr>
          <w:p>
            <w:r>
              <w:t>Security or privacy exposure</w:t>
            </w:r>
          </w:p>
        </w:tc>
        <w:tc>
          <w:tcPr>
            <w:tcW w:type="dxa" w:w="4968"/>
          </w:tcPr>
          <w:p>
            <w:r>
              <w:t>Use least-privilege access, avoid secrets in repositories, and use synthetic test data.</w:t>
            </w:r>
          </w:p>
        </w:tc>
      </w:tr>
      <w:tr>
        <w:tc>
          <w:tcPr>
            <w:tcW w:type="dxa" w:w="4968"/>
          </w:tcPr>
          <w:p>
            <w:r>
              <w:t>Time constraints</w:t>
            </w:r>
          </w:p>
        </w:tc>
        <w:tc>
          <w:tcPr>
            <w:tcW w:type="dxa" w:w="4968"/>
          </w:tcPr>
          <w:p>
            <w:r>
              <w:t>Prioritize high-risk and core user workflows, then expand coverage according to risk.</w:t>
            </w:r>
          </w:p>
        </w:tc>
      </w:tr>
    </w:tbl>
    <w:p>
      <w:pPr>
        <w:pStyle w:val="Heading1"/>
      </w:pPr>
      <w:r>
        <w:t>12. Conclusion</w:t>
      </w:r>
    </w:p>
    <w:p>
      <w:r>
        <w:t>A structured testing and QA plan improves confidence that software behaves as expected and that defects are identified and resolved systematically. Combining multiple testing levels, realistic test cases, measurable quality indicators, appropriate automation, manual exploration, defect tracking, and code reviews supports a dependable development process. The sample plan must be tailored to the actual project, and all metrics and results should be reported honestly based on tests that have truly been executed.</w:t>
      </w:r>
    </w:p>
    <w:p>
      <w:pPr>
        <w:pStyle w:val="Heading1"/>
      </w:pPr>
      <w:r>
        <w:t>13. Public References</w:t>
      </w:r>
    </w:p>
    <w:p>
      <w:pPr>
        <w:pStyle w:val="ListBullet"/>
      </w:pPr>
      <w:r>
        <w:t>ISTQB, Certified Tester Foundation Level (CTFL) overview and syllabus: https://www.istqb.org/</w:t>
      </w:r>
    </w:p>
    <w:p>
      <w:pPr>
        <w:pStyle w:val="ListBullet"/>
      </w:pPr>
      <w:r>
        <w:t>Google Testing Blog, testing practices and test automation discussions: https://testing.googleblog.com/</w:t>
      </w:r>
    </w:p>
    <w:p>
      <w:pPr>
        <w:pStyle w:val="ListBullet"/>
      </w:pPr>
      <w:r>
        <w:t>GitHub Docs, About issues: https://docs.github.com/en/issues/tracking-your-work-with-issues/about-issues</w:t>
      </w:r>
    </w:p>
    <w:p>
      <w:pPr>
        <w:pStyle w:val="ListBullet"/>
      </w:pPr>
      <w:r>
        <w:t>GitHub Docs, About pull requests: https://docs.github.com/en/pull-requests/collaborating-with-pull-requests/proposing-changes-to-your-work-with-pull-requests/about-pull-requests</w:t>
      </w:r>
    </w:p>
    <w:p>
      <w:pPr>
        <w:pStyle w:val="ListBullet"/>
      </w:pPr>
      <w:r>
        <w:t>OWASP, Web Security Testing Guide: https://owasp.org/www-project-web-security-testing-guide/</w:t>
      </w:r>
    </w:p>
    <w:p>
      <w:pPr>
        <w:pStyle w:val="ListBullet"/>
      </w:pPr>
      <w:r>
        <w:t>ISO/IEC 25010, Systems and software quality models (standard overview): https://www.iso.org/standard/78176.html</w:t>
      </w:r>
    </w:p>
    <w:p>
      <w:r>
        <w:t>Customization note: This is a sample report based on an assumed Student Management System. Before submission, replace [Your Name] and [Insert Date], adapt the project description and modules to your assigned project, and do not claim tests were executed unless you have run them and recorded the actual results.</w:t>
      </w:r>
    </w:p>
    <w:sectPr w:rsidR="00FC693F" w:rsidRPr="0006063C" w:rsidSect="00034616">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