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/>
    <w:p/>
    <w:p/>
    <w:p>
      <w:r>
        <w:rPr>
          <w:rFonts w:ascii="Times New Roman" w:cs="Times New Roman" w:eastAsia="Times New Roman" w:hAnsi="Times New Roman"/>
          <w:sz w:val="24"/>
          <w:szCs w:val="24"/>
        </w:rPr>
        <w:t xml:space="preserve">Rai, Aditi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July 23, 2026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NYU ID: ar9598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CS-GA.2433-001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Database Systems Project Part II – Logical Schema Optimization and Unstructured Data Collection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Aditi Securities</w:t>
      </w:r>
    </w:p>
    <w:p/>
    <w:p/>
    <w:p/>
    <w:p>
      <w:r>
        <w:rPr>
          <w:rFonts w:ascii="Times New Roman" w:cs="Times New Roman" w:eastAsia="Times New Roman" w:hAnsi="Times New Roman"/>
          <w:sz w:val="24"/>
          <w:szCs w:val="24"/>
        </w:rPr>
        <w:t xml:space="preserve">Statement of Independent Effort: Aditi Rai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Total in points (100 points total): 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Professor’s Comments:</w:t>
      </w:r>
    </w:p>
    <w:p>
      <w:r>
        <w:br w:type="pag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Introduction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Part I of the project produced a documented entity-relationship model for Aditi Securities, an investment/brokerage firm, covering clients, accounts, advisors, securities, orders, trades, portfolios, compliance, and settlement. Part II extends that work by collecting unstructured data relevant to the firm's business, organizing it into a small data lake, optimizing the logical database schema so that structured and unstructured data are inter-related in a single hybrid model, describing the reference architecture that supports this hybrid data, and using a cloud platform to store the lake.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business goal of the lake is forecasting risk on the securities that clients hold. Where the sample study in the course material forecasts chronic diseases from health-related factors, Aditi Securities forecasts security and portfolio risk from market factors: price behavior, news sentiment, and risk factors disclosed by issuers in their SEC filings.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Data Lake and Datasets Collected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Three real datasets were collected, one structured and two unstructured, all keyed by ticker symbol so they can be related to the SECURITY table from Part I: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Daily price history (structured, CSV) from Yahoo Finance for three securities held by clients — AAPL, MSFT, and JPM — covering April 17 through July 15, 2026, with open, high, low, close, adjusted close, and volume.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Market news headlines (unstructured, JSON) from Yahoo Finance for AAPL, collected July 22, 2026: fourteen headlines with publisher, age, and related tickers. Headlines such as "'Magnificent 7' stocks erase $797 billion in market value" carry sentiment that is not available in any structured feed.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SEC EDGAR filing text (unstructured, TXT): the Risk Factors section (Item 1A) of Apple's Form 10-K for fiscal 2025, which discloses macroeconomic, tariff, supply-chain, and competition risks in narrative form.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lake is organized into two zones. The raw zone (datalake/raw/prices, /news, /filings) holds datasets exactly as collected; the curated zone (datalake/curated) holds data derived from the raw zone that is clean enough to load into the relational schema — here, security_signals.csv, which contains per-ticker signals such as news sentiment, risk-factor mentions, and three-month price return. A README.txt documents the layout.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Insights from the lake feed the EDA from Part I as follows: each raw document is cataloged as a row in the new LAKE_DOCUMENT table with a foreign key to SECURITY; signals extracted from those documents become rows in the new SECURITY_SIGNAL table. Because signals are keyed by Security_id, they join directly to HOLDING (which clients hold the security), to RISK_PROFILE through ACCOUNT (whether the holding still suits the client), and to COMPLIANCE_FLAG (a negative sentiment or new risk factor on a widely held security can automatically raise a suitability review). This is how unstructured content becomes decisions in the structured, operational side of the business without generating the insights themselves in this part of the project.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Logical Schema Generation and Optimization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logical schema was generated from the Part I conceptual model in MySQL Workbench, with MySQL as the target database system (Database &gt; Forward Engineer on the Part I model produces the DDL; the Part I script aditi_securities.sql is that logical schema). The optimization steps and their reasoning are: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1 — Normalization. The Part I schema is in third normal form: every non-key attribute is fully functionally dependent on its whole key (no partial dependencies on the composite keys of HOLDING, PORTFOLIO_VALUATION, or CLIENT_ADVISOR_ASSIGNMENT), and there are no transitive dependencies, because facts such as firm/branch details, issuer details, and risk information live in their own tables and are referenced by foreign key. No further decomposition was required.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2 — Extension for hybrid data. Two tables were added (part2_schema_extension.sql). LAKE_DOCUMENT catalogs every object in the lake — source, type, format, storage URI, and collection date — with an optional foreign key to SECURITY; the unique Storage_uri prevents duplicate registration, and holding only metadata in the RDBMS while content stays in the lake keeps the lake from becoming a data swamp. SECURITY_SIGNAL stores the insights derived from those documents as one row per security, document, date, and signal type, with foreign keys to both SECURITY and LAKE_DOCUMENT so that every signal is traceable to the exact document it came from (data lineage). Both new tables are themselves in 3NF.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3 — Physical considerations. Signals are numeric (DECIMAL) rather than free text so they can be indexed and aggregated; the unique constraint on (Security_id, Document_id, Signal_date, Signal_type) makes signal loads idempotent, so re-running ETL does not duplicate rows.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Reference Architecture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end-to-end architecture that lets Aditi Securities leverage hybrid data is shown below. External sources (Yahoo Finance, SEC EDGAR) are ingested into the raw zone of a cloud data lake; ETL cleanses and derives signals into the curated zone; curated signals are loaded into the MySQL database, where the Part I schema acts as the Transactional Data Store and the two link tables tie lake content to the operational entities. Reporting and analytics — suitability reviews, portfolio risk — read from the combined structured and hybrid tables. Governance (metadata management via LAKE_DOCUMENT, data quality checks in ETL, retention standards for aging raw files, and access control) spans all layers, consistent with the DIKW governance goals in the project background.</w:t>
      </w:r>
    </w:p>
    <w:p>
      <w:pPr>
        <w:spacing w:after="120"/>
      </w:pPr>
      <w:r>
        <w:drawing>
          <wp:inline distT="0" distB="0" distL="0" distR="0">
            <wp:extent cx="5943600" cy="1514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Cloud Storage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data lake is stored in Microsoft Azure Blob Storage. A storage account was created with a container named aditi-datalake, and the datalake folder (raw and curated zones) was uploaded preserving the folder structure, so the Storage_uri values in LAKE_DOCUMENT resolve to blob paths. Azure Blob Storage was chosen because it is object storage priced for exactly this workload: cheap for rarely rewritten raw files, supports folder-like prefixes matching the zone layout, and integrates with Azure analytics services if the firm later builds machine-learning models on the lake. The screenshot below shows the container with the uploaded lake.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[Insert your Azure portal screenshot here after uploading the datalake folder — see the steps in the submission notes.]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Files in the Archive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report; the data lake (datalake folder with raw and curated zones and README); the logical schema from Part I (aditi_securities.sql) and its Part II extension (part2_schema_extension.sql); and the reference architecture diagram (part2_reference_architecture.png).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60347ee9b6804a4b53994a0f027ec6ce99305f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2026-07-23T21:43:49.044Z</dcterms:created>
  <dcterms:modified xsi:type="dcterms:W3CDTF">2026-07-23T21:43:49.045Z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