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9FCBF" w14:textId="77777777" w:rsidR="001A47FF" w:rsidRPr="001A47FF" w:rsidRDefault="001A47FF">
      <w:pPr>
        <w:rPr>
          <w:rFonts w:ascii="Calibri" w:hAnsi="Calibri" w:cs="Calibri"/>
          <w:sz w:val="22"/>
          <w:szCs w:val="22"/>
          <w:lang w:val="en-US"/>
        </w:rPr>
      </w:pPr>
    </w:p>
    <w:p w14:paraId="2FC3BDB5" w14:textId="77777777" w:rsidR="001A47FF" w:rsidRPr="001A47FF" w:rsidRDefault="001A47FF">
      <w:pPr>
        <w:rPr>
          <w:rFonts w:ascii="Calibri" w:hAnsi="Calibri" w:cs="Calibri"/>
          <w:sz w:val="22"/>
          <w:szCs w:val="22"/>
          <w:lang w:val="en-US"/>
        </w:rPr>
      </w:pPr>
    </w:p>
    <w:p w14:paraId="6A0EBE79" w14:textId="77777777" w:rsidR="001A47FF" w:rsidRPr="001A47FF" w:rsidRDefault="001A47FF">
      <w:pPr>
        <w:rPr>
          <w:rFonts w:ascii="Calibri" w:hAnsi="Calibri" w:cs="Calibri"/>
          <w:sz w:val="22"/>
          <w:szCs w:val="22"/>
          <w:lang w:val="en-US"/>
        </w:rPr>
      </w:pPr>
    </w:p>
    <w:p w14:paraId="799EAB3D" w14:textId="77777777" w:rsidR="001A47FF" w:rsidRPr="001A47FF" w:rsidRDefault="001A47FF">
      <w:pPr>
        <w:rPr>
          <w:rFonts w:ascii="Calibri" w:hAnsi="Calibri" w:cs="Calibri"/>
          <w:sz w:val="22"/>
          <w:szCs w:val="22"/>
          <w:lang w:val="en-US"/>
        </w:rPr>
      </w:pPr>
    </w:p>
    <w:p w14:paraId="6E7A04C2" w14:textId="77777777" w:rsidR="001A47FF" w:rsidRPr="001A47FF" w:rsidRDefault="001A47FF">
      <w:pPr>
        <w:rPr>
          <w:rFonts w:ascii="Calibri" w:hAnsi="Calibri" w:cs="Calibri"/>
          <w:sz w:val="22"/>
          <w:szCs w:val="22"/>
          <w:lang w:val="en-US"/>
        </w:rPr>
      </w:pPr>
    </w:p>
    <w:p w14:paraId="065578F7" w14:textId="77777777" w:rsidR="001A47FF" w:rsidRPr="001A47FF" w:rsidRDefault="001A47FF">
      <w:pPr>
        <w:rPr>
          <w:rFonts w:ascii="Calibri" w:hAnsi="Calibri" w:cs="Calibri"/>
          <w:sz w:val="22"/>
          <w:szCs w:val="22"/>
          <w:lang w:val="en-US"/>
        </w:rPr>
      </w:pPr>
    </w:p>
    <w:p w14:paraId="78381377" w14:textId="77777777" w:rsidR="001A47FF" w:rsidRPr="001A47FF" w:rsidRDefault="001A47FF">
      <w:pPr>
        <w:rPr>
          <w:rFonts w:ascii="Calibri" w:hAnsi="Calibri" w:cs="Calibri"/>
          <w:sz w:val="22"/>
          <w:szCs w:val="22"/>
          <w:lang w:val="en-US"/>
        </w:rPr>
      </w:pPr>
    </w:p>
    <w:p w14:paraId="7FAF237C" w14:textId="77777777" w:rsidR="001A47FF" w:rsidRPr="001A47FF" w:rsidRDefault="001A47FF">
      <w:pPr>
        <w:rPr>
          <w:rFonts w:ascii="Calibri" w:hAnsi="Calibri" w:cs="Calibri"/>
          <w:sz w:val="22"/>
          <w:szCs w:val="22"/>
          <w:lang w:val="en-US"/>
        </w:rPr>
      </w:pPr>
    </w:p>
    <w:p w14:paraId="4F632C71" w14:textId="77777777" w:rsidR="001A47FF" w:rsidRPr="001A47FF" w:rsidRDefault="001A47FF">
      <w:pPr>
        <w:rPr>
          <w:rFonts w:ascii="Calibri" w:hAnsi="Calibri" w:cs="Calibri"/>
          <w:sz w:val="22"/>
          <w:szCs w:val="22"/>
          <w:lang w:val="en-US"/>
        </w:rPr>
      </w:pPr>
    </w:p>
    <w:p w14:paraId="43C790F2" w14:textId="77777777" w:rsidR="001A47FF" w:rsidRPr="001A47FF" w:rsidRDefault="001A47FF">
      <w:pPr>
        <w:rPr>
          <w:rFonts w:ascii="Calibri" w:hAnsi="Calibri" w:cs="Calibri"/>
          <w:sz w:val="22"/>
          <w:szCs w:val="22"/>
          <w:lang w:val="en-US"/>
        </w:rPr>
      </w:pPr>
    </w:p>
    <w:p w14:paraId="4207A587" w14:textId="77777777" w:rsidR="001A47FF" w:rsidRPr="001A47FF" w:rsidRDefault="001A47FF">
      <w:pPr>
        <w:rPr>
          <w:rFonts w:ascii="Calibri" w:hAnsi="Calibri" w:cs="Calibri"/>
          <w:sz w:val="22"/>
          <w:szCs w:val="22"/>
          <w:lang w:val="en-US"/>
        </w:rPr>
      </w:pPr>
    </w:p>
    <w:p w14:paraId="78557140" w14:textId="77777777" w:rsidR="001A47FF" w:rsidRPr="001A47FF" w:rsidRDefault="001A47FF">
      <w:pPr>
        <w:rPr>
          <w:rFonts w:ascii="Calibri" w:hAnsi="Calibri" w:cs="Calibri"/>
          <w:sz w:val="22"/>
          <w:szCs w:val="22"/>
          <w:lang w:val="en-US"/>
        </w:rPr>
      </w:pPr>
    </w:p>
    <w:p w14:paraId="2BCF816C" w14:textId="77777777" w:rsidR="001A47FF" w:rsidRPr="001A47FF" w:rsidRDefault="001A47FF">
      <w:pPr>
        <w:rPr>
          <w:rFonts w:ascii="Calibri" w:hAnsi="Calibri" w:cs="Calibri"/>
          <w:sz w:val="22"/>
          <w:szCs w:val="22"/>
          <w:lang w:val="en-US"/>
        </w:rPr>
      </w:pPr>
    </w:p>
    <w:p w14:paraId="7282F138" w14:textId="77777777" w:rsidR="00227708" w:rsidRDefault="00227708">
      <w:pPr>
        <w:pStyle w:val="Title"/>
        <w:rPr>
          <w:lang w:eastAsia="en-AE"/>
        </w:rPr>
      </w:pPr>
      <w:r>
        <w:t>Data Centre Infrastructure</w:t>
      </w:r>
    </w:p>
    <w:p w14:paraId="7D194D05" w14:textId="77777777" w:rsidR="00227708" w:rsidRPr="005E61D8" w:rsidRDefault="00227708">
      <w:pPr>
        <w:pStyle w:val="Subtitle"/>
        <w:rPr>
          <w:rFonts w:asciiTheme="majorHAnsi" w:hAnsiTheme="majorHAnsi"/>
          <w:lang w:eastAsia="en-AE"/>
        </w:rPr>
      </w:pPr>
      <w:r w:rsidRPr="005E61D8">
        <w:rPr>
          <w:rFonts w:asciiTheme="majorHAnsi" w:hAnsiTheme="majorHAnsi"/>
        </w:rPr>
        <w:t>Industry outlook, supply-chain dynamics and long-term cooling investment thesis</w:t>
      </w:r>
    </w:p>
    <w:p w14:paraId="12D57C66" w14:textId="09DEE991" w:rsidR="00227708" w:rsidRDefault="005E61D8">
      <w:pPr>
        <w:spacing w:after="360"/>
        <w:jc w:val="left"/>
        <w:rPr>
          <w:color w:val="64748B"/>
          <w:sz w:val="18"/>
          <w:szCs w:val="18"/>
        </w:rPr>
      </w:pPr>
      <w:r>
        <w:rPr>
          <w:color w:val="64748B"/>
          <w:sz w:val="18"/>
          <w:szCs w:val="18"/>
        </w:rPr>
        <w:t>BY: ADITI RAO | SEPTEMBER</w:t>
      </w:r>
      <w:r w:rsidR="00227708">
        <w:rPr>
          <w:color w:val="64748B"/>
          <w:sz w:val="18"/>
          <w:szCs w:val="18"/>
        </w:rPr>
        <w:t xml:space="preserve"> 2026</w:t>
      </w:r>
    </w:p>
    <w:p w14:paraId="657C1F4A" w14:textId="77777777" w:rsidR="005E61D8" w:rsidRDefault="005E61D8">
      <w:pPr>
        <w:spacing w:after="360"/>
        <w:jc w:val="left"/>
        <w:rPr>
          <w:color w:val="64748B"/>
          <w:sz w:val="18"/>
          <w:szCs w:val="18"/>
        </w:rPr>
      </w:pPr>
    </w:p>
    <w:p w14:paraId="7766DD1C" w14:textId="77777777" w:rsidR="005E61D8" w:rsidRDefault="005E61D8">
      <w:pPr>
        <w:spacing w:after="360"/>
        <w:jc w:val="left"/>
        <w:rPr>
          <w:color w:val="64748B"/>
          <w:sz w:val="18"/>
          <w:szCs w:val="18"/>
        </w:rPr>
      </w:pPr>
    </w:p>
    <w:p w14:paraId="129E9905" w14:textId="77777777" w:rsidR="005E61D8" w:rsidRDefault="005E61D8">
      <w:pPr>
        <w:spacing w:after="360"/>
        <w:jc w:val="left"/>
        <w:rPr>
          <w:color w:val="64748B"/>
          <w:sz w:val="18"/>
          <w:szCs w:val="18"/>
        </w:rPr>
      </w:pPr>
    </w:p>
    <w:p w14:paraId="4C9BBEFE" w14:textId="77777777" w:rsidR="005E61D8" w:rsidRDefault="005E61D8">
      <w:pPr>
        <w:spacing w:after="360"/>
        <w:jc w:val="left"/>
        <w:rPr>
          <w:color w:val="64748B"/>
          <w:sz w:val="18"/>
          <w:szCs w:val="18"/>
        </w:rPr>
      </w:pPr>
    </w:p>
    <w:p w14:paraId="6F83F293" w14:textId="77777777" w:rsidR="005E61D8" w:rsidRDefault="005E61D8">
      <w:pPr>
        <w:spacing w:after="360"/>
        <w:jc w:val="left"/>
        <w:rPr>
          <w:color w:val="64748B"/>
          <w:sz w:val="18"/>
          <w:szCs w:val="18"/>
        </w:rPr>
      </w:pPr>
    </w:p>
    <w:p w14:paraId="2E281022" w14:textId="77777777" w:rsidR="005E61D8" w:rsidRDefault="005E61D8">
      <w:pPr>
        <w:spacing w:after="360"/>
        <w:jc w:val="left"/>
        <w:rPr>
          <w:color w:val="64748B"/>
          <w:sz w:val="18"/>
          <w:szCs w:val="18"/>
        </w:rPr>
      </w:pPr>
    </w:p>
    <w:p w14:paraId="5748F755" w14:textId="77777777" w:rsidR="005E61D8" w:rsidRDefault="005E61D8">
      <w:pPr>
        <w:spacing w:after="360"/>
        <w:jc w:val="left"/>
        <w:rPr>
          <w:color w:val="64748B"/>
          <w:sz w:val="18"/>
          <w:szCs w:val="18"/>
          <w:lang w:eastAsia="en-AE"/>
        </w:rPr>
      </w:pPr>
    </w:p>
    <w:p w14:paraId="3E87B318" w14:textId="77777777" w:rsidR="005E61D8" w:rsidRDefault="005E61D8">
      <w:pPr>
        <w:spacing w:after="360"/>
        <w:jc w:val="left"/>
        <w:rPr>
          <w:color w:val="64748B"/>
          <w:sz w:val="18"/>
          <w:szCs w:val="18"/>
          <w:lang w:eastAsia="en-AE"/>
        </w:rPr>
      </w:pPr>
    </w:p>
    <w:p w14:paraId="2D27C6E1" w14:textId="77777777" w:rsidR="008148F7" w:rsidRDefault="007D525C" w:rsidP="00655AC3">
      <w:pPr>
        <w:pStyle w:val="Heading1"/>
        <w:rPr>
          <w:rFonts w:ascii="Calibri" w:hAnsi="Calibri" w:cs="Calibri"/>
          <w:sz w:val="22"/>
          <w:szCs w:val="22"/>
        </w:rPr>
      </w:pPr>
      <w:r w:rsidRPr="00655AC3">
        <w:rPr>
          <w:rFonts w:cstheme="minorBidi"/>
        </w:rPr>
        <w:lastRenderedPageBreak/>
        <w:t>Industry &amp; Growth</w:t>
      </w:r>
    </w:p>
    <w:p w14:paraId="252BAB87" w14:textId="1CDC8953" w:rsidR="001A47FF" w:rsidRPr="00C55886" w:rsidRDefault="001A47FF" w:rsidP="001A47FF">
      <w:pPr>
        <w:rPr>
          <w:rFonts w:ascii="Calibri" w:hAnsi="Calibri" w:cs="Calibri"/>
          <w:sz w:val="22"/>
          <w:szCs w:val="22"/>
          <w:lang w:val="en-US"/>
        </w:rPr>
      </w:pPr>
      <w:r w:rsidRPr="001A47FF">
        <w:rPr>
          <w:rFonts w:ascii="Calibri" w:hAnsi="Calibri" w:cs="Calibri"/>
          <w:sz w:val="22"/>
          <w:szCs w:val="22"/>
          <w:lang w:val="en-US"/>
        </w:rPr>
        <w:t xml:space="preserve">Data centers evolved from just having to gather and store massive amounts of data to effectively handling cloud computing and internet traffic. Today, they enable the use of AI </w:t>
      </w:r>
      <w:r w:rsidRPr="00C55886">
        <w:rPr>
          <w:rFonts w:ascii="Calibri" w:hAnsi="Calibri" w:cs="Calibri"/>
          <w:sz w:val="22"/>
          <w:szCs w:val="22"/>
          <w:lang w:val="en-US"/>
        </w:rPr>
        <w:t>and its integration across multiple fields.</w:t>
      </w:r>
    </w:p>
    <w:p w14:paraId="5488E276" w14:textId="574DB4E4" w:rsidR="00766553" w:rsidRDefault="001A47FF" w:rsidP="001A47FF">
      <w:pPr>
        <w:rPr>
          <w:rFonts w:ascii="Calibri" w:hAnsi="Calibri" w:cs="Calibri"/>
          <w:color w:val="000000" w:themeColor="text1"/>
          <w:sz w:val="22"/>
          <w:szCs w:val="22"/>
        </w:rPr>
      </w:pPr>
      <w:r w:rsidRPr="00C55886">
        <w:rPr>
          <w:rFonts w:ascii="Calibri" w:hAnsi="Calibri" w:cs="Calibri"/>
          <w:color w:val="000000" w:themeColor="text1"/>
          <w:sz w:val="22"/>
          <w:szCs w:val="22"/>
        </w:rPr>
        <w:t xml:space="preserve"> </w:t>
      </w:r>
      <w:r w:rsidR="00C55886" w:rsidRPr="00C55886">
        <w:rPr>
          <w:rFonts w:ascii="Calibri" w:hAnsi="Calibri" w:cs="Calibri"/>
          <w:color w:val="000000" w:themeColor="text1"/>
          <w:sz w:val="22"/>
          <w:szCs w:val="22"/>
        </w:rPr>
        <w:t>International Energy Agency (</w:t>
      </w:r>
      <w:r w:rsidRPr="00C55886">
        <w:rPr>
          <w:rFonts w:ascii="Calibri" w:hAnsi="Calibri" w:cs="Calibri"/>
          <w:color w:val="000000" w:themeColor="text1"/>
          <w:sz w:val="22"/>
          <w:szCs w:val="22"/>
        </w:rPr>
        <w:t>IEA</w:t>
      </w:r>
      <w:r w:rsidR="00C55886" w:rsidRPr="00C55886">
        <w:rPr>
          <w:rFonts w:ascii="Calibri" w:hAnsi="Calibri" w:cs="Calibri"/>
          <w:color w:val="000000" w:themeColor="text1"/>
          <w:sz w:val="22"/>
          <w:szCs w:val="22"/>
        </w:rPr>
        <w:t>)</w:t>
      </w:r>
      <w:r w:rsidRPr="00C55886">
        <w:rPr>
          <w:rFonts w:ascii="Calibri" w:hAnsi="Calibri" w:cs="Calibri"/>
          <w:color w:val="000000" w:themeColor="text1"/>
          <w:sz w:val="22"/>
          <w:szCs w:val="22"/>
        </w:rPr>
        <w:t xml:space="preserve"> has </w:t>
      </w:r>
      <w:r w:rsidR="00C55886" w:rsidRPr="00C55886">
        <w:rPr>
          <w:rFonts w:ascii="Calibri" w:hAnsi="Calibri" w:cs="Calibri"/>
          <w:color w:val="000000" w:themeColor="text1"/>
          <w:sz w:val="22"/>
          <w:szCs w:val="22"/>
        </w:rPr>
        <w:t>projected annual</w:t>
      </w:r>
      <w:r w:rsidRPr="00C55886">
        <w:rPr>
          <w:rFonts w:ascii="Calibri" w:hAnsi="Calibri" w:cs="Calibri"/>
          <w:color w:val="000000" w:themeColor="text1"/>
          <w:sz w:val="22"/>
          <w:szCs w:val="22"/>
        </w:rPr>
        <w:t> global data centre power consumption to reach roughly 945TWh by 2030 – more than double today's levels consuming 485 TWh.</w:t>
      </w:r>
      <w:r w:rsidRPr="00C55886">
        <w:rPr>
          <w:rStyle w:val="FootnoteReference"/>
          <w:rFonts w:ascii="Calibri" w:hAnsi="Calibri" w:cs="Calibri"/>
          <w:color w:val="000000" w:themeColor="text1"/>
          <w:sz w:val="22"/>
          <w:szCs w:val="22"/>
        </w:rPr>
        <w:footnoteReference w:id="1"/>
      </w:r>
      <w:r w:rsidR="00C55886" w:rsidRPr="00C55886">
        <w:rPr>
          <w:rFonts w:ascii="Calibri" w:hAnsi="Calibri" w:cs="Calibri"/>
          <w:color w:val="000000" w:themeColor="text1"/>
          <w:sz w:val="22"/>
          <w:szCs w:val="22"/>
        </w:rPr>
        <w:t xml:space="preserve"> Estimates by McKinsey show, global spending on data centres could reach $7 trillion by 2030</w:t>
      </w:r>
      <w:r w:rsidR="00C55886" w:rsidRPr="00C55886">
        <w:rPr>
          <w:rStyle w:val="FootnoteReference"/>
          <w:rFonts w:ascii="Calibri" w:hAnsi="Calibri" w:cs="Calibri"/>
          <w:color w:val="000000" w:themeColor="text1"/>
          <w:sz w:val="22"/>
          <w:szCs w:val="22"/>
        </w:rPr>
        <w:footnoteReference w:id="2"/>
      </w:r>
      <w:r w:rsidR="00C55886" w:rsidRPr="00C55886">
        <w:rPr>
          <w:rFonts w:ascii="Calibri" w:hAnsi="Calibri" w:cs="Calibri"/>
          <w:color w:val="000000" w:themeColor="text1"/>
          <w:sz w:val="22"/>
          <w:szCs w:val="22"/>
        </w:rPr>
        <w:t>. Combined 2026 capital expenditure guidance across the four largest hyperscale’s has climbed to US$720bn-745bn following the latest earnings calls, reinforcing expectations that AI infrastructure investment continues to accelerate</w:t>
      </w:r>
      <w:r w:rsidR="00C55886" w:rsidRPr="00C55886">
        <w:rPr>
          <w:rStyle w:val="FootnoteReference"/>
          <w:rFonts w:ascii="Calibri" w:hAnsi="Calibri" w:cs="Calibri"/>
          <w:color w:val="000000" w:themeColor="text1"/>
          <w:sz w:val="22"/>
          <w:szCs w:val="22"/>
        </w:rPr>
        <w:footnoteReference w:id="3"/>
      </w:r>
      <w:r w:rsidR="00C55886" w:rsidRPr="00C55886">
        <w:rPr>
          <w:rFonts w:ascii="Calibri" w:hAnsi="Calibri" w:cs="Calibri"/>
          <w:color w:val="000000" w:themeColor="text1"/>
          <w:sz w:val="22"/>
          <w:szCs w:val="22"/>
        </w:rPr>
        <w:t>.</w:t>
      </w:r>
      <w:r w:rsidR="00347B09">
        <w:rPr>
          <w:rFonts w:ascii="Calibri" w:hAnsi="Calibri" w:cs="Calibri"/>
          <w:color w:val="000000" w:themeColor="text1"/>
          <w:sz w:val="22"/>
          <w:szCs w:val="22"/>
        </w:rPr>
        <w:t xml:space="preserve">All of the evidence points to a rapidly expanding sector, powered by widespread use of AI in various industries, estimating doubling of the industry’s scale over the next 5 years. </w:t>
      </w:r>
    </w:p>
    <w:tbl>
      <w:tblPr>
        <w:tblStyle w:val="PlainTable1"/>
        <w:tblW w:w="5000" w:type="pct"/>
        <w:tblLook w:val="04A0" w:firstRow="1" w:lastRow="0" w:firstColumn="1" w:lastColumn="0" w:noHBand="0" w:noVBand="1"/>
      </w:tblPr>
      <w:tblGrid>
        <w:gridCol w:w="3213"/>
        <w:gridCol w:w="3213"/>
        <w:gridCol w:w="3310"/>
      </w:tblGrid>
      <w:tr w:rsidR="00EB35F9" w14:paraId="3179931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0" w:type="pct"/>
            <w:tcBorders>
              <w:top w:val="single" w:sz="24" w:space="0" w:color="2AA6A1"/>
            </w:tcBorders>
            <w:shd w:val="clear" w:color="auto" w:fill="F4F8FA"/>
            <w:hideMark/>
          </w:tcPr>
          <w:p w14:paraId="068F1740" w14:textId="77777777" w:rsidR="00EB35F9" w:rsidRDefault="00EB35F9">
            <w:pPr>
              <w:jc w:val="left"/>
              <w:rPr>
                <w:color w:val="64748B"/>
                <w:sz w:val="16"/>
                <w:szCs w:val="16"/>
                <w:lang w:eastAsia="en-AE"/>
              </w:rPr>
            </w:pPr>
            <w:r>
              <w:rPr>
                <w:color w:val="64748B"/>
                <w:sz w:val="16"/>
                <w:szCs w:val="16"/>
              </w:rPr>
              <w:t>POWER DEMAND</w:t>
            </w:r>
          </w:p>
          <w:p w14:paraId="3A7B946B" w14:textId="77777777" w:rsidR="00EB35F9" w:rsidRDefault="00EB35F9">
            <w:pPr>
              <w:jc w:val="left"/>
              <w:rPr>
                <w:color w:val="123B5D"/>
                <w:sz w:val="38"/>
                <w:szCs w:val="38"/>
              </w:rPr>
            </w:pPr>
            <w:r>
              <w:rPr>
                <w:color w:val="123B5D"/>
                <w:sz w:val="38"/>
                <w:szCs w:val="38"/>
              </w:rPr>
              <w:t>945 TWh</w:t>
            </w:r>
          </w:p>
          <w:p w14:paraId="31F9A01E" w14:textId="77777777" w:rsidR="00EB35F9" w:rsidRDefault="00EB35F9">
            <w:pPr>
              <w:jc w:val="left"/>
              <w:rPr>
                <w:color w:val="64748B"/>
                <w:sz w:val="18"/>
                <w:szCs w:val="18"/>
              </w:rPr>
            </w:pPr>
            <w:r>
              <w:rPr>
                <w:color w:val="64748B"/>
                <w:sz w:val="18"/>
                <w:szCs w:val="18"/>
              </w:rPr>
              <w:t>by 2030 · from 485 TWh today</w:t>
            </w:r>
          </w:p>
        </w:tc>
        <w:tc>
          <w:tcPr>
            <w:tcW w:w="1650" w:type="pct"/>
            <w:tcBorders>
              <w:top w:val="single" w:sz="24" w:space="0" w:color="2AA6A1"/>
            </w:tcBorders>
            <w:shd w:val="clear" w:color="auto" w:fill="F4F8FA"/>
            <w:hideMark/>
          </w:tcPr>
          <w:p w14:paraId="5080712B" w14:textId="77777777" w:rsidR="00EB35F9" w:rsidRDefault="00EB35F9">
            <w:pPr>
              <w:jc w:val="left"/>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GLOBAL SPEND</w:t>
            </w:r>
          </w:p>
          <w:p w14:paraId="6A826964" w14:textId="77777777" w:rsidR="00EB35F9" w:rsidRDefault="00EB35F9">
            <w:pPr>
              <w:jc w:val="left"/>
              <w:cnfStyle w:val="100000000000" w:firstRow="1" w:lastRow="0" w:firstColumn="0" w:lastColumn="0" w:oddVBand="0" w:evenVBand="0" w:oddHBand="0" w:evenHBand="0" w:firstRowFirstColumn="0" w:firstRowLastColumn="0" w:lastRowFirstColumn="0" w:lastRowLastColumn="0"/>
              <w:rPr>
                <w:color w:val="123B5D"/>
                <w:sz w:val="38"/>
                <w:szCs w:val="38"/>
              </w:rPr>
            </w:pPr>
            <w:r>
              <w:rPr>
                <w:color w:val="123B5D"/>
                <w:sz w:val="38"/>
                <w:szCs w:val="38"/>
              </w:rPr>
              <w:t>US$7tn</w:t>
            </w:r>
          </w:p>
          <w:p w14:paraId="28121B50" w14:textId="77777777" w:rsidR="00EB35F9" w:rsidRDefault="00EB35F9">
            <w:pPr>
              <w:jc w:val="left"/>
              <w:cnfStyle w:val="100000000000" w:firstRow="1" w:lastRow="0" w:firstColumn="0" w:lastColumn="0" w:oddVBand="0" w:evenVBand="0" w:oddHBand="0" w:evenHBand="0" w:firstRowFirstColumn="0" w:firstRowLastColumn="0" w:lastRowFirstColumn="0" w:lastRowLastColumn="0"/>
              <w:rPr>
                <w:color w:val="64748B"/>
                <w:sz w:val="18"/>
                <w:szCs w:val="18"/>
              </w:rPr>
            </w:pPr>
            <w:r>
              <w:rPr>
                <w:color w:val="64748B"/>
                <w:sz w:val="18"/>
                <w:szCs w:val="18"/>
              </w:rPr>
              <w:t>potential cumulative spend by 2030</w:t>
            </w:r>
          </w:p>
        </w:tc>
        <w:tc>
          <w:tcPr>
            <w:tcW w:w="1700" w:type="pct"/>
            <w:tcBorders>
              <w:top w:val="single" w:sz="24" w:space="0" w:color="2AA6A1"/>
            </w:tcBorders>
            <w:shd w:val="clear" w:color="auto" w:fill="F4F8FA"/>
            <w:hideMark/>
          </w:tcPr>
          <w:p w14:paraId="59AE9AD0" w14:textId="77777777" w:rsidR="00EB35F9" w:rsidRDefault="00EB35F9">
            <w:pPr>
              <w:jc w:val="left"/>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2026 HYPERSCALER CAPEX</w:t>
            </w:r>
          </w:p>
          <w:p w14:paraId="1A75F3BC" w14:textId="77777777" w:rsidR="00EB35F9" w:rsidRDefault="00EB35F9">
            <w:pPr>
              <w:jc w:val="left"/>
              <w:cnfStyle w:val="100000000000" w:firstRow="1" w:lastRow="0" w:firstColumn="0" w:lastColumn="0" w:oddVBand="0" w:evenVBand="0" w:oddHBand="0" w:evenHBand="0" w:firstRowFirstColumn="0" w:firstRowLastColumn="0" w:lastRowFirstColumn="0" w:lastRowLastColumn="0"/>
              <w:rPr>
                <w:color w:val="123B5D"/>
                <w:sz w:val="38"/>
                <w:szCs w:val="38"/>
              </w:rPr>
            </w:pPr>
            <w:r>
              <w:rPr>
                <w:color w:val="123B5D"/>
                <w:sz w:val="38"/>
                <w:szCs w:val="38"/>
              </w:rPr>
              <w:t>US$720–745bn</w:t>
            </w:r>
          </w:p>
          <w:p w14:paraId="3A14226D" w14:textId="77777777" w:rsidR="00EB35F9" w:rsidRDefault="00EB35F9">
            <w:pPr>
              <w:jc w:val="left"/>
              <w:cnfStyle w:val="100000000000" w:firstRow="1" w:lastRow="0" w:firstColumn="0" w:lastColumn="0" w:oddVBand="0" w:evenVBand="0" w:oddHBand="0" w:evenHBand="0" w:firstRowFirstColumn="0" w:firstRowLastColumn="0" w:lastRowFirstColumn="0" w:lastRowLastColumn="0"/>
              <w:rPr>
                <w:color w:val="64748B"/>
                <w:sz w:val="18"/>
                <w:szCs w:val="18"/>
              </w:rPr>
            </w:pPr>
            <w:r>
              <w:rPr>
                <w:color w:val="64748B"/>
                <w:sz w:val="18"/>
                <w:szCs w:val="18"/>
              </w:rPr>
              <w:t>guidance across the four largest hyperscalers</w:t>
            </w:r>
          </w:p>
        </w:tc>
      </w:tr>
    </w:tbl>
    <w:p w14:paraId="40CB4CB1" w14:textId="77777777" w:rsidR="00EA512A" w:rsidRDefault="00EA512A" w:rsidP="00EA512A">
      <w:pPr>
        <w:pStyle w:val="Heading2"/>
        <w:rPr>
          <w:rFonts w:cstheme="minorBidi"/>
          <w:lang w:eastAsia="en-AE"/>
        </w:rPr>
      </w:pPr>
      <w:r>
        <w:rPr>
          <w:rFonts w:ascii="Calibri" w:hAnsi="Calibri" w:cs="Calibri"/>
          <w:b/>
          <w:bCs/>
          <w:color w:val="000000"/>
          <w:sz w:val="22"/>
          <w:szCs w:val="22"/>
          <w:u w:val="single"/>
        </w:rPr>
        <w:t>Growth Driver (Cloud vs AI)</w:t>
      </w:r>
    </w:p>
    <w:p w14:paraId="1A901AA4" w14:textId="4679C3BE" w:rsidR="00D83518" w:rsidRPr="0084192A" w:rsidRDefault="00347B09">
      <w:pPr>
        <w:rPr>
          <w:rFonts w:ascii="Calibri" w:hAnsi="Calibri" w:cs="Calibri"/>
          <w:sz w:val="22"/>
          <w:szCs w:val="22"/>
        </w:rPr>
      </w:pPr>
      <w:r w:rsidRPr="001B0A8E">
        <w:rPr>
          <w:rFonts w:ascii="Calibri" w:hAnsi="Calibri" w:cs="Calibri"/>
          <w:sz w:val="22"/>
          <w:szCs w:val="22"/>
        </w:rPr>
        <w:t xml:space="preserve">AI is undoubtedly a major catalyst in driving data centre </w:t>
      </w:r>
      <w:r w:rsidR="00766553" w:rsidRPr="001B0A8E">
        <w:rPr>
          <w:rFonts w:ascii="Calibri" w:hAnsi="Calibri" w:cs="Calibri"/>
          <w:sz w:val="22"/>
          <w:szCs w:val="22"/>
        </w:rPr>
        <w:t>growth</w:t>
      </w:r>
      <w:r w:rsidR="00766553">
        <w:rPr>
          <w:rFonts w:ascii="Calibri" w:hAnsi="Calibri" w:cs="Calibri"/>
          <w:sz w:val="22"/>
          <w:szCs w:val="22"/>
        </w:rPr>
        <w:t>;</w:t>
      </w:r>
      <w:r>
        <w:rPr>
          <w:rFonts w:ascii="Calibri" w:hAnsi="Calibri" w:cs="Calibri"/>
          <w:sz w:val="22"/>
          <w:szCs w:val="22"/>
        </w:rPr>
        <w:t xml:space="preserve"> however, this does not imply</w:t>
      </w:r>
      <w:r w:rsidRPr="001B0A8E">
        <w:rPr>
          <w:rFonts w:ascii="Calibri" w:hAnsi="Calibri" w:cs="Calibri"/>
          <w:sz w:val="22"/>
          <w:szCs w:val="22"/>
        </w:rPr>
        <w:t xml:space="preserve"> the other non-AI services provided by data centres are </w:t>
      </w:r>
      <w:r w:rsidR="00EE5CD2" w:rsidRPr="001B0A8E">
        <w:rPr>
          <w:rFonts w:ascii="Calibri" w:hAnsi="Calibri" w:cs="Calibri"/>
          <w:sz w:val="22"/>
          <w:szCs w:val="22"/>
        </w:rPr>
        <w:t>stagnat</w:t>
      </w:r>
      <w:r w:rsidR="00EE5CD2">
        <w:rPr>
          <w:rFonts w:ascii="Calibri" w:hAnsi="Calibri" w:cs="Calibri"/>
          <w:sz w:val="22"/>
          <w:szCs w:val="22"/>
        </w:rPr>
        <w:t>i</w:t>
      </w:r>
      <w:r w:rsidR="00EE5CD2" w:rsidRPr="001B0A8E">
        <w:rPr>
          <w:rFonts w:ascii="Calibri" w:hAnsi="Calibri" w:cs="Calibri"/>
          <w:sz w:val="22"/>
          <w:szCs w:val="22"/>
        </w:rPr>
        <w:t>n</w:t>
      </w:r>
      <w:r w:rsidR="00EE5CD2">
        <w:rPr>
          <w:rFonts w:ascii="Calibri" w:hAnsi="Calibri" w:cs="Calibri"/>
          <w:sz w:val="22"/>
          <w:szCs w:val="22"/>
        </w:rPr>
        <w:t>g</w:t>
      </w:r>
      <w:r w:rsidRPr="001B0A8E">
        <w:rPr>
          <w:rFonts w:ascii="Calibri" w:hAnsi="Calibri" w:cs="Calibri"/>
          <w:sz w:val="22"/>
          <w:szCs w:val="22"/>
        </w:rPr>
        <w:t>. Continued cloud adoption, enterprise digital transformation, streaming, e-commerce, connected devices, and increasing data-intensive applications are all contributing to demand for digital infrastructure.</w:t>
      </w:r>
      <w:r w:rsidR="00EE5CD2">
        <w:rPr>
          <w:rFonts w:ascii="Calibri" w:hAnsi="Calibri" w:cs="Calibri"/>
          <w:sz w:val="22"/>
          <w:szCs w:val="22"/>
        </w:rPr>
        <w:t xml:space="preserve"> </w:t>
      </w:r>
      <w:r w:rsidR="00EE5CD2" w:rsidRPr="001B0A8E">
        <w:rPr>
          <w:rFonts w:ascii="Calibri" w:hAnsi="Calibri" w:cs="Calibri"/>
          <w:sz w:val="22"/>
          <w:szCs w:val="22"/>
        </w:rPr>
        <w:t>While non-AI data centre’s electricity consumption is expected to grow 45% by 2030</w:t>
      </w:r>
      <w:r w:rsidR="00EE5CD2" w:rsidRPr="001B0A8E">
        <w:rPr>
          <w:rStyle w:val="FootnoteReference"/>
          <w:rFonts w:ascii="Calibri" w:hAnsi="Calibri" w:cs="Calibri"/>
          <w:sz w:val="22"/>
          <w:szCs w:val="22"/>
        </w:rPr>
        <w:footnoteReference w:id="4"/>
      </w:r>
      <w:r w:rsidR="00EE5CD2" w:rsidRPr="001B0A8E">
        <w:rPr>
          <w:rFonts w:ascii="Calibri" w:hAnsi="Calibri" w:cs="Calibri"/>
          <w:sz w:val="22"/>
          <w:szCs w:val="22"/>
        </w:rPr>
        <w:t>, AI based data centre’s forecast a 200% increase in usage of electricity, evidence that AI-specific demand is growing at roughly four times the pace of the broader industry.</w:t>
      </w:r>
    </w:p>
    <w:p w14:paraId="0BF8070F" w14:textId="77777777" w:rsidR="00EA512A" w:rsidRDefault="00EA512A" w:rsidP="00EA512A">
      <w:pPr>
        <w:pStyle w:val="Heading2"/>
        <w:rPr>
          <w:rFonts w:cstheme="minorBidi"/>
          <w:lang w:eastAsia="en-AE"/>
        </w:rPr>
      </w:pPr>
      <w:r>
        <w:rPr>
          <w:rFonts w:ascii="Calibri" w:hAnsi="Calibri" w:cs="Calibri"/>
          <w:b/>
          <w:bCs/>
          <w:color w:val="000000"/>
          <w:sz w:val="22"/>
          <w:szCs w:val="22"/>
          <w:u w:val="single"/>
        </w:rPr>
        <w:t>Customers &amp; Willingness to Pay</w:t>
      </w:r>
    </w:p>
    <w:p w14:paraId="03E19D1D" w14:textId="34E43EEA" w:rsidR="003813FF" w:rsidRDefault="00EE5CD2" w:rsidP="001A47FF">
      <w:pPr>
        <w:rPr>
          <w:rFonts w:ascii="Calibri" w:hAnsi="Calibri" w:cs="Calibri"/>
          <w:sz w:val="22"/>
          <w:szCs w:val="22"/>
        </w:rPr>
      </w:pPr>
      <w:r>
        <w:rPr>
          <w:rFonts w:ascii="Calibri" w:hAnsi="Calibri" w:cs="Calibri"/>
          <w:color w:val="000000" w:themeColor="text1"/>
          <w:sz w:val="22"/>
          <w:szCs w:val="22"/>
        </w:rPr>
        <w:t xml:space="preserve">Enterprises that use data centres to provide further services to customers make up the largest slice of end users. AWS, an excellent instance, who manufactured their own bespoke chips and rented them to Anthropic and AI Labs among other companies earned a $25 billion run rate </w:t>
      </w:r>
      <w:r w:rsidRPr="001B0A8E">
        <w:rPr>
          <w:rFonts w:ascii="Calibri" w:hAnsi="Calibri" w:cs="Calibri"/>
          <w:sz w:val="22"/>
          <w:szCs w:val="22"/>
        </w:rPr>
        <w:t>- justifying demand</w:t>
      </w:r>
      <w:r w:rsidRPr="001B0A8E">
        <w:rPr>
          <w:rStyle w:val="FootnoteReference"/>
          <w:rFonts w:ascii="Calibri" w:hAnsi="Calibri" w:cs="Calibri"/>
          <w:sz w:val="22"/>
          <w:szCs w:val="22"/>
        </w:rPr>
        <w:footnoteReference w:id="5"/>
      </w:r>
      <w:r w:rsidRPr="001B0A8E">
        <w:rPr>
          <w:rFonts w:ascii="Calibri" w:hAnsi="Calibri" w:cs="Calibri"/>
          <w:sz w:val="22"/>
          <w:szCs w:val="22"/>
        </w:rPr>
        <w:t>.</w:t>
      </w:r>
      <w:r>
        <w:rPr>
          <w:rFonts w:ascii="Calibri" w:hAnsi="Calibri" w:cs="Calibri"/>
          <w:sz w:val="22"/>
          <w:szCs w:val="22"/>
        </w:rPr>
        <w:br/>
      </w:r>
      <w:r w:rsidRPr="001B0A8E">
        <w:rPr>
          <w:rFonts w:ascii="Calibri" w:hAnsi="Calibri" w:cs="Calibri"/>
          <w:sz w:val="22"/>
          <w:szCs w:val="22"/>
        </w:rPr>
        <w:t>Further in line are AI Agents like ChatGPT who provide services to the public for a cost - ChatGPT recorded over 900 million weekly active users with over 50 million paying subscribers as off Feb 2026</w:t>
      </w:r>
      <w:r w:rsidRPr="001B0A8E">
        <w:rPr>
          <w:rStyle w:val="FootnoteReference"/>
          <w:rFonts w:ascii="Calibri" w:hAnsi="Calibri" w:cs="Calibri"/>
          <w:sz w:val="22"/>
          <w:szCs w:val="22"/>
        </w:rPr>
        <w:footnoteReference w:id="6"/>
      </w:r>
      <w:r w:rsidRPr="001B0A8E">
        <w:rPr>
          <w:rFonts w:ascii="Calibri" w:hAnsi="Calibri" w:cs="Calibri"/>
          <w:sz w:val="22"/>
          <w:szCs w:val="22"/>
        </w:rPr>
        <w:t>.</w:t>
      </w:r>
      <w:r>
        <w:rPr>
          <w:rFonts w:ascii="Calibri" w:hAnsi="Calibri" w:cs="Calibri"/>
          <w:sz w:val="22"/>
          <w:szCs w:val="22"/>
        </w:rPr>
        <w:t xml:space="preserve"> </w:t>
      </w:r>
    </w:p>
    <w:p w14:paraId="7249029A" w14:textId="5F5BD876" w:rsidR="003813FF" w:rsidRDefault="003813FF" w:rsidP="003813FF">
      <w:pPr>
        <w:rPr>
          <w:rFonts w:ascii="Calibri" w:hAnsi="Calibri" w:cs="Calibri"/>
          <w:sz w:val="22"/>
          <w:szCs w:val="22"/>
        </w:rPr>
      </w:pPr>
      <w:r>
        <w:rPr>
          <w:rFonts w:ascii="Calibri" w:hAnsi="Calibri" w:cs="Calibri"/>
          <w:sz w:val="22"/>
          <w:szCs w:val="22"/>
        </w:rPr>
        <w:t>Sovereign</w:t>
      </w:r>
      <w:r w:rsidR="00EE5CD2">
        <w:rPr>
          <w:rFonts w:ascii="Calibri" w:hAnsi="Calibri" w:cs="Calibri"/>
          <w:sz w:val="22"/>
          <w:szCs w:val="22"/>
        </w:rPr>
        <w:t xml:space="preserve"> AI accounts for another sizeable portion, as governments rush to integrate AI into daily operations </w:t>
      </w:r>
      <w:r w:rsidR="00EE5CD2" w:rsidRPr="00EE5CD2">
        <w:rPr>
          <w:rFonts w:ascii="Calibri" w:hAnsi="Calibri" w:cs="Calibri"/>
          <w:sz w:val="22"/>
          <w:szCs w:val="22"/>
        </w:rPr>
        <w:t>like manufacturing, logistics, healthcar</w:t>
      </w:r>
      <w:r>
        <w:rPr>
          <w:rFonts w:ascii="Calibri" w:hAnsi="Calibri" w:cs="Calibri"/>
          <w:sz w:val="22"/>
          <w:szCs w:val="22"/>
        </w:rPr>
        <w:t xml:space="preserve">e, education and more. A prime example is the UAE, who unveiled a $3.54 billion investment plan aimed at establishing a sovereign cloud and AI transformation, with developments partners like Microsoft and local AI company G42. UAE’s broader sovereign AI ecosystem runs into roughly </w:t>
      </w:r>
      <w:r w:rsidRPr="001B0A8E">
        <w:rPr>
          <w:rFonts w:ascii="Calibri" w:hAnsi="Calibri" w:cs="Calibri"/>
          <w:sz w:val="22"/>
          <w:szCs w:val="22"/>
        </w:rPr>
        <w:t>$100B+</w:t>
      </w:r>
      <w:r w:rsidRPr="001B0A8E">
        <w:rPr>
          <w:rStyle w:val="FootnoteReference"/>
          <w:rFonts w:ascii="Calibri" w:hAnsi="Calibri" w:cs="Calibri"/>
          <w:sz w:val="22"/>
          <w:szCs w:val="22"/>
        </w:rPr>
        <w:footnoteReference w:id="7"/>
      </w:r>
      <w:r w:rsidRPr="001B0A8E">
        <w:rPr>
          <w:rFonts w:ascii="Calibri" w:hAnsi="Calibri" w:cs="Calibri"/>
          <w:sz w:val="22"/>
          <w:szCs w:val="22"/>
        </w:rPr>
        <w:t>.</w:t>
      </w:r>
      <w:r>
        <w:rPr>
          <w:rFonts w:ascii="Calibri" w:hAnsi="Calibri" w:cs="Calibri"/>
          <w:sz w:val="22"/>
          <w:szCs w:val="22"/>
        </w:rPr>
        <w:t xml:space="preserve"> </w:t>
      </w:r>
      <w:r w:rsidRPr="001B0A8E">
        <w:rPr>
          <w:rFonts w:ascii="Calibri" w:hAnsi="Calibri" w:cs="Calibri"/>
          <w:sz w:val="22"/>
          <w:szCs w:val="22"/>
        </w:rPr>
        <w:t xml:space="preserve">Lastly, we have AI Native companies like Anthropic who rent/lease the capacity </w:t>
      </w:r>
      <w:r>
        <w:rPr>
          <w:rFonts w:ascii="Calibri" w:hAnsi="Calibri" w:cs="Calibri"/>
          <w:sz w:val="22"/>
          <w:szCs w:val="22"/>
        </w:rPr>
        <w:t xml:space="preserve">provided </w:t>
      </w:r>
      <w:r w:rsidRPr="001B0A8E">
        <w:rPr>
          <w:rFonts w:ascii="Calibri" w:hAnsi="Calibri" w:cs="Calibri"/>
          <w:sz w:val="22"/>
          <w:szCs w:val="22"/>
        </w:rPr>
        <w:lastRenderedPageBreak/>
        <w:t xml:space="preserve">by </w:t>
      </w:r>
      <w:r>
        <w:rPr>
          <w:rFonts w:ascii="Calibri" w:hAnsi="Calibri" w:cs="Calibri"/>
          <w:sz w:val="22"/>
          <w:szCs w:val="22"/>
        </w:rPr>
        <w:t xml:space="preserve">the </w:t>
      </w:r>
      <w:r w:rsidRPr="001B0A8E">
        <w:rPr>
          <w:rFonts w:ascii="Calibri" w:hAnsi="Calibri" w:cs="Calibri"/>
          <w:sz w:val="22"/>
          <w:szCs w:val="22"/>
        </w:rPr>
        <w:t>hyperscale’s</w:t>
      </w:r>
      <w:r>
        <w:rPr>
          <w:rFonts w:ascii="Calibri" w:hAnsi="Calibri" w:cs="Calibri"/>
          <w:sz w:val="22"/>
          <w:szCs w:val="22"/>
        </w:rPr>
        <w:t>,</w:t>
      </w:r>
      <w:r w:rsidRPr="001B0A8E">
        <w:rPr>
          <w:rFonts w:ascii="Calibri" w:hAnsi="Calibri" w:cs="Calibri"/>
          <w:sz w:val="22"/>
          <w:szCs w:val="22"/>
        </w:rPr>
        <w:t xml:space="preserve"> to provide smart AI solutions. Anthropic has raised $65 billion in Series H funding - with run rate revenue crossing $47 billion in the previous month</w:t>
      </w:r>
      <w:r w:rsidRPr="001B0A8E">
        <w:rPr>
          <w:rStyle w:val="FootnoteReference"/>
          <w:rFonts w:ascii="Calibri" w:hAnsi="Calibri" w:cs="Calibri"/>
          <w:sz w:val="22"/>
          <w:szCs w:val="22"/>
        </w:rPr>
        <w:footnoteReference w:id="8"/>
      </w:r>
      <w:r w:rsidRPr="001B0A8E">
        <w:rPr>
          <w:rFonts w:ascii="Calibri" w:hAnsi="Calibri" w:cs="Calibri"/>
          <w:sz w:val="22"/>
          <w:szCs w:val="22"/>
        </w:rPr>
        <w:t>.</w:t>
      </w:r>
    </w:p>
    <w:p w14:paraId="0E561177" w14:textId="40A912C9" w:rsidR="003813FF" w:rsidRPr="001F64F9" w:rsidRDefault="003813FF" w:rsidP="003813FF">
      <w:pPr>
        <w:rPr>
          <w:rFonts w:ascii="Calibri" w:hAnsi="Calibri" w:cs="Calibri"/>
          <w:sz w:val="22"/>
          <w:szCs w:val="22"/>
          <w:u w:val="single"/>
        </w:rPr>
      </w:pPr>
      <w:r>
        <w:rPr>
          <w:rFonts w:ascii="Calibri" w:hAnsi="Calibri" w:cs="Calibri"/>
          <w:sz w:val="22"/>
          <w:szCs w:val="22"/>
        </w:rPr>
        <w:t>Ranked by funding and willingness to pay – Enterprises prevail on realized revenue, followed by AI Native companies with substantial but yet-developing revenues</w:t>
      </w:r>
      <w:r w:rsidR="00635651">
        <w:rPr>
          <w:rFonts w:ascii="Calibri" w:hAnsi="Calibri" w:cs="Calibri"/>
          <w:sz w:val="22"/>
          <w:szCs w:val="22"/>
        </w:rPr>
        <w:t>. Sovereign AI ranks next with primarily large and future committed capital. This brings consumers to the end of the scale, exampled with only 5.5% of ChatGPT’s user base currently making payments.</w:t>
      </w:r>
    </w:p>
    <w:p w14:paraId="0EA0A2EA" w14:textId="77777777" w:rsidR="00EA512A" w:rsidRDefault="00EA512A" w:rsidP="00EA512A">
      <w:pPr>
        <w:pStyle w:val="Heading2"/>
        <w:rPr>
          <w:rFonts w:cstheme="minorBidi"/>
          <w:lang w:eastAsia="en-AE"/>
        </w:rPr>
      </w:pPr>
      <w:r>
        <w:rPr>
          <w:rFonts w:ascii="Calibri" w:hAnsi="Calibri" w:cs="Calibri"/>
          <w:b/>
          <w:bCs/>
          <w:color w:val="000000"/>
          <w:sz w:val="22"/>
          <w:szCs w:val="22"/>
          <w:u w:val="single"/>
        </w:rPr>
        <w:t>Contracted vs. Discretionary Spend</w:t>
      </w:r>
    </w:p>
    <w:p w14:paraId="1386A882" w14:textId="361A4295" w:rsidR="001F64F9" w:rsidRPr="001F64F9" w:rsidRDefault="001F64F9" w:rsidP="003813FF">
      <w:pPr>
        <w:rPr>
          <w:rFonts w:ascii="Calibri" w:hAnsi="Calibri" w:cs="Calibri"/>
          <w:sz w:val="22"/>
          <w:szCs w:val="22"/>
        </w:rPr>
      </w:pPr>
      <w:r w:rsidRPr="001F64F9">
        <w:rPr>
          <w:rFonts w:ascii="Calibri" w:hAnsi="Calibri" w:cs="Calibri"/>
          <w:sz w:val="22"/>
          <w:szCs w:val="22"/>
        </w:rPr>
        <w:t xml:space="preserve">The industry exhibits high capital expenditure; however, it is scaled through evidently big backlogs of major hyperscale’s. </w:t>
      </w:r>
      <w:r w:rsidR="00E07859" w:rsidRPr="001F64F9">
        <w:rPr>
          <w:rFonts w:ascii="Calibri" w:hAnsi="Calibri" w:cs="Calibri"/>
          <w:sz w:val="22"/>
          <w:szCs w:val="22"/>
        </w:rPr>
        <w:t>AWS ($364B</w:t>
      </w:r>
      <w:r w:rsidR="00E07859" w:rsidRPr="001F64F9">
        <w:rPr>
          <w:rStyle w:val="FootnoteReference"/>
          <w:rFonts w:ascii="Calibri" w:hAnsi="Calibri" w:cs="Calibri"/>
          <w:sz w:val="22"/>
          <w:szCs w:val="22"/>
        </w:rPr>
        <w:footnoteReference w:id="9"/>
      </w:r>
      <w:r w:rsidR="00E07859" w:rsidRPr="001F64F9">
        <w:rPr>
          <w:rFonts w:ascii="Calibri" w:hAnsi="Calibri" w:cs="Calibri"/>
          <w:sz w:val="22"/>
          <w:szCs w:val="22"/>
        </w:rPr>
        <w:t>), Google Cloud ($514B</w:t>
      </w:r>
      <w:r w:rsidR="00E07859" w:rsidRPr="001F64F9">
        <w:rPr>
          <w:rStyle w:val="FootnoteReference"/>
          <w:rFonts w:ascii="Calibri" w:hAnsi="Calibri" w:cs="Calibri"/>
          <w:sz w:val="22"/>
          <w:szCs w:val="22"/>
        </w:rPr>
        <w:footnoteReference w:id="10"/>
      </w:r>
      <w:r w:rsidR="00E07859" w:rsidRPr="001F64F9">
        <w:rPr>
          <w:rFonts w:ascii="Calibri" w:hAnsi="Calibri" w:cs="Calibri"/>
          <w:sz w:val="22"/>
          <w:szCs w:val="22"/>
        </w:rPr>
        <w:t>), Microsoft ($678B</w:t>
      </w:r>
      <w:r w:rsidR="00E07859" w:rsidRPr="001F64F9">
        <w:rPr>
          <w:rStyle w:val="FootnoteReference"/>
          <w:rFonts w:ascii="Calibri" w:hAnsi="Calibri" w:cs="Calibri"/>
          <w:sz w:val="22"/>
          <w:szCs w:val="22"/>
        </w:rPr>
        <w:footnoteReference w:id="11"/>
      </w:r>
      <w:r w:rsidR="00E07859" w:rsidRPr="001F64F9">
        <w:rPr>
          <w:rFonts w:ascii="Calibri" w:hAnsi="Calibri" w:cs="Calibri"/>
          <w:sz w:val="22"/>
          <w:szCs w:val="22"/>
        </w:rPr>
        <w:t>), and Oracle ($638B in RPO</w:t>
      </w:r>
      <w:r w:rsidR="00E07859" w:rsidRPr="001F64F9">
        <w:rPr>
          <w:rStyle w:val="FootnoteReference"/>
          <w:rFonts w:ascii="Calibri" w:hAnsi="Calibri" w:cs="Calibri"/>
          <w:sz w:val="22"/>
          <w:szCs w:val="22"/>
        </w:rPr>
        <w:footnoteReference w:id="12"/>
      </w:r>
      <w:r w:rsidR="00E07859" w:rsidRPr="001F64F9">
        <w:rPr>
          <w:rFonts w:ascii="Calibri" w:hAnsi="Calibri" w:cs="Calibri"/>
          <w:sz w:val="22"/>
          <w:szCs w:val="22"/>
        </w:rPr>
        <w:t>)</w:t>
      </w:r>
    </w:p>
    <w:p w14:paraId="6D1F520B" w14:textId="24F437C5" w:rsidR="00635651" w:rsidRPr="001F64F9" w:rsidRDefault="001F64F9" w:rsidP="003813FF">
      <w:pPr>
        <w:rPr>
          <w:rFonts w:ascii="Calibri" w:hAnsi="Calibri" w:cs="Calibri"/>
          <w:sz w:val="22"/>
          <w:szCs w:val="22"/>
        </w:rPr>
      </w:pPr>
      <w:r w:rsidRPr="001F64F9">
        <w:rPr>
          <w:rFonts w:ascii="Calibri" w:hAnsi="Calibri" w:cs="Calibri"/>
          <w:sz w:val="22"/>
          <w:szCs w:val="22"/>
        </w:rPr>
        <w:t xml:space="preserve">These backlogs indicate that the capital spendings are reinforced by demand that the customers have contractually committed too and not the demand that hyperscalers are hoping will materialize. This suggests the present growth wave is anchored by a relatively strong base. </w:t>
      </w:r>
    </w:p>
    <w:tbl>
      <w:tblPr>
        <w:tblStyle w:val="PlainTable1"/>
        <w:tblW w:w="5000" w:type="pct"/>
        <w:tblLook w:val="04A0" w:firstRow="1" w:lastRow="0" w:firstColumn="1" w:lastColumn="0" w:noHBand="0" w:noVBand="1"/>
      </w:tblPr>
      <w:tblGrid>
        <w:gridCol w:w="2434"/>
        <w:gridCol w:w="2434"/>
        <w:gridCol w:w="2434"/>
        <w:gridCol w:w="2434"/>
      </w:tblGrid>
      <w:tr w:rsidR="00D04102" w14:paraId="2F72FA2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Borders>
              <w:right w:val="single" w:sz="8" w:space="0" w:color="D7E2E8"/>
            </w:tcBorders>
            <w:hideMark/>
          </w:tcPr>
          <w:p w14:paraId="50EECD08" w14:textId="77777777" w:rsidR="00D04102" w:rsidRDefault="00D04102">
            <w:pPr>
              <w:jc w:val="center"/>
              <w:rPr>
                <w:color w:val="64748B"/>
                <w:sz w:val="16"/>
                <w:szCs w:val="16"/>
                <w:lang w:eastAsia="en-AE"/>
              </w:rPr>
            </w:pPr>
            <w:r>
              <w:rPr>
                <w:color w:val="64748B"/>
                <w:sz w:val="16"/>
                <w:szCs w:val="16"/>
              </w:rPr>
              <w:t>MICROSOFT</w:t>
            </w:r>
          </w:p>
          <w:p w14:paraId="743C9421" w14:textId="61A8DE54" w:rsidR="00D04102" w:rsidRPr="008347F2" w:rsidRDefault="008347F2" w:rsidP="008347F2">
            <w:pPr>
              <w:jc w:val="center"/>
              <w:rPr>
                <w:rFonts w:ascii="Calibri" w:hAnsi="Calibri" w:cs="Calibri"/>
                <w:color w:val="123B5D"/>
                <w:sz w:val="22"/>
                <w:szCs w:val="22"/>
              </w:rPr>
            </w:pPr>
            <w:r w:rsidRPr="008347F2">
              <w:rPr>
                <w:color w:val="123B5D"/>
                <w:sz w:val="40"/>
                <w:szCs w:val="40"/>
              </w:rPr>
              <w:t>$678B</w:t>
            </w:r>
            <w:r w:rsidRPr="008347F2">
              <w:rPr>
                <w:color w:val="2AA6A1"/>
                <w:sz w:val="16"/>
                <w:szCs w:val="16"/>
              </w:rPr>
              <w:t xml:space="preserve"> </w:t>
            </w:r>
            <w:hyperlink r:id="rId8" w:history="1">
              <w:r w:rsidRPr="008347F2">
                <w:rPr>
                  <w:rStyle w:val="Hyperlink"/>
                  <w:sz w:val="16"/>
                  <w:szCs w:val="16"/>
                </w:rPr>
                <w:t>[9]</w:t>
              </w:r>
            </w:hyperlink>
          </w:p>
        </w:tc>
        <w:tc>
          <w:tcPr>
            <w:tcW w:w="1250" w:type="pct"/>
            <w:tcBorders>
              <w:right w:val="single" w:sz="8" w:space="0" w:color="D7E2E8"/>
            </w:tcBorders>
            <w:hideMark/>
          </w:tcPr>
          <w:p w14:paraId="530BA93A" w14:textId="77777777" w:rsidR="00D04102" w:rsidRDefault="00D04102">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ORACLE</w:t>
            </w:r>
          </w:p>
          <w:p w14:paraId="0D87F702" w14:textId="30BA3AEB" w:rsidR="00D04102" w:rsidRPr="006C7F40" w:rsidRDefault="00106AA0" w:rsidP="006C7F4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sidRPr="00106AA0">
              <w:rPr>
                <w:color w:val="123B5D"/>
                <w:sz w:val="40"/>
                <w:szCs w:val="40"/>
              </w:rPr>
              <w:t>$638B</w:t>
            </w:r>
            <w:r w:rsidRPr="00106AA0">
              <w:rPr>
                <w:color w:val="2AA6A1"/>
                <w:sz w:val="16"/>
                <w:szCs w:val="16"/>
              </w:rPr>
              <w:t xml:space="preserve"> </w:t>
            </w:r>
            <w:hyperlink r:id="rId9" w:history="1">
              <w:r w:rsidRPr="00106AA0">
                <w:rPr>
                  <w:rStyle w:val="Hyperlink"/>
                  <w:sz w:val="16"/>
                  <w:szCs w:val="16"/>
                </w:rPr>
                <w:t>[10]</w:t>
              </w:r>
            </w:hyperlink>
          </w:p>
        </w:tc>
        <w:tc>
          <w:tcPr>
            <w:tcW w:w="1250" w:type="pct"/>
            <w:tcBorders>
              <w:right w:val="single" w:sz="8" w:space="0" w:color="D7E2E8"/>
            </w:tcBorders>
            <w:hideMark/>
          </w:tcPr>
          <w:p w14:paraId="341BB343" w14:textId="77777777" w:rsidR="00D04102" w:rsidRDefault="00D04102">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GOOGLE CLOUD</w:t>
            </w:r>
          </w:p>
          <w:p w14:paraId="25B8E4C6" w14:textId="4A8855AB" w:rsidR="00D04102" w:rsidRPr="00B0034F" w:rsidRDefault="00B0034F" w:rsidP="00B0034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23B5D"/>
                <w:sz w:val="22"/>
                <w:szCs w:val="22"/>
              </w:rPr>
            </w:pPr>
            <w:r w:rsidRPr="00B0034F">
              <w:rPr>
                <w:color w:val="123B5D"/>
                <w:sz w:val="40"/>
                <w:szCs w:val="40"/>
              </w:rPr>
              <w:t>$514B</w:t>
            </w:r>
            <w:r w:rsidRPr="00B0034F">
              <w:rPr>
                <w:color w:val="2AA6A1"/>
                <w:sz w:val="16"/>
                <w:szCs w:val="16"/>
              </w:rPr>
              <w:t xml:space="preserve"> </w:t>
            </w:r>
            <w:hyperlink r:id="rId10" w:history="1">
              <w:r w:rsidRPr="00B0034F">
                <w:rPr>
                  <w:rStyle w:val="Hyperlink"/>
                  <w:sz w:val="16"/>
                  <w:szCs w:val="16"/>
                </w:rPr>
                <w:t>[11]</w:t>
              </w:r>
            </w:hyperlink>
          </w:p>
        </w:tc>
        <w:tc>
          <w:tcPr>
            <w:tcW w:w="1250" w:type="pct"/>
            <w:hideMark/>
          </w:tcPr>
          <w:p w14:paraId="412D5071" w14:textId="77777777" w:rsidR="00D04102" w:rsidRDefault="00D04102">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AWS</w:t>
            </w:r>
          </w:p>
          <w:p w14:paraId="0273CC58" w14:textId="3F532089" w:rsidR="00D04102" w:rsidRPr="006C7F40" w:rsidRDefault="006C7F40" w:rsidP="006C7F40">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123B5D"/>
                <w:sz w:val="22"/>
                <w:szCs w:val="22"/>
              </w:rPr>
            </w:pPr>
            <w:r w:rsidRPr="006C7F40">
              <w:rPr>
                <w:color w:val="123B5D"/>
                <w:sz w:val="40"/>
                <w:szCs w:val="40"/>
              </w:rPr>
              <w:t>$364B</w:t>
            </w:r>
            <w:r w:rsidRPr="006C7F40">
              <w:rPr>
                <w:color w:val="2AA6A1"/>
                <w:sz w:val="16"/>
                <w:szCs w:val="16"/>
              </w:rPr>
              <w:t xml:space="preserve"> </w:t>
            </w:r>
            <w:hyperlink r:id="rId11" w:history="1">
              <w:r w:rsidRPr="006C7F40">
                <w:rPr>
                  <w:rStyle w:val="Hyperlink"/>
                  <w:sz w:val="16"/>
                  <w:szCs w:val="16"/>
                </w:rPr>
                <w:t>[12]</w:t>
              </w:r>
            </w:hyperlink>
          </w:p>
        </w:tc>
      </w:tr>
      <w:tr w:rsidR="00D04102" w14:paraId="383D002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hideMark/>
          </w:tcPr>
          <w:p w14:paraId="68F27345" w14:textId="77777777" w:rsidR="00D04102" w:rsidRDefault="00D04102">
            <w:pPr>
              <w:jc w:val="center"/>
              <w:rPr>
                <w:color w:val="64748B"/>
                <w:sz w:val="16"/>
                <w:szCs w:val="16"/>
              </w:rPr>
            </w:pPr>
            <w:r>
              <w:rPr>
                <w:color w:val="64748B"/>
                <w:sz w:val="16"/>
                <w:szCs w:val="16"/>
              </w:rPr>
              <w:t>Reported backlog / remaining performance obligations</w:t>
            </w:r>
          </w:p>
        </w:tc>
      </w:tr>
    </w:tbl>
    <w:p w14:paraId="11E89C41" w14:textId="77777777" w:rsidR="0084192A" w:rsidRDefault="0084192A">
      <w:pPr>
        <w:rPr>
          <w:lang w:eastAsia="en-AE"/>
        </w:rPr>
      </w:pPr>
    </w:p>
    <w:p w14:paraId="64E7ED80" w14:textId="77777777" w:rsidR="00766553" w:rsidRDefault="00766553">
      <w:pPr>
        <w:rPr>
          <w:lang w:eastAsia="en-AE"/>
        </w:rPr>
      </w:pPr>
    </w:p>
    <w:p w14:paraId="010CB51B" w14:textId="77777777" w:rsidR="00766553" w:rsidRDefault="00766553">
      <w:pPr>
        <w:rPr>
          <w:lang w:eastAsia="en-AE"/>
        </w:rPr>
      </w:pPr>
    </w:p>
    <w:p w14:paraId="1CDA9951" w14:textId="77777777" w:rsidR="00766553" w:rsidRDefault="00766553">
      <w:pPr>
        <w:rPr>
          <w:lang w:eastAsia="en-AE"/>
        </w:rPr>
      </w:pPr>
    </w:p>
    <w:p w14:paraId="4B793299" w14:textId="77777777" w:rsidR="008148F7" w:rsidRDefault="007D525C" w:rsidP="009802E4">
      <w:pPr>
        <w:pStyle w:val="Heading1"/>
        <w:rPr>
          <w:rFonts w:ascii="Calibri" w:hAnsi="Calibri" w:cs="Calibri"/>
          <w:sz w:val="22"/>
          <w:szCs w:val="22"/>
        </w:rPr>
      </w:pPr>
      <w:r w:rsidRPr="009802E4">
        <w:rPr>
          <w:rFonts w:cstheme="minorBidi"/>
        </w:rPr>
        <w:t>Supply Chain</w:t>
      </w:r>
    </w:p>
    <w:p w14:paraId="62577C8B" w14:textId="08FF4525" w:rsidR="001A47FF" w:rsidRDefault="001F64F9" w:rsidP="001A47FF">
      <w:pPr>
        <w:rPr>
          <w:rFonts w:ascii="Calibri" w:hAnsi="Calibri" w:cs="Calibri"/>
          <w:sz w:val="22"/>
          <w:szCs w:val="22"/>
        </w:rPr>
      </w:pPr>
      <w:r w:rsidRPr="001B0A8E">
        <w:rPr>
          <w:rFonts w:ascii="Calibri" w:hAnsi="Calibri" w:cs="Calibri"/>
          <w:sz w:val="22"/>
          <w:szCs w:val="22"/>
        </w:rPr>
        <w:t xml:space="preserve">The supply chain starts with manufacturing of chips by </w:t>
      </w:r>
      <w:r>
        <w:rPr>
          <w:rFonts w:ascii="Calibri" w:hAnsi="Calibri" w:cs="Calibri"/>
          <w:sz w:val="22"/>
          <w:szCs w:val="22"/>
        </w:rPr>
        <w:t>entities</w:t>
      </w:r>
      <w:r w:rsidRPr="001B0A8E">
        <w:rPr>
          <w:rFonts w:ascii="Calibri" w:hAnsi="Calibri" w:cs="Calibri"/>
          <w:sz w:val="22"/>
          <w:szCs w:val="22"/>
        </w:rPr>
        <w:t xml:space="preserve"> like TSMC, </w:t>
      </w:r>
      <w:r>
        <w:rPr>
          <w:rFonts w:ascii="Calibri" w:hAnsi="Calibri" w:cs="Calibri"/>
          <w:sz w:val="22"/>
          <w:szCs w:val="22"/>
        </w:rPr>
        <w:t>who then</w:t>
      </w:r>
      <w:r w:rsidRPr="001B0A8E">
        <w:rPr>
          <w:rFonts w:ascii="Calibri" w:hAnsi="Calibri" w:cs="Calibri"/>
          <w:sz w:val="22"/>
          <w:szCs w:val="22"/>
        </w:rPr>
        <w:t xml:space="preserve"> </w:t>
      </w:r>
      <w:r>
        <w:rPr>
          <w:rFonts w:ascii="Calibri" w:hAnsi="Calibri" w:cs="Calibri"/>
          <w:sz w:val="22"/>
          <w:szCs w:val="22"/>
        </w:rPr>
        <w:t>sell</w:t>
      </w:r>
      <w:r w:rsidRPr="001B0A8E">
        <w:rPr>
          <w:rFonts w:ascii="Calibri" w:hAnsi="Calibri" w:cs="Calibri"/>
          <w:sz w:val="22"/>
          <w:szCs w:val="22"/>
        </w:rPr>
        <w:t xml:space="preserve"> them to Nvidia</w:t>
      </w:r>
      <w:r>
        <w:rPr>
          <w:rFonts w:ascii="Calibri" w:hAnsi="Calibri" w:cs="Calibri"/>
          <w:sz w:val="22"/>
          <w:szCs w:val="22"/>
        </w:rPr>
        <w:t xml:space="preserve"> and other chip designer</w:t>
      </w:r>
      <w:r w:rsidRPr="001B0A8E">
        <w:rPr>
          <w:rFonts w:ascii="Calibri" w:hAnsi="Calibri" w:cs="Calibri"/>
          <w:sz w:val="22"/>
          <w:szCs w:val="22"/>
        </w:rPr>
        <w:t>, who</w:t>
      </w:r>
      <w:r>
        <w:rPr>
          <w:rFonts w:ascii="Calibri" w:hAnsi="Calibri" w:cs="Calibri"/>
          <w:sz w:val="22"/>
          <w:szCs w:val="22"/>
        </w:rPr>
        <w:t xml:space="preserve"> further</w:t>
      </w:r>
      <w:r w:rsidRPr="001B0A8E">
        <w:rPr>
          <w:rFonts w:ascii="Calibri" w:hAnsi="Calibri" w:cs="Calibri"/>
          <w:sz w:val="22"/>
          <w:szCs w:val="22"/>
        </w:rPr>
        <w:t xml:space="preserve"> </w:t>
      </w:r>
      <w:r>
        <w:rPr>
          <w:rFonts w:ascii="Calibri" w:hAnsi="Calibri" w:cs="Calibri"/>
          <w:sz w:val="22"/>
          <w:szCs w:val="22"/>
        </w:rPr>
        <w:t>design</w:t>
      </w:r>
      <w:r w:rsidRPr="001B0A8E">
        <w:rPr>
          <w:rFonts w:ascii="Calibri" w:hAnsi="Calibri" w:cs="Calibri"/>
          <w:sz w:val="22"/>
          <w:szCs w:val="22"/>
        </w:rPr>
        <w:t xml:space="preserve"> and sell these chips to hyperscalers for integration into their data centre capacity.</w:t>
      </w:r>
    </w:p>
    <w:p w14:paraId="3835AE3D" w14:textId="5605D0A0" w:rsidR="001F64F9" w:rsidRDefault="001F64F9" w:rsidP="001A47FF">
      <w:pPr>
        <w:rPr>
          <w:rFonts w:ascii="Calibri" w:hAnsi="Calibri" w:cs="Calibri"/>
          <w:sz w:val="22"/>
          <w:szCs w:val="22"/>
        </w:rPr>
      </w:pPr>
      <w:r>
        <w:rPr>
          <w:rFonts w:ascii="Calibri" w:hAnsi="Calibri" w:cs="Calibri"/>
          <w:sz w:val="22"/>
          <w:szCs w:val="22"/>
          <w:lang w:val="en-US"/>
        </w:rPr>
        <w:t>At the same time, another beginning of the supply chain involves real estate and site developers</w:t>
      </w:r>
      <w:r w:rsidR="00A853CA">
        <w:rPr>
          <w:rFonts w:ascii="Calibri" w:hAnsi="Calibri" w:cs="Calibri"/>
          <w:sz w:val="22"/>
          <w:szCs w:val="22"/>
          <w:lang w:val="en-US"/>
        </w:rPr>
        <w:t xml:space="preserve">, </w:t>
      </w:r>
      <w:r w:rsidR="00A853CA" w:rsidRPr="001B0A8E">
        <w:rPr>
          <w:rFonts w:ascii="Calibri" w:hAnsi="Calibri" w:cs="Calibri"/>
          <w:sz w:val="22"/>
          <w:szCs w:val="22"/>
        </w:rPr>
        <w:t>who acquire land and coordinate with power</w:t>
      </w:r>
      <w:r w:rsidR="00A853CA">
        <w:rPr>
          <w:rFonts w:ascii="Calibri" w:hAnsi="Calibri" w:cs="Calibri"/>
          <w:sz w:val="22"/>
          <w:szCs w:val="22"/>
        </w:rPr>
        <w:t xml:space="preserve"> &amp;</w:t>
      </w:r>
      <w:r w:rsidR="00A853CA" w:rsidRPr="001B0A8E">
        <w:rPr>
          <w:rFonts w:ascii="Calibri" w:hAnsi="Calibri" w:cs="Calibri"/>
          <w:sz w:val="22"/>
          <w:szCs w:val="22"/>
        </w:rPr>
        <w:t xml:space="preserve"> utilit</w:t>
      </w:r>
      <w:r w:rsidR="00A853CA">
        <w:rPr>
          <w:rFonts w:ascii="Calibri" w:hAnsi="Calibri" w:cs="Calibri"/>
          <w:sz w:val="22"/>
          <w:szCs w:val="22"/>
        </w:rPr>
        <w:t>y supply entities</w:t>
      </w:r>
      <w:r w:rsidR="00A853CA" w:rsidRPr="001B0A8E">
        <w:rPr>
          <w:rFonts w:ascii="Calibri" w:hAnsi="Calibri" w:cs="Calibri"/>
          <w:sz w:val="22"/>
          <w:szCs w:val="22"/>
        </w:rPr>
        <w:t xml:space="preserve"> and cooling equipment manufacturers to prepare a </w:t>
      </w:r>
      <w:r w:rsidR="00A853CA">
        <w:rPr>
          <w:rFonts w:ascii="Calibri" w:hAnsi="Calibri" w:cs="Calibri"/>
          <w:sz w:val="22"/>
          <w:szCs w:val="22"/>
        </w:rPr>
        <w:t xml:space="preserve">site ready to use. </w:t>
      </w:r>
    </w:p>
    <w:p w14:paraId="66AC3FFC" w14:textId="223CFCC0" w:rsidR="001448BA" w:rsidRDefault="00A853CA" w:rsidP="001A47FF">
      <w:pPr>
        <w:rPr>
          <w:rFonts w:ascii="Calibri" w:hAnsi="Calibri" w:cs="Calibri"/>
          <w:sz w:val="22"/>
          <w:szCs w:val="22"/>
        </w:rPr>
      </w:pPr>
      <w:r w:rsidRPr="00A853CA">
        <w:rPr>
          <w:rFonts w:ascii="Calibri" w:hAnsi="Calibri" w:cs="Calibri"/>
          <w:sz w:val="22"/>
          <w:szCs w:val="22"/>
        </w:rPr>
        <w:t>Following the procurement of chips and the preparation of a site, firms such as Dell or the internal hardware teams of hyperscalers handle hardware assembly,</w:t>
      </w:r>
      <w:r>
        <w:rPr>
          <w:rFonts w:ascii="Calibri" w:hAnsi="Calibri" w:cs="Calibri"/>
          <w:sz w:val="22"/>
          <w:szCs w:val="22"/>
        </w:rPr>
        <w:t xml:space="preserve"> </w:t>
      </w:r>
      <w:r w:rsidRPr="001B0A8E">
        <w:rPr>
          <w:rFonts w:ascii="Calibri" w:hAnsi="Calibri" w:cs="Calibri"/>
          <w:sz w:val="22"/>
          <w:szCs w:val="22"/>
        </w:rPr>
        <w:t>while the physical construction of the facility itself is carried out by specialist contractors.</w:t>
      </w:r>
      <w:r>
        <w:rPr>
          <w:rFonts w:ascii="Calibri" w:hAnsi="Calibri" w:cs="Calibri"/>
          <w:sz w:val="22"/>
          <w:szCs w:val="22"/>
        </w:rPr>
        <w:t xml:space="preserve"> </w:t>
      </w:r>
      <w:r w:rsidRPr="001B0A8E">
        <w:rPr>
          <w:rFonts w:ascii="Calibri" w:hAnsi="Calibri" w:cs="Calibri"/>
          <w:sz w:val="22"/>
          <w:szCs w:val="22"/>
        </w:rPr>
        <w:t>Colocation and real estate operators then lease the finished facility and its power capacity to hyperscalers or AI-native companies, who integrate the space, power, and hardware to run their operations.</w:t>
      </w:r>
      <w:r>
        <w:rPr>
          <w:rFonts w:ascii="Calibri" w:hAnsi="Calibri" w:cs="Calibri"/>
          <w:sz w:val="22"/>
          <w:szCs w:val="22"/>
        </w:rPr>
        <w:t xml:space="preserve"> </w:t>
      </w:r>
      <w:r w:rsidRPr="001B0A8E">
        <w:rPr>
          <w:rFonts w:ascii="Calibri" w:hAnsi="Calibri" w:cs="Calibri"/>
          <w:sz w:val="22"/>
          <w:szCs w:val="22"/>
        </w:rPr>
        <w:t xml:space="preserve">From there, final services </w:t>
      </w:r>
      <w:r>
        <w:rPr>
          <w:rFonts w:ascii="Calibri" w:hAnsi="Calibri" w:cs="Calibri"/>
          <w:sz w:val="22"/>
          <w:szCs w:val="22"/>
        </w:rPr>
        <w:t xml:space="preserve">such as </w:t>
      </w:r>
      <w:r w:rsidRPr="001B0A8E">
        <w:rPr>
          <w:rFonts w:ascii="Calibri" w:hAnsi="Calibri" w:cs="Calibri"/>
          <w:sz w:val="22"/>
          <w:szCs w:val="22"/>
        </w:rPr>
        <w:t xml:space="preserve">cloud computing and AI </w:t>
      </w:r>
      <w:r>
        <w:rPr>
          <w:rFonts w:ascii="Calibri" w:hAnsi="Calibri" w:cs="Calibri"/>
          <w:sz w:val="22"/>
          <w:szCs w:val="22"/>
        </w:rPr>
        <w:t>services</w:t>
      </w:r>
      <w:r w:rsidRPr="001B0A8E">
        <w:rPr>
          <w:rFonts w:ascii="Calibri" w:hAnsi="Calibri" w:cs="Calibri"/>
          <w:sz w:val="22"/>
          <w:szCs w:val="22"/>
        </w:rPr>
        <w:t xml:space="preserve"> are delivered to end customers, including enterprises, governments, and the </w:t>
      </w:r>
      <w:r>
        <w:rPr>
          <w:rFonts w:ascii="Calibri" w:hAnsi="Calibri" w:cs="Calibri"/>
          <w:sz w:val="22"/>
          <w:szCs w:val="22"/>
        </w:rPr>
        <w:t>public.</w:t>
      </w:r>
    </w:p>
    <w:p w14:paraId="49E3383F" w14:textId="77777777" w:rsidR="001448BA" w:rsidRDefault="001448BA" w:rsidP="001A47FF">
      <w:pPr>
        <w:rPr>
          <w:rFonts w:ascii="Calibri" w:hAnsi="Calibri" w:cs="Calibri"/>
          <w:sz w:val="22"/>
          <w:szCs w:val="22"/>
        </w:rPr>
      </w:pPr>
    </w:p>
    <w:tbl>
      <w:tblPr>
        <w:tblStyle w:val="PlainTable1"/>
        <w:tblW w:w="5000" w:type="pct"/>
        <w:tblLook w:val="04A0" w:firstRow="1" w:lastRow="0" w:firstColumn="1" w:lastColumn="0" w:noHBand="0" w:noVBand="1"/>
      </w:tblPr>
      <w:tblGrid>
        <w:gridCol w:w="1713"/>
        <w:gridCol w:w="1420"/>
        <w:gridCol w:w="421"/>
        <w:gridCol w:w="1049"/>
        <w:gridCol w:w="421"/>
        <w:gridCol w:w="1268"/>
        <w:gridCol w:w="433"/>
        <w:gridCol w:w="1314"/>
        <w:gridCol w:w="433"/>
        <w:gridCol w:w="1264"/>
      </w:tblGrid>
      <w:tr w:rsidR="002B3E38" w14:paraId="597F37A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0" w:type="pct"/>
            <w:shd w:val="clear" w:color="auto" w:fill="123B5D"/>
            <w:hideMark/>
          </w:tcPr>
          <w:p w14:paraId="5CE7C2D1" w14:textId="3368B277" w:rsidR="002B3E38" w:rsidRDefault="002B3E38" w:rsidP="002B3E38">
            <w:pPr>
              <w:jc w:val="center"/>
              <w:rPr>
                <w:color w:val="FFFFFF"/>
                <w:sz w:val="18"/>
                <w:szCs w:val="18"/>
                <w:lang w:eastAsia="en-AE"/>
              </w:rPr>
            </w:pPr>
            <w:r>
              <w:rPr>
                <w:color w:val="FFFFFF"/>
                <w:sz w:val="18"/>
                <w:szCs w:val="18"/>
              </w:rPr>
              <w:br/>
            </w:r>
            <w:r>
              <w:rPr>
                <w:color w:val="FFFFFF"/>
                <w:sz w:val="18"/>
                <w:szCs w:val="18"/>
              </w:rPr>
              <w:br/>
              <w:t>COMPUTE</w:t>
            </w:r>
          </w:p>
        </w:tc>
        <w:tc>
          <w:tcPr>
            <w:tcW w:w="600" w:type="pct"/>
            <w:shd w:val="clear" w:color="auto" w:fill="F4F8FA"/>
            <w:hideMark/>
          </w:tcPr>
          <w:p w14:paraId="4229B859"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123B5D"/>
                <w:sz w:val="18"/>
                <w:szCs w:val="18"/>
              </w:rPr>
            </w:pPr>
            <w:r>
              <w:rPr>
                <w:color w:val="123B5D"/>
                <w:sz w:val="18"/>
                <w:szCs w:val="18"/>
              </w:rPr>
              <w:t>Chip manufacturing</w:t>
            </w:r>
          </w:p>
          <w:p w14:paraId="559201CD"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Eg: TSMC</w:t>
            </w:r>
          </w:p>
        </w:tc>
        <w:tc>
          <w:tcPr>
            <w:tcW w:w="200" w:type="pct"/>
            <w:hideMark/>
          </w:tcPr>
          <w:p w14:paraId="5D5BFCA6"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123B5D"/>
                <w:sz w:val="34"/>
                <w:szCs w:val="34"/>
              </w:rPr>
            </w:pPr>
            <w:r>
              <w:rPr>
                <w:color w:val="123B5D"/>
                <w:sz w:val="34"/>
                <w:szCs w:val="34"/>
              </w:rPr>
              <w:t>→</w:t>
            </w:r>
          </w:p>
        </w:tc>
        <w:tc>
          <w:tcPr>
            <w:tcW w:w="650" w:type="pct"/>
            <w:shd w:val="clear" w:color="auto" w:fill="F4F8FA"/>
            <w:hideMark/>
          </w:tcPr>
          <w:p w14:paraId="2CF84AB7"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123B5D"/>
                <w:sz w:val="18"/>
                <w:szCs w:val="18"/>
              </w:rPr>
            </w:pPr>
            <w:r>
              <w:rPr>
                <w:color w:val="123B5D"/>
                <w:sz w:val="18"/>
                <w:szCs w:val="18"/>
              </w:rPr>
              <w:t>Chip design</w:t>
            </w:r>
          </w:p>
          <w:p w14:paraId="4C572339"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Eg: NVIDIA</w:t>
            </w:r>
          </w:p>
        </w:tc>
        <w:tc>
          <w:tcPr>
            <w:tcW w:w="200" w:type="pct"/>
            <w:hideMark/>
          </w:tcPr>
          <w:p w14:paraId="45EF2C41"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123B5D"/>
                <w:sz w:val="34"/>
                <w:szCs w:val="34"/>
              </w:rPr>
            </w:pPr>
            <w:r>
              <w:rPr>
                <w:color w:val="123B5D"/>
                <w:sz w:val="34"/>
                <w:szCs w:val="34"/>
              </w:rPr>
              <w:t>→</w:t>
            </w:r>
          </w:p>
        </w:tc>
        <w:tc>
          <w:tcPr>
            <w:tcW w:w="650" w:type="pct"/>
            <w:shd w:val="clear" w:color="auto" w:fill="F4F8FA"/>
            <w:hideMark/>
          </w:tcPr>
          <w:p w14:paraId="03819EB2"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123B5D"/>
                <w:sz w:val="18"/>
                <w:szCs w:val="18"/>
              </w:rPr>
            </w:pPr>
            <w:r>
              <w:rPr>
                <w:color w:val="123B5D"/>
                <w:sz w:val="18"/>
                <w:szCs w:val="18"/>
              </w:rPr>
              <w:t>Hardware assembly</w:t>
            </w:r>
          </w:p>
          <w:p w14:paraId="1EB1C76A"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Eg: Dell / internal teams</w:t>
            </w:r>
          </w:p>
        </w:tc>
        <w:tc>
          <w:tcPr>
            <w:tcW w:w="250" w:type="pct"/>
            <w:hideMark/>
          </w:tcPr>
          <w:p w14:paraId="253C028E"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2AA6A1"/>
                <w:sz w:val="36"/>
                <w:szCs w:val="36"/>
              </w:rPr>
            </w:pPr>
            <w:r>
              <w:rPr>
                <w:color w:val="2AA6A1"/>
                <w:sz w:val="36"/>
                <w:szCs w:val="36"/>
              </w:rPr>
              <w:t>↘</w:t>
            </w:r>
          </w:p>
        </w:tc>
        <w:tc>
          <w:tcPr>
            <w:tcW w:w="850" w:type="pct"/>
            <w:vMerge w:val="restart"/>
            <w:tcBorders>
              <w:left w:val="single" w:sz="24" w:space="0" w:color="2AA6A1"/>
            </w:tcBorders>
            <w:shd w:val="clear" w:color="auto" w:fill="E9F6F5"/>
            <w:hideMark/>
          </w:tcPr>
          <w:p w14:paraId="0A3ABB49"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0B7A75"/>
                <w:sz w:val="18"/>
                <w:szCs w:val="18"/>
              </w:rPr>
            </w:pPr>
            <w:r>
              <w:rPr>
                <w:color w:val="0B7A75"/>
                <w:sz w:val="18"/>
                <w:szCs w:val="18"/>
              </w:rPr>
              <w:t>DATA-CENTRE CAPACITY</w:t>
            </w:r>
          </w:p>
          <w:p w14:paraId="0A2F8DC1"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Colocation operators</w:t>
            </w:r>
          </w:p>
          <w:p w14:paraId="5D5DDB5C"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w:t>
            </w:r>
          </w:p>
          <w:p w14:paraId="74B545BD"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Hyperscalers &amp; AI-native firms</w:t>
            </w:r>
          </w:p>
        </w:tc>
        <w:tc>
          <w:tcPr>
            <w:tcW w:w="200" w:type="pct"/>
            <w:vMerge w:val="restart"/>
            <w:hideMark/>
          </w:tcPr>
          <w:p w14:paraId="69416463"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123B5D"/>
                <w:sz w:val="36"/>
                <w:szCs w:val="36"/>
              </w:rPr>
            </w:pPr>
            <w:r>
              <w:rPr>
                <w:color w:val="123B5D"/>
                <w:sz w:val="36"/>
                <w:szCs w:val="36"/>
              </w:rPr>
              <w:t>→</w:t>
            </w:r>
          </w:p>
        </w:tc>
        <w:tc>
          <w:tcPr>
            <w:tcW w:w="700" w:type="pct"/>
            <w:vMerge w:val="restart"/>
            <w:shd w:val="clear" w:color="auto" w:fill="123B5D"/>
            <w:hideMark/>
          </w:tcPr>
          <w:p w14:paraId="0CB50634"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FFFFFF"/>
                <w:sz w:val="18"/>
                <w:szCs w:val="18"/>
              </w:rPr>
            </w:pPr>
            <w:r>
              <w:rPr>
                <w:color w:val="FFFFFF"/>
                <w:sz w:val="18"/>
                <w:szCs w:val="18"/>
              </w:rPr>
              <w:t>CLOUD &amp; AI SERVICES</w:t>
            </w:r>
          </w:p>
          <w:p w14:paraId="17BBC35F"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BFE4E1"/>
                <w:sz w:val="20"/>
                <w:szCs w:val="20"/>
              </w:rPr>
            </w:pPr>
            <w:r>
              <w:rPr>
                <w:color w:val="BFE4E1"/>
                <w:sz w:val="20"/>
                <w:szCs w:val="20"/>
              </w:rPr>
              <w:t>to</w:t>
            </w:r>
          </w:p>
          <w:p w14:paraId="1942DC1F"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FFFFFF"/>
                <w:sz w:val="18"/>
                <w:szCs w:val="18"/>
              </w:rPr>
            </w:pPr>
            <w:r>
              <w:rPr>
                <w:color w:val="FFFFFF"/>
                <w:sz w:val="18"/>
                <w:szCs w:val="18"/>
              </w:rPr>
              <w:t>END CUSTOMERS</w:t>
            </w:r>
          </w:p>
          <w:p w14:paraId="3503451D" w14:textId="77777777" w:rsidR="002B3E38" w:rsidRDefault="002B3E38">
            <w:pPr>
              <w:jc w:val="center"/>
              <w:cnfStyle w:val="100000000000" w:firstRow="1" w:lastRow="0" w:firstColumn="0" w:lastColumn="0" w:oddVBand="0" w:evenVBand="0" w:oddHBand="0" w:evenHBand="0" w:firstRowFirstColumn="0" w:firstRowLastColumn="0" w:lastRowFirstColumn="0" w:lastRowLastColumn="0"/>
              <w:rPr>
                <w:color w:val="D7E2E8"/>
                <w:sz w:val="16"/>
                <w:szCs w:val="16"/>
              </w:rPr>
            </w:pPr>
            <w:r>
              <w:rPr>
                <w:color w:val="D7E2E8"/>
                <w:sz w:val="16"/>
                <w:szCs w:val="16"/>
              </w:rPr>
              <w:t>Enterprises · Governments · Public</w:t>
            </w:r>
          </w:p>
        </w:tc>
      </w:tr>
      <w:tr w:rsidR="002B3E38" w14:paraId="3C5034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7"/>
            <w:hideMark/>
          </w:tcPr>
          <w:p w14:paraId="00881FBA" w14:textId="77777777" w:rsidR="002B3E38" w:rsidRDefault="002B3E38" w:rsidP="002B3E38">
            <w:pPr>
              <w:jc w:val="center"/>
              <w:rPr>
                <w:color w:val="FFFFFF"/>
                <w:sz w:val="8"/>
                <w:szCs w:val="8"/>
              </w:rPr>
            </w:pPr>
            <w:r>
              <w:rPr>
                <w:color w:val="FFFFFF"/>
                <w:sz w:val="8"/>
                <w:szCs w:val="8"/>
              </w:rPr>
              <w:t>.</w:t>
            </w:r>
          </w:p>
        </w:tc>
        <w:tc>
          <w:tcPr>
            <w:tcW w:w="0" w:type="auto"/>
            <w:vMerge/>
            <w:tcBorders>
              <w:left w:val="single" w:sz="24" w:space="0" w:color="2AA6A1"/>
            </w:tcBorders>
            <w:vAlign w:val="center"/>
            <w:hideMark/>
          </w:tcPr>
          <w:p w14:paraId="0135CC4F" w14:textId="77777777" w:rsidR="002B3E38" w:rsidRDefault="002B3E38">
            <w:pPr>
              <w:spacing w:after="0" w:line="278" w:lineRule="auto"/>
              <w:jc w:val="left"/>
              <w:cnfStyle w:val="000000100000" w:firstRow="0" w:lastRow="0" w:firstColumn="0" w:lastColumn="0" w:oddVBand="0" w:evenVBand="0" w:oddHBand="1" w:evenHBand="0" w:firstRowFirstColumn="0" w:firstRowLastColumn="0" w:lastRowFirstColumn="0" w:lastRowLastColumn="0"/>
              <w:rPr>
                <w:rFonts w:cs="Times New Roman"/>
                <w:color w:val="64748B"/>
                <w:sz w:val="16"/>
                <w:szCs w:val="16"/>
              </w:rPr>
            </w:pPr>
          </w:p>
        </w:tc>
        <w:tc>
          <w:tcPr>
            <w:tcW w:w="0" w:type="auto"/>
            <w:vMerge/>
            <w:vAlign w:val="center"/>
            <w:hideMark/>
          </w:tcPr>
          <w:p w14:paraId="07EBACD9" w14:textId="77777777" w:rsidR="002B3E38" w:rsidRDefault="002B3E38">
            <w:pPr>
              <w:spacing w:after="0" w:line="278" w:lineRule="auto"/>
              <w:jc w:val="left"/>
              <w:cnfStyle w:val="000000100000" w:firstRow="0" w:lastRow="0" w:firstColumn="0" w:lastColumn="0" w:oddVBand="0" w:evenVBand="0" w:oddHBand="1" w:evenHBand="0" w:firstRowFirstColumn="0" w:firstRowLastColumn="0" w:lastRowFirstColumn="0" w:lastRowLastColumn="0"/>
              <w:rPr>
                <w:rFonts w:cs="Times New Roman"/>
                <w:color w:val="123B5D"/>
                <w:sz w:val="36"/>
                <w:szCs w:val="36"/>
              </w:rPr>
            </w:pPr>
          </w:p>
        </w:tc>
        <w:tc>
          <w:tcPr>
            <w:tcW w:w="0" w:type="auto"/>
            <w:vMerge/>
            <w:vAlign w:val="center"/>
            <w:hideMark/>
          </w:tcPr>
          <w:p w14:paraId="7752BE01" w14:textId="77777777" w:rsidR="002B3E38" w:rsidRDefault="002B3E38">
            <w:pPr>
              <w:spacing w:after="0" w:line="278" w:lineRule="auto"/>
              <w:jc w:val="left"/>
              <w:cnfStyle w:val="000000100000" w:firstRow="0" w:lastRow="0" w:firstColumn="0" w:lastColumn="0" w:oddVBand="0" w:evenVBand="0" w:oddHBand="1" w:evenHBand="0" w:firstRowFirstColumn="0" w:firstRowLastColumn="0" w:lastRowFirstColumn="0" w:lastRowLastColumn="0"/>
              <w:rPr>
                <w:rFonts w:cs="Times New Roman"/>
                <w:color w:val="D7E2E8"/>
                <w:sz w:val="16"/>
                <w:szCs w:val="16"/>
              </w:rPr>
            </w:pPr>
          </w:p>
        </w:tc>
      </w:tr>
      <w:tr w:rsidR="002B3E38" w14:paraId="588E2930" w14:textId="77777777">
        <w:tc>
          <w:tcPr>
            <w:cnfStyle w:val="001000000000" w:firstRow="0" w:lastRow="0" w:firstColumn="1" w:lastColumn="0" w:oddVBand="0" w:evenVBand="0" w:oddHBand="0" w:evenHBand="0" w:firstRowFirstColumn="0" w:firstRowLastColumn="0" w:lastRowFirstColumn="0" w:lastRowLastColumn="0"/>
            <w:tcW w:w="700" w:type="pct"/>
            <w:shd w:val="clear" w:color="auto" w:fill="2AA6A1"/>
            <w:hideMark/>
          </w:tcPr>
          <w:p w14:paraId="6BFFE691" w14:textId="52933E2B" w:rsidR="002B3E38" w:rsidRDefault="002B3E38" w:rsidP="002B3E38">
            <w:pPr>
              <w:jc w:val="center"/>
              <w:rPr>
                <w:color w:val="FFFFFF"/>
                <w:sz w:val="18"/>
                <w:szCs w:val="18"/>
              </w:rPr>
            </w:pPr>
            <w:r>
              <w:rPr>
                <w:color w:val="FFFFFF"/>
                <w:sz w:val="18"/>
                <w:szCs w:val="18"/>
              </w:rPr>
              <w:br/>
              <w:t>SITE &amp; INFRASTRUCTURE</w:t>
            </w:r>
          </w:p>
        </w:tc>
        <w:tc>
          <w:tcPr>
            <w:tcW w:w="600" w:type="pct"/>
            <w:shd w:val="clear" w:color="auto" w:fill="E9F6F5"/>
            <w:hideMark/>
          </w:tcPr>
          <w:p w14:paraId="533D3FF6" w14:textId="77777777" w:rsidR="002B3E38" w:rsidRDefault="002B3E38">
            <w:pPr>
              <w:jc w:val="center"/>
              <w:cnfStyle w:val="000000000000" w:firstRow="0" w:lastRow="0" w:firstColumn="0" w:lastColumn="0" w:oddVBand="0" w:evenVBand="0" w:oddHBand="0" w:evenHBand="0" w:firstRowFirstColumn="0" w:firstRowLastColumn="0" w:lastRowFirstColumn="0" w:lastRowLastColumn="0"/>
              <w:rPr>
                <w:color w:val="0B7A75"/>
                <w:sz w:val="18"/>
                <w:szCs w:val="18"/>
              </w:rPr>
            </w:pPr>
            <w:r>
              <w:rPr>
                <w:b/>
                <w:bCs/>
                <w:color w:val="0B7A75"/>
                <w:sz w:val="18"/>
                <w:szCs w:val="18"/>
              </w:rPr>
              <w:t>Land &amp; site</w:t>
            </w:r>
          </w:p>
        </w:tc>
        <w:tc>
          <w:tcPr>
            <w:tcW w:w="200" w:type="pct"/>
            <w:hideMark/>
          </w:tcPr>
          <w:p w14:paraId="6FCBA0CC" w14:textId="77777777" w:rsidR="002B3E38" w:rsidRDefault="002B3E38">
            <w:pPr>
              <w:jc w:val="center"/>
              <w:cnfStyle w:val="000000000000" w:firstRow="0" w:lastRow="0" w:firstColumn="0" w:lastColumn="0" w:oddVBand="0" w:evenVBand="0" w:oddHBand="0" w:evenHBand="0" w:firstRowFirstColumn="0" w:firstRowLastColumn="0" w:lastRowFirstColumn="0" w:lastRowLastColumn="0"/>
              <w:rPr>
                <w:color w:val="0B7A75"/>
                <w:sz w:val="34"/>
                <w:szCs w:val="34"/>
              </w:rPr>
            </w:pPr>
            <w:r>
              <w:rPr>
                <w:color w:val="0B7A75"/>
                <w:sz w:val="34"/>
                <w:szCs w:val="34"/>
              </w:rPr>
              <w:t>→</w:t>
            </w:r>
          </w:p>
        </w:tc>
        <w:tc>
          <w:tcPr>
            <w:tcW w:w="650" w:type="pct"/>
            <w:shd w:val="clear" w:color="auto" w:fill="E9F6F5"/>
            <w:hideMark/>
          </w:tcPr>
          <w:p w14:paraId="71E4A98B" w14:textId="77777777" w:rsidR="002B3E38" w:rsidRDefault="002B3E38">
            <w:pPr>
              <w:jc w:val="center"/>
              <w:cnfStyle w:val="000000000000" w:firstRow="0" w:lastRow="0" w:firstColumn="0" w:lastColumn="0" w:oddVBand="0" w:evenVBand="0" w:oddHBand="0" w:evenHBand="0" w:firstRowFirstColumn="0" w:firstRowLastColumn="0" w:lastRowFirstColumn="0" w:lastRowLastColumn="0"/>
              <w:rPr>
                <w:color w:val="0B7A75"/>
                <w:sz w:val="18"/>
                <w:szCs w:val="18"/>
              </w:rPr>
            </w:pPr>
            <w:r>
              <w:rPr>
                <w:b/>
                <w:bCs/>
                <w:color w:val="0B7A75"/>
                <w:sz w:val="18"/>
                <w:szCs w:val="18"/>
              </w:rPr>
              <w:t>Power &amp; cooling</w:t>
            </w:r>
          </w:p>
        </w:tc>
        <w:tc>
          <w:tcPr>
            <w:tcW w:w="200" w:type="pct"/>
            <w:hideMark/>
          </w:tcPr>
          <w:p w14:paraId="6C492803" w14:textId="77777777" w:rsidR="002B3E38" w:rsidRDefault="002B3E38">
            <w:pPr>
              <w:jc w:val="center"/>
              <w:cnfStyle w:val="000000000000" w:firstRow="0" w:lastRow="0" w:firstColumn="0" w:lastColumn="0" w:oddVBand="0" w:evenVBand="0" w:oddHBand="0" w:evenHBand="0" w:firstRowFirstColumn="0" w:firstRowLastColumn="0" w:lastRowFirstColumn="0" w:lastRowLastColumn="0"/>
              <w:rPr>
                <w:color w:val="0B7A75"/>
                <w:sz w:val="34"/>
                <w:szCs w:val="34"/>
              </w:rPr>
            </w:pPr>
            <w:r>
              <w:rPr>
                <w:color w:val="0B7A75"/>
                <w:sz w:val="34"/>
                <w:szCs w:val="34"/>
              </w:rPr>
              <w:t>→</w:t>
            </w:r>
          </w:p>
        </w:tc>
        <w:tc>
          <w:tcPr>
            <w:tcW w:w="650" w:type="pct"/>
            <w:shd w:val="clear" w:color="auto" w:fill="E9F6F5"/>
            <w:hideMark/>
          </w:tcPr>
          <w:p w14:paraId="4D90F84B" w14:textId="77777777" w:rsidR="002B3E38" w:rsidRDefault="002B3E38">
            <w:pPr>
              <w:jc w:val="center"/>
              <w:cnfStyle w:val="000000000000" w:firstRow="0" w:lastRow="0" w:firstColumn="0" w:lastColumn="0" w:oddVBand="0" w:evenVBand="0" w:oddHBand="0" w:evenHBand="0" w:firstRowFirstColumn="0" w:firstRowLastColumn="0" w:lastRowFirstColumn="0" w:lastRowLastColumn="0"/>
              <w:rPr>
                <w:color w:val="0B7A75"/>
                <w:sz w:val="18"/>
                <w:szCs w:val="18"/>
              </w:rPr>
            </w:pPr>
            <w:r>
              <w:rPr>
                <w:b/>
                <w:bCs/>
                <w:color w:val="0B7A75"/>
                <w:sz w:val="18"/>
                <w:szCs w:val="18"/>
              </w:rPr>
              <w:t>Facility construction</w:t>
            </w:r>
          </w:p>
          <w:p w14:paraId="4D92432A" w14:textId="77777777" w:rsidR="002B3E38" w:rsidRDefault="002B3E38">
            <w:pPr>
              <w:jc w:val="center"/>
              <w:cnfStyle w:val="000000000000" w:firstRow="0"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Specialist contractors</w:t>
            </w:r>
          </w:p>
        </w:tc>
        <w:tc>
          <w:tcPr>
            <w:tcW w:w="250" w:type="pct"/>
            <w:hideMark/>
          </w:tcPr>
          <w:p w14:paraId="7F278E00" w14:textId="77777777" w:rsidR="002B3E38" w:rsidRDefault="002B3E38">
            <w:pPr>
              <w:jc w:val="center"/>
              <w:cnfStyle w:val="000000000000" w:firstRow="0" w:lastRow="0" w:firstColumn="0" w:lastColumn="0" w:oddVBand="0" w:evenVBand="0" w:oddHBand="0" w:evenHBand="0" w:firstRowFirstColumn="0" w:firstRowLastColumn="0" w:lastRowFirstColumn="0" w:lastRowLastColumn="0"/>
              <w:rPr>
                <w:color w:val="2AA6A1"/>
                <w:sz w:val="36"/>
                <w:szCs w:val="36"/>
              </w:rPr>
            </w:pPr>
            <w:r>
              <w:rPr>
                <w:color w:val="2AA6A1"/>
                <w:sz w:val="36"/>
                <w:szCs w:val="36"/>
              </w:rPr>
              <w:t>↗</w:t>
            </w:r>
          </w:p>
        </w:tc>
        <w:tc>
          <w:tcPr>
            <w:tcW w:w="0" w:type="auto"/>
            <w:vMerge/>
            <w:tcBorders>
              <w:left w:val="single" w:sz="24" w:space="0" w:color="2AA6A1"/>
            </w:tcBorders>
            <w:vAlign w:val="center"/>
            <w:hideMark/>
          </w:tcPr>
          <w:p w14:paraId="2B7F9DD9" w14:textId="77777777" w:rsidR="002B3E38" w:rsidRDefault="002B3E38">
            <w:pPr>
              <w:spacing w:after="0" w:line="278" w:lineRule="auto"/>
              <w:jc w:val="left"/>
              <w:cnfStyle w:val="000000000000" w:firstRow="0" w:lastRow="0" w:firstColumn="0" w:lastColumn="0" w:oddVBand="0" w:evenVBand="0" w:oddHBand="0" w:evenHBand="0" w:firstRowFirstColumn="0" w:firstRowLastColumn="0" w:lastRowFirstColumn="0" w:lastRowLastColumn="0"/>
              <w:rPr>
                <w:rFonts w:cs="Times New Roman"/>
                <w:color w:val="64748B"/>
                <w:sz w:val="16"/>
                <w:szCs w:val="16"/>
              </w:rPr>
            </w:pPr>
          </w:p>
        </w:tc>
        <w:tc>
          <w:tcPr>
            <w:tcW w:w="0" w:type="auto"/>
            <w:vMerge/>
            <w:vAlign w:val="center"/>
            <w:hideMark/>
          </w:tcPr>
          <w:p w14:paraId="59D74D72" w14:textId="77777777" w:rsidR="002B3E38" w:rsidRDefault="002B3E38">
            <w:pPr>
              <w:spacing w:after="0" w:line="278" w:lineRule="auto"/>
              <w:jc w:val="left"/>
              <w:cnfStyle w:val="000000000000" w:firstRow="0" w:lastRow="0" w:firstColumn="0" w:lastColumn="0" w:oddVBand="0" w:evenVBand="0" w:oddHBand="0" w:evenHBand="0" w:firstRowFirstColumn="0" w:firstRowLastColumn="0" w:lastRowFirstColumn="0" w:lastRowLastColumn="0"/>
              <w:rPr>
                <w:rFonts w:cs="Times New Roman"/>
                <w:color w:val="123B5D"/>
                <w:sz w:val="36"/>
                <w:szCs w:val="36"/>
              </w:rPr>
            </w:pPr>
          </w:p>
        </w:tc>
        <w:tc>
          <w:tcPr>
            <w:tcW w:w="0" w:type="auto"/>
            <w:vMerge/>
            <w:vAlign w:val="center"/>
            <w:hideMark/>
          </w:tcPr>
          <w:p w14:paraId="33C2F06C" w14:textId="77777777" w:rsidR="002B3E38" w:rsidRDefault="002B3E38">
            <w:pPr>
              <w:spacing w:after="0" w:line="278" w:lineRule="auto"/>
              <w:jc w:val="left"/>
              <w:cnfStyle w:val="000000000000" w:firstRow="0" w:lastRow="0" w:firstColumn="0" w:lastColumn="0" w:oddVBand="0" w:evenVBand="0" w:oddHBand="0" w:evenHBand="0" w:firstRowFirstColumn="0" w:firstRowLastColumn="0" w:lastRowFirstColumn="0" w:lastRowLastColumn="0"/>
              <w:rPr>
                <w:rFonts w:cs="Times New Roman"/>
                <w:color w:val="D7E2E8"/>
                <w:sz w:val="16"/>
                <w:szCs w:val="16"/>
              </w:rPr>
            </w:pPr>
          </w:p>
        </w:tc>
      </w:tr>
    </w:tbl>
    <w:p w14:paraId="3AC8ADBB" w14:textId="77777777" w:rsidR="00E7029A" w:rsidRDefault="00E7029A">
      <w:pPr>
        <w:rPr>
          <w:lang w:eastAsia="en-AE"/>
        </w:rPr>
      </w:pPr>
    </w:p>
    <w:p w14:paraId="4182B91A" w14:textId="77777777" w:rsidR="00EA512A" w:rsidRDefault="00EA512A" w:rsidP="00EA512A">
      <w:pPr>
        <w:pStyle w:val="Heading2"/>
        <w:rPr>
          <w:rFonts w:cstheme="minorBidi"/>
          <w:lang w:eastAsia="en-AE"/>
        </w:rPr>
      </w:pPr>
      <w:r>
        <w:rPr>
          <w:rFonts w:ascii="Calibri" w:hAnsi="Calibri" w:cs="Calibri"/>
          <w:b/>
          <w:bCs/>
          <w:color w:val="000000"/>
          <w:sz w:val="22"/>
          <w:szCs w:val="22"/>
          <w:u w:val="single"/>
        </w:rPr>
        <w:t>Replaceability &amp; Lock-in</w:t>
      </w:r>
    </w:p>
    <w:p w14:paraId="24A5A01B" w14:textId="3DE73C7D" w:rsidR="00FF2E8E" w:rsidRDefault="006C61E1" w:rsidP="006C61E1">
      <w:pPr>
        <w:rPr>
          <w:rFonts w:ascii="Calibri" w:hAnsi="Calibri" w:cs="Calibri"/>
          <w:sz w:val="22"/>
          <w:szCs w:val="22"/>
        </w:rPr>
      </w:pPr>
      <w:r>
        <w:rPr>
          <w:rFonts w:ascii="Calibri" w:hAnsi="Calibri" w:cs="Calibri"/>
          <w:sz w:val="22"/>
          <w:szCs w:val="22"/>
          <w:lang w:val="en-US"/>
        </w:rPr>
        <w:t>Replaceability</w:t>
      </w:r>
      <w:r w:rsidR="00FF2E8E">
        <w:rPr>
          <w:rFonts w:ascii="Calibri" w:hAnsi="Calibri" w:cs="Calibri"/>
          <w:sz w:val="22"/>
          <w:szCs w:val="22"/>
          <w:lang w:val="en-US"/>
        </w:rPr>
        <w:t xml:space="preserve"> measures differently for different components of the supply chain. </w:t>
      </w:r>
      <w:r w:rsidR="00FB2875">
        <w:rPr>
          <w:rFonts w:ascii="Calibri" w:hAnsi="Calibri" w:cs="Calibri"/>
          <w:sz w:val="22"/>
          <w:szCs w:val="22"/>
          <w:lang w:val="en-US"/>
        </w:rPr>
        <w:t xml:space="preserve">Starting with chips, </w:t>
      </w:r>
      <w:r w:rsidRPr="001B0A8E">
        <w:rPr>
          <w:rFonts w:ascii="Calibri" w:hAnsi="Calibri" w:cs="Calibri"/>
          <w:sz w:val="22"/>
          <w:szCs w:val="22"/>
        </w:rPr>
        <w:t>as</w:t>
      </w:r>
      <w:r w:rsidR="005C5D47" w:rsidRPr="001B0A8E">
        <w:rPr>
          <w:rFonts w:ascii="Calibri" w:hAnsi="Calibri" w:cs="Calibri"/>
          <w:sz w:val="22"/>
          <w:szCs w:val="22"/>
        </w:rPr>
        <w:t xml:space="preserve"> of 2026, Nvidia dominates the chip market with roughly 75-81% share, followed by AMD at around 10%</w:t>
      </w:r>
      <w:r w:rsidR="005C5D47" w:rsidRPr="001B0A8E">
        <w:rPr>
          <w:rStyle w:val="FootnoteReference"/>
          <w:rFonts w:ascii="Calibri" w:hAnsi="Calibri" w:cs="Calibri"/>
          <w:sz w:val="22"/>
          <w:szCs w:val="22"/>
        </w:rPr>
        <w:footnoteReference w:id="13"/>
      </w:r>
      <w:r w:rsidR="005C5D47" w:rsidRPr="001B0A8E">
        <w:rPr>
          <w:rFonts w:ascii="Calibri" w:hAnsi="Calibri" w:cs="Calibri"/>
          <w:sz w:val="22"/>
          <w:szCs w:val="22"/>
        </w:rPr>
        <w:t>. Switching chips itself isn't the major problem, but the software that trains and runs on the chip is. For instance, Nvidia's CUDA is a software platform with the most AI research tools, most of which have been tested extensively on it. A company would have to rewrite significant amounts of software, retrain engineers, and risk bugs or performance issues in the process. So Nvidia isn't specifically at the top because it makes the best chips, but because of the whole software moat it has created around its hardware, which makes replaceability very tough.</w:t>
      </w:r>
    </w:p>
    <w:p w14:paraId="2F237365" w14:textId="3C72FA04" w:rsidR="008148F7" w:rsidRDefault="00240CC7" w:rsidP="006C61E1">
      <w:pPr>
        <w:rPr>
          <w:rFonts w:ascii="Calibri" w:hAnsi="Calibri" w:cs="Calibri"/>
          <w:sz w:val="22"/>
          <w:szCs w:val="22"/>
        </w:rPr>
      </w:pPr>
      <w:r w:rsidRPr="00240CC7">
        <w:rPr>
          <w:rFonts w:ascii="Calibri" w:hAnsi="Calibri" w:cs="Calibri"/>
          <w:sz w:val="22"/>
          <w:szCs w:val="22"/>
        </w:rPr>
        <w:t xml:space="preserve">Barriers to entry in construction are high, since data centres' massive energy demands make them politically sensitive, pushing developers to work only with a small, trusted pool of contractors who meet strict health, safety, and environmental standards </w:t>
      </w:r>
      <w:r>
        <w:rPr>
          <w:rFonts w:ascii="Calibri" w:hAnsi="Calibri" w:cs="Calibri"/>
          <w:sz w:val="22"/>
          <w:szCs w:val="22"/>
        </w:rPr>
        <w:t xml:space="preserve">- </w:t>
      </w:r>
      <w:r w:rsidRPr="00240CC7">
        <w:rPr>
          <w:rFonts w:ascii="Calibri" w:hAnsi="Calibri" w:cs="Calibri"/>
          <w:sz w:val="22"/>
          <w:szCs w:val="22"/>
        </w:rPr>
        <w:t>leaving little room for new entrants to break in.</w:t>
      </w:r>
      <w:r w:rsidR="00077265">
        <w:rPr>
          <w:rStyle w:val="FootnoteReference"/>
          <w:rFonts w:ascii="Calibri" w:hAnsi="Calibri" w:cs="Calibri"/>
          <w:sz w:val="22"/>
          <w:szCs w:val="22"/>
          <w:lang w:val="en-US"/>
        </w:rPr>
        <w:footnoteReference w:id="14"/>
      </w:r>
    </w:p>
    <w:p w14:paraId="7BAA14F8" w14:textId="7F93DF5B" w:rsidR="008148F7" w:rsidRDefault="008148F7" w:rsidP="006C61E1">
      <w:pPr>
        <w:rPr>
          <w:rFonts w:ascii="Calibri" w:hAnsi="Calibri" w:cs="Calibri"/>
          <w:sz w:val="22"/>
          <w:szCs w:val="22"/>
        </w:rPr>
      </w:pPr>
      <w:r>
        <w:rPr>
          <w:rFonts w:ascii="Calibri" w:hAnsi="Calibri" w:cs="Calibri"/>
          <w:sz w:val="22"/>
          <w:szCs w:val="22"/>
        </w:rPr>
        <w:t xml:space="preserve">When it comes to colocation markets and cooling sectors, market is not very concentrated. However, </w:t>
      </w:r>
      <w:r w:rsidR="00A617F3">
        <w:rPr>
          <w:rFonts w:ascii="Calibri" w:hAnsi="Calibri" w:cs="Calibri"/>
          <w:sz w:val="22"/>
          <w:szCs w:val="22"/>
        </w:rPr>
        <w:t xml:space="preserve">it isn’t easy switching providers </w:t>
      </w:r>
      <w:r w:rsidR="00A40057">
        <w:rPr>
          <w:rFonts w:ascii="Calibri" w:hAnsi="Calibri" w:cs="Calibri"/>
          <w:sz w:val="22"/>
          <w:szCs w:val="22"/>
        </w:rPr>
        <w:t>in real time, s</w:t>
      </w:r>
      <w:r w:rsidR="00A40057" w:rsidRPr="00A40057">
        <w:rPr>
          <w:rFonts w:ascii="Calibri" w:hAnsi="Calibri" w:cs="Calibri"/>
          <w:sz w:val="22"/>
          <w:szCs w:val="22"/>
        </w:rPr>
        <w:t>ince established operators have already secured scarce power capacity in key locations, which new entrants or competitors struggle to replicate given the same power constraints identified</w:t>
      </w:r>
      <w:r w:rsidR="00A40057">
        <w:rPr>
          <w:rFonts w:ascii="Calibri" w:hAnsi="Calibri" w:cs="Calibri"/>
          <w:sz w:val="22"/>
          <w:szCs w:val="22"/>
        </w:rPr>
        <w:t xml:space="preserve"> later in the report. </w:t>
      </w:r>
      <w:r w:rsidR="003A2A2B">
        <w:rPr>
          <w:rStyle w:val="FootnoteReference"/>
          <w:rFonts w:ascii="Calibri" w:hAnsi="Calibri" w:cs="Calibri"/>
          <w:sz w:val="22"/>
          <w:szCs w:val="22"/>
        </w:rPr>
        <w:footnoteReference w:id="15"/>
      </w:r>
    </w:p>
    <w:p w14:paraId="0506CF48" w14:textId="0E6DA765" w:rsidR="00957E15" w:rsidRDefault="004428C4" w:rsidP="006C61E1">
      <w:pPr>
        <w:rPr>
          <w:rFonts w:ascii="Calibri" w:hAnsi="Calibri" w:cs="Calibri"/>
          <w:sz w:val="22"/>
          <w:szCs w:val="22"/>
        </w:rPr>
      </w:pPr>
      <w:r w:rsidRPr="004428C4">
        <w:rPr>
          <w:rFonts w:ascii="Calibri" w:hAnsi="Calibri" w:cs="Calibri"/>
          <w:sz w:val="22"/>
          <w:szCs w:val="22"/>
        </w:rPr>
        <w:t>Across the chain, replaceability takes different forms: chips are locked in by software dependency, construction by trust and relationships, and colocation by physical scarcity of power</w:t>
      </w:r>
      <w:r w:rsidR="006017E1">
        <w:rPr>
          <w:rFonts w:ascii="Calibri" w:hAnsi="Calibri" w:cs="Calibri"/>
          <w:sz w:val="22"/>
          <w:szCs w:val="22"/>
        </w:rPr>
        <w:t xml:space="preserve">, indicating </w:t>
      </w:r>
      <w:r w:rsidR="00D407F2">
        <w:rPr>
          <w:rFonts w:ascii="Calibri" w:hAnsi="Calibri" w:cs="Calibri"/>
          <w:sz w:val="22"/>
          <w:szCs w:val="22"/>
        </w:rPr>
        <w:t>there is no single button that</w:t>
      </w:r>
      <w:r w:rsidR="00417480">
        <w:rPr>
          <w:rFonts w:ascii="Calibri" w:hAnsi="Calibri" w:cs="Calibri"/>
          <w:sz w:val="22"/>
          <w:szCs w:val="22"/>
        </w:rPr>
        <w:t xml:space="preserve"> could make switching across the industry easi</w:t>
      </w:r>
      <w:r w:rsidR="003F1D89">
        <w:rPr>
          <w:rFonts w:ascii="Calibri" w:hAnsi="Calibri" w:cs="Calibri"/>
          <w:sz w:val="22"/>
          <w:szCs w:val="22"/>
        </w:rPr>
        <w:t>ly</w:t>
      </w:r>
      <w:r w:rsidR="00466950">
        <w:rPr>
          <w:rFonts w:ascii="Calibri" w:hAnsi="Calibri" w:cs="Calibri"/>
          <w:sz w:val="22"/>
          <w:szCs w:val="22"/>
        </w:rPr>
        <w:t xml:space="preserve"> possible.</w:t>
      </w:r>
    </w:p>
    <w:p w14:paraId="639F0E9A" w14:textId="77777777" w:rsidR="003F1D89" w:rsidRDefault="003F1D89" w:rsidP="006C61E1">
      <w:pPr>
        <w:rPr>
          <w:rFonts w:ascii="Calibri" w:hAnsi="Calibri" w:cs="Calibri"/>
          <w:sz w:val="22"/>
          <w:szCs w:val="22"/>
        </w:rPr>
      </w:pPr>
    </w:p>
    <w:p w14:paraId="64DFF934" w14:textId="77777777" w:rsidR="003F1D89" w:rsidRDefault="003F1D89" w:rsidP="006C61E1">
      <w:pPr>
        <w:rPr>
          <w:rFonts w:ascii="Calibri" w:hAnsi="Calibri" w:cs="Calibri"/>
          <w:sz w:val="22"/>
          <w:szCs w:val="22"/>
        </w:rPr>
      </w:pPr>
    </w:p>
    <w:p w14:paraId="5D306D3C" w14:textId="77777777" w:rsidR="003F1D89" w:rsidRDefault="003F1D89" w:rsidP="006C61E1">
      <w:pPr>
        <w:rPr>
          <w:rFonts w:ascii="Calibri" w:hAnsi="Calibri" w:cs="Calibri"/>
          <w:sz w:val="22"/>
          <w:szCs w:val="22"/>
        </w:rPr>
      </w:pPr>
    </w:p>
    <w:p w14:paraId="7082579B" w14:textId="77777777" w:rsidR="003F1D89" w:rsidRDefault="003F1D89" w:rsidP="006C61E1">
      <w:pPr>
        <w:rPr>
          <w:rFonts w:ascii="Calibri" w:hAnsi="Calibri" w:cs="Calibri"/>
          <w:sz w:val="22"/>
          <w:szCs w:val="22"/>
        </w:rPr>
      </w:pPr>
    </w:p>
    <w:p w14:paraId="362C630B" w14:textId="77777777" w:rsidR="00EA512A" w:rsidRDefault="00EA512A" w:rsidP="00EA512A">
      <w:pPr>
        <w:pStyle w:val="Heading2"/>
        <w:rPr>
          <w:rFonts w:cstheme="minorBidi"/>
          <w:lang w:eastAsia="en-AE"/>
        </w:rPr>
      </w:pPr>
      <w:r>
        <w:rPr>
          <w:rFonts w:ascii="Calibri" w:hAnsi="Calibri" w:cs="Calibri"/>
          <w:b/>
          <w:bCs/>
          <w:color w:val="000000"/>
          <w:sz w:val="22"/>
          <w:szCs w:val="22"/>
          <w:u w:val="single"/>
        </w:rPr>
        <w:lastRenderedPageBreak/>
        <w:t>Bottleneck</w:t>
      </w:r>
    </w:p>
    <w:p w14:paraId="3186B17A" w14:textId="1AA22957" w:rsidR="005240FF" w:rsidRPr="009326CB" w:rsidRDefault="00A6458E" w:rsidP="00F13FC3">
      <w:pPr>
        <w:rPr>
          <w:rFonts w:ascii="Calibri" w:hAnsi="Calibri" w:cs="Calibri"/>
          <w:sz w:val="22"/>
          <w:szCs w:val="22"/>
        </w:rPr>
      </w:pPr>
      <w:r w:rsidRPr="001B0A8E">
        <w:rPr>
          <w:rFonts w:ascii="Calibri" w:hAnsi="Calibri" w:cs="Calibri"/>
          <w:sz w:val="22"/>
          <w:szCs w:val="22"/>
        </w:rPr>
        <w:t>The identified bottlenecks can be classified into two broad categories. First, the chips and semiconductor industry</w:t>
      </w:r>
      <w:r w:rsidR="006B7646">
        <w:rPr>
          <w:rFonts w:ascii="Calibri" w:hAnsi="Calibri" w:cs="Calibri"/>
          <w:sz w:val="22"/>
          <w:szCs w:val="22"/>
        </w:rPr>
        <w:t xml:space="preserve"> - </w:t>
      </w:r>
      <w:r w:rsidR="002565F4">
        <w:rPr>
          <w:rFonts w:ascii="Calibri" w:hAnsi="Calibri" w:cs="Calibri"/>
          <w:sz w:val="22"/>
          <w:szCs w:val="22"/>
        </w:rPr>
        <w:t>which</w:t>
      </w:r>
      <w:r w:rsidR="00022201">
        <w:rPr>
          <w:rFonts w:ascii="Calibri" w:hAnsi="Calibri" w:cs="Calibri"/>
          <w:sz w:val="22"/>
          <w:szCs w:val="22"/>
        </w:rPr>
        <w:t xml:space="preserve"> is highly concentrated on NVDA at the moment for designing and sales of chips.</w:t>
      </w:r>
      <w:r w:rsidRPr="001B0A8E">
        <w:rPr>
          <w:rFonts w:ascii="Calibri" w:hAnsi="Calibri" w:cs="Calibri"/>
          <w:sz w:val="22"/>
          <w:szCs w:val="22"/>
        </w:rPr>
        <w:t xml:space="preserve">  Nvidia, holding roughly 75-81% of AI chip market share (IDC), for the reasons discussed above (the CUDA software moat). A second concern under this category is the high concentration of chip manufacturing itself, with TSMC holding 67.6% market share and Samsung 7.7%</w:t>
      </w:r>
      <w:r w:rsidRPr="001B0A8E">
        <w:rPr>
          <w:rStyle w:val="FootnoteReference"/>
          <w:rFonts w:ascii="Calibri" w:hAnsi="Calibri" w:cs="Calibri"/>
          <w:sz w:val="22"/>
          <w:szCs w:val="22"/>
        </w:rPr>
        <w:footnoteReference w:id="16"/>
      </w:r>
      <w:r w:rsidRPr="001B0A8E">
        <w:rPr>
          <w:rFonts w:ascii="Calibri" w:hAnsi="Calibri" w:cs="Calibri"/>
          <w:sz w:val="22"/>
          <w:szCs w:val="22"/>
        </w:rPr>
        <w:t>. As demand rises, any disruption at one of these manufacturers is likely to affect the entire industry, since there are effectively no alternative fabricators at this scale. This risk is compounded by geopolitical tensions between Taiwan (TSMC's home base) and China, given China's territorial claims over Taiwan - any escalation could disrupt the majority of the world's advanced chip supply at once. The second broad category is the supply of power and utilities. As demand rises rapidly, regulatory approval processes, grid capacity planning, power transmission infrastructure, and renewable energy integration are all growing more slowly than demand requires. There is clearly demand - the question is whether it can be met by the current pace of power infrastructure buildout, which typically takes multiple years regardless of capital availability.</w:t>
      </w:r>
    </w:p>
    <w:tbl>
      <w:tblPr>
        <w:tblStyle w:val="PlainTable1"/>
        <w:tblW w:w="5000" w:type="pct"/>
        <w:tblLook w:val="04A0" w:firstRow="1" w:lastRow="0" w:firstColumn="1" w:lastColumn="0" w:noHBand="0" w:noVBand="1"/>
      </w:tblPr>
      <w:tblGrid>
        <w:gridCol w:w="3992"/>
        <w:gridCol w:w="876"/>
        <w:gridCol w:w="2726"/>
        <w:gridCol w:w="2142"/>
      </w:tblGrid>
      <w:tr w:rsidR="00851DB3" w14:paraId="39450EC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pct"/>
            <w:shd w:val="clear" w:color="auto" w:fill="F4F8FA"/>
            <w:hideMark/>
          </w:tcPr>
          <w:p w14:paraId="238EB6DE" w14:textId="77777777" w:rsidR="00851DB3" w:rsidRDefault="00851DB3">
            <w:pPr>
              <w:jc w:val="center"/>
              <w:rPr>
                <w:color w:val="64748B"/>
                <w:sz w:val="16"/>
                <w:szCs w:val="16"/>
                <w:lang w:eastAsia="en-AE"/>
              </w:rPr>
            </w:pPr>
            <w:r>
              <w:rPr>
                <w:color w:val="64748B"/>
                <w:sz w:val="16"/>
                <w:szCs w:val="16"/>
              </w:rPr>
              <w:t>CONCENTRATION RISK</w:t>
            </w:r>
          </w:p>
          <w:p w14:paraId="350A2A81" w14:textId="45D7E177" w:rsidR="00851DB3" w:rsidRDefault="00851DB3">
            <w:pPr>
              <w:jc w:val="center"/>
              <w:rPr>
                <w:color w:val="123B5D"/>
                <w:sz w:val="28"/>
                <w:szCs w:val="28"/>
              </w:rPr>
            </w:pPr>
            <w:r>
              <w:rPr>
                <w:color w:val="123B5D"/>
                <w:sz w:val="28"/>
                <w:szCs w:val="28"/>
              </w:rPr>
              <w:t>CHIPS &amp; SEMICONDUCTORS</w:t>
            </w:r>
          </w:p>
          <w:p w14:paraId="39C60E43" w14:textId="1B7976E7" w:rsidR="00851DB3" w:rsidRDefault="00851DB3" w:rsidP="00C41662">
            <w:pPr>
              <w:spacing w:line="240" w:lineRule="auto"/>
              <w:jc w:val="center"/>
              <w:rPr>
                <w:sz w:val="18"/>
                <w:szCs w:val="18"/>
              </w:rPr>
            </w:pPr>
            <w:r>
              <w:rPr>
                <w:sz w:val="18"/>
                <w:szCs w:val="18"/>
              </w:rPr>
              <w:t>Design · NVIDIA 75–81%</w:t>
            </w:r>
            <w:r w:rsidR="00C41662">
              <w:rPr>
                <w:sz w:val="18"/>
                <w:szCs w:val="18"/>
              </w:rPr>
              <w:br/>
            </w:r>
            <w:r>
              <w:rPr>
                <w:sz w:val="18"/>
                <w:szCs w:val="18"/>
              </w:rPr>
              <w:t>Manufacturing · TSMC 67.6% · Samsung 7.7%</w:t>
            </w:r>
          </w:p>
        </w:tc>
        <w:tc>
          <w:tcPr>
            <w:tcW w:w="450" w:type="pct"/>
            <w:vAlign w:val="center"/>
            <w:hideMark/>
          </w:tcPr>
          <w:p w14:paraId="7E1DE160" w14:textId="77777777" w:rsidR="00851DB3" w:rsidRDefault="00851DB3">
            <w:pPr>
              <w:jc w:val="center"/>
              <w:cnfStyle w:val="100000000000" w:firstRow="1" w:lastRow="0" w:firstColumn="0" w:lastColumn="0" w:oddVBand="0" w:evenVBand="0" w:oddHBand="0" w:evenHBand="0" w:firstRowFirstColumn="0" w:firstRowLastColumn="0" w:lastRowFirstColumn="0" w:lastRowLastColumn="0"/>
              <w:rPr>
                <w:color w:val="2AA6A1"/>
                <w:sz w:val="40"/>
                <w:szCs w:val="40"/>
              </w:rPr>
            </w:pPr>
            <w:r>
              <w:rPr>
                <w:color w:val="2AA6A1"/>
                <w:sz w:val="40"/>
                <w:szCs w:val="40"/>
              </w:rPr>
              <w:t>→</w:t>
            </w:r>
          </w:p>
        </w:tc>
        <w:tc>
          <w:tcPr>
            <w:tcW w:w="1400" w:type="pct"/>
            <w:vMerge w:val="restart"/>
            <w:tcBorders>
              <w:left w:val="single" w:sz="36" w:space="0" w:color="2AA6A1"/>
            </w:tcBorders>
            <w:shd w:val="clear" w:color="auto" w:fill="123B5D"/>
            <w:vAlign w:val="center"/>
            <w:hideMark/>
          </w:tcPr>
          <w:p w14:paraId="50783B41" w14:textId="06F9ED0C" w:rsidR="00851DB3" w:rsidRPr="00975FCF" w:rsidRDefault="00710E46" w:rsidP="00710E46">
            <w:pPr>
              <w:pStyle w:val="ListParagraph"/>
              <w:jc w:val="left"/>
              <w:cnfStyle w:val="100000000000" w:firstRow="1" w:lastRow="0" w:firstColumn="0" w:lastColumn="0" w:oddVBand="0" w:evenVBand="0" w:oddHBand="0" w:evenHBand="0" w:firstRowFirstColumn="0" w:firstRowLastColumn="0" w:lastRowFirstColumn="0" w:lastRowLastColumn="0"/>
              <w:rPr>
                <w:color w:val="D7E2E8"/>
                <w:sz w:val="16"/>
                <w:szCs w:val="16"/>
              </w:rPr>
            </w:pPr>
            <w:r>
              <w:rPr>
                <w:color w:val="FFFFFF"/>
                <w:sz w:val="20"/>
                <w:szCs w:val="20"/>
                <w:u w:val="single"/>
              </w:rPr>
              <w:t>BOTTLENECK</w:t>
            </w:r>
          </w:p>
        </w:tc>
        <w:tc>
          <w:tcPr>
            <w:tcW w:w="1100" w:type="pct"/>
            <w:vMerge w:val="restart"/>
            <w:shd w:val="clear" w:color="auto" w:fill="E9F6F5"/>
            <w:vAlign w:val="center"/>
            <w:hideMark/>
          </w:tcPr>
          <w:p w14:paraId="2F860328" w14:textId="77777777" w:rsidR="00851DB3" w:rsidRPr="00710E46" w:rsidRDefault="00851DB3">
            <w:pPr>
              <w:jc w:val="center"/>
              <w:cnfStyle w:val="100000000000" w:firstRow="1" w:lastRow="0" w:firstColumn="0" w:lastColumn="0" w:oddVBand="0" w:evenVBand="0" w:oddHBand="0" w:evenHBand="0" w:firstRowFirstColumn="0" w:firstRowLastColumn="0" w:lastRowFirstColumn="0" w:lastRowLastColumn="0"/>
              <w:rPr>
                <w:color w:val="64748B"/>
                <w:sz w:val="22"/>
                <w:szCs w:val="22"/>
                <w:u w:val="single"/>
              </w:rPr>
            </w:pPr>
            <w:r w:rsidRPr="00710E46">
              <w:rPr>
                <w:color w:val="64748B"/>
                <w:sz w:val="22"/>
                <w:szCs w:val="22"/>
                <w:u w:val="single"/>
              </w:rPr>
              <w:t>INDUSTRY EFFECT</w:t>
            </w:r>
          </w:p>
          <w:p w14:paraId="4333E781" w14:textId="77777777" w:rsidR="00851DB3" w:rsidRDefault="00851DB3">
            <w:pPr>
              <w:jc w:val="center"/>
              <w:cnfStyle w:val="100000000000" w:firstRow="1" w:lastRow="0" w:firstColumn="0" w:lastColumn="0" w:oddVBand="0" w:evenVBand="0" w:oddHBand="0" w:evenHBand="0" w:firstRowFirstColumn="0" w:firstRowLastColumn="0" w:lastRowFirstColumn="0" w:lastRowLastColumn="0"/>
              <w:rPr>
                <w:color w:val="0B7A75"/>
                <w:sz w:val="20"/>
                <w:szCs w:val="20"/>
              </w:rPr>
            </w:pPr>
            <w:r w:rsidRPr="00C0360E">
              <w:rPr>
                <w:color w:val="0B7A75"/>
                <w:sz w:val="22"/>
                <w:szCs w:val="22"/>
              </w:rPr>
              <w:t>Limited data-centre capacity</w:t>
            </w:r>
          </w:p>
        </w:tc>
      </w:tr>
      <w:tr w:rsidR="00851DB3" w14:paraId="3E99366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0" w:type="pct"/>
            <w:shd w:val="clear" w:color="auto" w:fill="E9F6F5"/>
            <w:hideMark/>
          </w:tcPr>
          <w:p w14:paraId="295432F2" w14:textId="77777777" w:rsidR="00851DB3" w:rsidRDefault="00851DB3">
            <w:pPr>
              <w:jc w:val="center"/>
              <w:rPr>
                <w:color w:val="64748B"/>
                <w:sz w:val="16"/>
                <w:szCs w:val="16"/>
              </w:rPr>
            </w:pPr>
            <w:r>
              <w:rPr>
                <w:color w:val="64748B"/>
                <w:sz w:val="16"/>
                <w:szCs w:val="16"/>
              </w:rPr>
              <w:t>BUILDOUT RISK</w:t>
            </w:r>
          </w:p>
          <w:p w14:paraId="1E333B2B" w14:textId="77777777" w:rsidR="00851DB3" w:rsidRDefault="00851DB3">
            <w:pPr>
              <w:jc w:val="center"/>
              <w:rPr>
                <w:color w:val="0B7A75"/>
                <w:sz w:val="28"/>
                <w:szCs w:val="28"/>
              </w:rPr>
            </w:pPr>
            <w:r>
              <w:rPr>
                <w:color w:val="0B7A75"/>
                <w:sz w:val="28"/>
                <w:szCs w:val="28"/>
              </w:rPr>
              <w:t>POWER &amp; UTILITIES</w:t>
            </w:r>
          </w:p>
          <w:p w14:paraId="2E719E83" w14:textId="77777777" w:rsidR="00851DB3" w:rsidRDefault="00851DB3" w:rsidP="00C41662">
            <w:pPr>
              <w:spacing w:line="240" w:lineRule="auto"/>
              <w:jc w:val="center"/>
              <w:rPr>
                <w:sz w:val="18"/>
                <w:szCs w:val="18"/>
              </w:rPr>
            </w:pPr>
            <w:r>
              <w:rPr>
                <w:sz w:val="18"/>
                <w:szCs w:val="18"/>
              </w:rPr>
              <w:t>Approvals · Grid planning · Transmission · Renewable integration</w:t>
            </w:r>
          </w:p>
        </w:tc>
        <w:tc>
          <w:tcPr>
            <w:tcW w:w="450" w:type="pct"/>
            <w:vAlign w:val="center"/>
            <w:hideMark/>
          </w:tcPr>
          <w:p w14:paraId="57DAE2C7" w14:textId="77777777" w:rsidR="00851DB3" w:rsidRDefault="00851DB3">
            <w:pPr>
              <w:jc w:val="center"/>
              <w:cnfStyle w:val="000000100000" w:firstRow="0" w:lastRow="0" w:firstColumn="0" w:lastColumn="0" w:oddVBand="0" w:evenVBand="0" w:oddHBand="1" w:evenHBand="0" w:firstRowFirstColumn="0" w:firstRowLastColumn="0" w:lastRowFirstColumn="0" w:lastRowLastColumn="0"/>
              <w:rPr>
                <w:color w:val="2AA6A1"/>
                <w:sz w:val="40"/>
                <w:szCs w:val="40"/>
              </w:rPr>
            </w:pPr>
            <w:r>
              <w:rPr>
                <w:color w:val="2AA6A1"/>
                <w:sz w:val="40"/>
                <w:szCs w:val="40"/>
              </w:rPr>
              <w:t>→</w:t>
            </w:r>
          </w:p>
        </w:tc>
        <w:tc>
          <w:tcPr>
            <w:tcW w:w="0" w:type="auto"/>
            <w:vMerge/>
            <w:tcBorders>
              <w:left w:val="single" w:sz="36" w:space="0" w:color="2AA6A1"/>
            </w:tcBorders>
            <w:vAlign w:val="center"/>
            <w:hideMark/>
          </w:tcPr>
          <w:p w14:paraId="033AC84F" w14:textId="77777777" w:rsidR="00851DB3" w:rsidRDefault="00851DB3">
            <w:pPr>
              <w:spacing w:after="0" w:line="278" w:lineRule="auto"/>
              <w:jc w:val="left"/>
              <w:cnfStyle w:val="000000100000" w:firstRow="0" w:lastRow="0" w:firstColumn="0" w:lastColumn="0" w:oddVBand="0" w:evenVBand="0" w:oddHBand="1" w:evenHBand="0" w:firstRowFirstColumn="0" w:firstRowLastColumn="0" w:lastRowFirstColumn="0" w:lastRowLastColumn="0"/>
              <w:rPr>
                <w:rFonts w:cs="Times New Roman"/>
                <w:color w:val="D7E2E8"/>
                <w:sz w:val="16"/>
                <w:szCs w:val="16"/>
              </w:rPr>
            </w:pPr>
          </w:p>
        </w:tc>
        <w:tc>
          <w:tcPr>
            <w:tcW w:w="0" w:type="auto"/>
            <w:vMerge/>
            <w:vAlign w:val="center"/>
            <w:hideMark/>
          </w:tcPr>
          <w:p w14:paraId="01233447" w14:textId="77777777" w:rsidR="00851DB3" w:rsidRDefault="00851DB3">
            <w:pPr>
              <w:spacing w:after="0" w:line="278" w:lineRule="auto"/>
              <w:jc w:val="left"/>
              <w:cnfStyle w:val="000000100000" w:firstRow="0" w:lastRow="0" w:firstColumn="0" w:lastColumn="0" w:oddVBand="0" w:evenVBand="0" w:oddHBand="1" w:evenHBand="0" w:firstRowFirstColumn="0" w:firstRowLastColumn="0" w:lastRowFirstColumn="0" w:lastRowLastColumn="0"/>
              <w:rPr>
                <w:rFonts w:cs="Times New Roman"/>
                <w:color w:val="0B7A75"/>
                <w:sz w:val="20"/>
                <w:szCs w:val="20"/>
              </w:rPr>
            </w:pPr>
          </w:p>
        </w:tc>
      </w:tr>
    </w:tbl>
    <w:p w14:paraId="696833B7" w14:textId="77777777" w:rsidR="00C96A1C" w:rsidRDefault="00C96A1C">
      <w:pPr>
        <w:rPr>
          <w:lang w:eastAsia="en-AE"/>
        </w:rPr>
      </w:pPr>
    </w:p>
    <w:p w14:paraId="3AB198F7" w14:textId="77777777" w:rsidR="00EA512A" w:rsidRDefault="00EA512A" w:rsidP="00EA512A">
      <w:pPr>
        <w:pStyle w:val="Heading2"/>
        <w:rPr>
          <w:rFonts w:cstheme="minorBidi"/>
          <w:lang w:eastAsia="en-AE"/>
        </w:rPr>
      </w:pPr>
      <w:r>
        <w:rPr>
          <w:rFonts w:ascii="Calibri" w:hAnsi="Calibri" w:cs="Calibri"/>
          <w:b/>
          <w:bCs/>
          <w:color w:val="000000"/>
          <w:sz w:val="22"/>
          <w:szCs w:val="22"/>
          <w:u w:val="single"/>
        </w:rPr>
        <w:t>Company-specific vs. Industry-wide Exposure</w:t>
      </w:r>
    </w:p>
    <w:p w14:paraId="32E2364E" w14:textId="7061BC84" w:rsidR="009326CB" w:rsidRDefault="008E6673" w:rsidP="00F13FC3">
      <w:pPr>
        <w:rPr>
          <w:rFonts w:ascii="Calibri" w:hAnsi="Calibri" w:cs="Calibri"/>
          <w:sz w:val="22"/>
          <w:szCs w:val="22"/>
        </w:rPr>
      </w:pPr>
      <w:r w:rsidRPr="001B0A8E">
        <w:rPr>
          <w:rFonts w:ascii="Calibri" w:hAnsi="Calibri" w:cs="Calibri"/>
          <w:sz w:val="22"/>
          <w:szCs w:val="22"/>
        </w:rPr>
        <w:t xml:space="preserve">This industry's growth is not concentrated on one company or sub-sector doing well. For instance, TSMC does not concern itself with who sells the most chips, </w:t>
      </w:r>
      <w:proofErr w:type="gramStart"/>
      <w:r w:rsidRPr="001B0A8E">
        <w:rPr>
          <w:rFonts w:ascii="Calibri" w:hAnsi="Calibri" w:cs="Calibri"/>
          <w:sz w:val="22"/>
          <w:szCs w:val="22"/>
        </w:rPr>
        <w:t>as long as</w:t>
      </w:r>
      <w:proofErr w:type="gramEnd"/>
      <w:r w:rsidRPr="001B0A8E">
        <w:rPr>
          <w:rFonts w:ascii="Calibri" w:hAnsi="Calibri" w:cs="Calibri"/>
          <w:sz w:val="22"/>
          <w:szCs w:val="22"/>
        </w:rPr>
        <w:t xml:space="preserve"> they manufacture them</w:t>
      </w:r>
      <w:r>
        <w:rPr>
          <w:rFonts w:ascii="Calibri" w:hAnsi="Calibri" w:cs="Calibri"/>
          <w:sz w:val="22"/>
          <w:szCs w:val="22"/>
        </w:rPr>
        <w:t>,</w:t>
      </w:r>
      <w:r w:rsidRPr="001B0A8E">
        <w:rPr>
          <w:rFonts w:ascii="Calibri" w:hAnsi="Calibri" w:cs="Calibri"/>
          <w:sz w:val="22"/>
          <w:szCs w:val="22"/>
        </w:rPr>
        <w:t xml:space="preserve"> TSMC profits regardless. Cooling and colocation also depict broad </w:t>
      </w:r>
      <w:r w:rsidR="00657F92" w:rsidRPr="001B0A8E">
        <w:rPr>
          <w:rFonts w:ascii="Calibri" w:hAnsi="Calibri" w:cs="Calibri"/>
          <w:sz w:val="22"/>
          <w:szCs w:val="22"/>
        </w:rPr>
        <w:t>growt</w:t>
      </w:r>
      <w:r w:rsidR="00657F92">
        <w:rPr>
          <w:rFonts w:ascii="Calibri" w:hAnsi="Calibri" w:cs="Calibri"/>
          <w:sz w:val="22"/>
          <w:szCs w:val="22"/>
        </w:rPr>
        <w:t>h;</w:t>
      </w:r>
      <w:r>
        <w:rPr>
          <w:rFonts w:ascii="Calibri" w:hAnsi="Calibri" w:cs="Calibri"/>
          <w:sz w:val="22"/>
          <w:szCs w:val="22"/>
        </w:rPr>
        <w:t xml:space="preserve"> </w:t>
      </w:r>
      <w:r w:rsidRPr="001B0A8E">
        <w:rPr>
          <w:rFonts w:ascii="Calibri" w:hAnsi="Calibri" w:cs="Calibri"/>
          <w:sz w:val="22"/>
          <w:szCs w:val="22"/>
        </w:rPr>
        <w:t>a data centre would need power and cooling no matter who buys it. The only place that would see the impact of one company's uncertainty is Nvidia</w:t>
      </w:r>
      <w:r>
        <w:rPr>
          <w:rFonts w:ascii="Calibri" w:hAnsi="Calibri" w:cs="Calibri"/>
          <w:sz w:val="22"/>
          <w:szCs w:val="22"/>
        </w:rPr>
        <w:t>,</w:t>
      </w:r>
      <w:r w:rsidRPr="001B0A8E">
        <w:rPr>
          <w:rFonts w:ascii="Calibri" w:hAnsi="Calibri" w:cs="Calibri"/>
          <w:sz w:val="22"/>
          <w:szCs w:val="22"/>
        </w:rPr>
        <w:t xml:space="preserve"> as it is the biggest supplier of chips, though the rest of the supply chain is increasingly protected from this risk given hyperscalers are already building their own custom chips as a workaround.</w:t>
      </w:r>
    </w:p>
    <w:p w14:paraId="57E323F2" w14:textId="77777777" w:rsidR="009326CB" w:rsidRDefault="009326CB" w:rsidP="00F13FC3">
      <w:pPr>
        <w:rPr>
          <w:rFonts w:ascii="Calibri" w:hAnsi="Calibri" w:cs="Calibri"/>
          <w:sz w:val="22"/>
          <w:szCs w:val="22"/>
        </w:rPr>
      </w:pPr>
    </w:p>
    <w:p w14:paraId="6FC02324" w14:textId="6576B700" w:rsidR="008148F7" w:rsidRDefault="009E00C3" w:rsidP="00F94036">
      <w:pPr>
        <w:pStyle w:val="Heading1"/>
        <w:rPr>
          <w:rFonts w:ascii="Calibri" w:hAnsi="Calibri" w:cs="Calibri"/>
          <w:sz w:val="22"/>
          <w:szCs w:val="22"/>
        </w:rPr>
      </w:pPr>
      <w:r>
        <w:rPr>
          <w:rFonts w:cstheme="minorBidi"/>
        </w:rPr>
        <w:lastRenderedPageBreak/>
        <w:br/>
      </w:r>
      <w:r w:rsidRPr="00F94036">
        <w:rPr>
          <w:rFonts w:cstheme="minorBidi"/>
        </w:rPr>
        <w:t>Recommendation</w:t>
      </w:r>
    </w:p>
    <w:tbl>
      <w:tblPr>
        <w:tblStyle w:val="PlainTable1"/>
        <w:tblpPr w:leftFromText="45" w:rightFromText="45" w:vertAnchor="text" w:tblpXSpec="right" w:tblpYSpec="center"/>
        <w:tblW w:w="1482" w:type="pct"/>
        <w:shd w:val="clear" w:color="auto" w:fill="E9F6F5"/>
        <w:tblLook w:val="04A0" w:firstRow="1" w:lastRow="0" w:firstColumn="1" w:lastColumn="0" w:noHBand="0" w:noVBand="1"/>
      </w:tblPr>
      <w:tblGrid>
        <w:gridCol w:w="1444"/>
        <w:gridCol w:w="1445"/>
      </w:tblGrid>
      <w:tr w:rsidR="003A346B" w14:paraId="4AD44F80" w14:textId="77777777" w:rsidTr="003A34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il"/>
              <w:left w:val="nil"/>
              <w:bottom w:val="nil"/>
              <w:right w:val="nil"/>
            </w:tcBorders>
            <w:shd w:val="clear" w:color="auto" w:fill="E9F6F5"/>
            <w:hideMark/>
          </w:tcPr>
          <w:p w14:paraId="69D568A5" w14:textId="77777777" w:rsidR="003A346B" w:rsidRDefault="003A346B" w:rsidP="003A346B">
            <w:pPr>
              <w:spacing w:line="240" w:lineRule="auto"/>
              <w:jc w:val="left"/>
              <w:rPr>
                <w:color w:val="64748B"/>
                <w:sz w:val="14"/>
                <w:szCs w:val="14"/>
                <w:lang w:eastAsia="en-AE"/>
              </w:rPr>
            </w:pPr>
            <w:r>
              <w:rPr>
                <w:color w:val="64748B"/>
                <w:sz w:val="14"/>
                <w:szCs w:val="14"/>
              </w:rPr>
              <w:t>TOTAL CAPITAL THROUGH 2030</w:t>
            </w:r>
          </w:p>
          <w:p w14:paraId="3B1C617A" w14:textId="77777777" w:rsidR="003A346B" w:rsidRDefault="003A346B" w:rsidP="003A346B">
            <w:pPr>
              <w:spacing w:line="240" w:lineRule="auto"/>
              <w:jc w:val="left"/>
              <w:rPr>
                <w:color w:val="123B5D"/>
                <w:sz w:val="34"/>
                <w:szCs w:val="34"/>
              </w:rPr>
            </w:pPr>
            <w:r>
              <w:rPr>
                <w:color w:val="123B5D"/>
                <w:sz w:val="34"/>
                <w:szCs w:val="34"/>
              </w:rPr>
              <w:t>US$6.7tn</w:t>
            </w:r>
          </w:p>
        </w:tc>
      </w:tr>
      <w:tr w:rsidR="003A346B" w14:paraId="6028A505" w14:textId="77777777" w:rsidTr="003A34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99" w:type="pct"/>
            <w:tcBorders>
              <w:top w:val="nil"/>
              <w:left w:val="nil"/>
              <w:bottom w:val="single" w:sz="36" w:space="0" w:color="123B5D"/>
              <w:right w:val="nil"/>
            </w:tcBorders>
            <w:shd w:val="clear" w:color="auto" w:fill="E9F6F5"/>
            <w:hideMark/>
          </w:tcPr>
          <w:p w14:paraId="4DFAB498" w14:textId="77777777" w:rsidR="003A346B" w:rsidRDefault="003A346B" w:rsidP="003A346B">
            <w:pPr>
              <w:rPr>
                <w:color w:val="123B5D"/>
                <w:sz w:val="16"/>
                <w:szCs w:val="16"/>
              </w:rPr>
            </w:pPr>
            <w:r>
              <w:rPr>
                <w:color w:val="123B5D"/>
                <w:sz w:val="16"/>
                <w:szCs w:val="16"/>
              </w:rPr>
              <w:t>60% Technology</w:t>
            </w:r>
          </w:p>
        </w:tc>
        <w:tc>
          <w:tcPr>
            <w:tcW w:w="2501" w:type="pct"/>
            <w:tcBorders>
              <w:top w:val="nil"/>
              <w:left w:val="nil"/>
              <w:bottom w:val="single" w:sz="36" w:space="0" w:color="2AA6A1"/>
              <w:right w:val="nil"/>
            </w:tcBorders>
            <w:shd w:val="clear" w:color="auto" w:fill="E9F6F5"/>
            <w:hideMark/>
          </w:tcPr>
          <w:p w14:paraId="25EF15EB" w14:textId="77777777" w:rsidR="003A346B" w:rsidRDefault="003A346B" w:rsidP="003A346B">
            <w:pPr>
              <w:jc w:val="center"/>
              <w:cnfStyle w:val="000000100000" w:firstRow="0" w:lastRow="0" w:firstColumn="0" w:lastColumn="0" w:oddVBand="0" w:evenVBand="0" w:oddHBand="1" w:evenHBand="0" w:firstRowFirstColumn="0" w:firstRowLastColumn="0" w:lastRowFirstColumn="0" w:lastRowLastColumn="0"/>
              <w:rPr>
                <w:color w:val="0B7A75"/>
                <w:sz w:val="16"/>
                <w:szCs w:val="16"/>
              </w:rPr>
            </w:pPr>
            <w:r>
              <w:rPr>
                <w:b/>
                <w:bCs/>
                <w:color w:val="0B7A75"/>
                <w:sz w:val="16"/>
                <w:szCs w:val="16"/>
              </w:rPr>
              <w:t xml:space="preserve">40% </w:t>
            </w:r>
            <w:proofErr w:type="gramStart"/>
            <w:r>
              <w:rPr>
                <w:b/>
                <w:bCs/>
                <w:color w:val="0B7A75"/>
                <w:sz w:val="16"/>
                <w:szCs w:val="16"/>
              </w:rPr>
              <w:t>Non-IT</w:t>
            </w:r>
            <w:proofErr w:type="gramEnd"/>
          </w:p>
        </w:tc>
      </w:tr>
      <w:tr w:rsidR="003A346B" w14:paraId="7CE86BF7" w14:textId="77777777" w:rsidTr="003A346B">
        <w:trPr>
          <w:trHeight w:val="1928"/>
        </w:trPr>
        <w:tc>
          <w:tcPr>
            <w:cnfStyle w:val="001000000000" w:firstRow="0" w:lastRow="0" w:firstColumn="1" w:lastColumn="0" w:oddVBand="0" w:evenVBand="0" w:oddHBand="0" w:evenHBand="0" w:firstRowFirstColumn="0" w:firstRowLastColumn="0" w:lastRowFirstColumn="0" w:lastRowLastColumn="0"/>
            <w:tcW w:w="2499" w:type="pct"/>
            <w:tcBorders>
              <w:top w:val="nil"/>
              <w:left w:val="nil"/>
              <w:bottom w:val="nil"/>
              <w:right w:val="nil"/>
            </w:tcBorders>
            <w:shd w:val="clear" w:color="auto" w:fill="E9F6F5"/>
            <w:hideMark/>
          </w:tcPr>
          <w:p w14:paraId="498768F5" w14:textId="77777777" w:rsidR="003A346B" w:rsidRDefault="003A346B" w:rsidP="003A346B">
            <w:pPr>
              <w:rPr>
                <w:b w:val="0"/>
                <w:bCs w:val="0"/>
                <w:szCs w:val="21"/>
              </w:rPr>
            </w:pPr>
          </w:p>
          <w:p w14:paraId="124FAA0E" w14:textId="77777777" w:rsidR="003A346B" w:rsidRDefault="003A346B" w:rsidP="003A346B">
            <w:pPr>
              <w:rPr>
                <w:szCs w:val="21"/>
              </w:rPr>
            </w:pPr>
          </w:p>
        </w:tc>
        <w:tc>
          <w:tcPr>
            <w:tcW w:w="0" w:type="auto"/>
            <w:tcBorders>
              <w:top w:val="nil"/>
              <w:left w:val="nil"/>
              <w:bottom w:val="nil"/>
              <w:right w:val="nil"/>
            </w:tcBorders>
            <w:shd w:val="clear" w:color="auto" w:fill="E9F6F5"/>
            <w:hideMark/>
          </w:tcPr>
          <w:p w14:paraId="153B8A85" w14:textId="77777777" w:rsidR="003A346B" w:rsidRDefault="003A346B" w:rsidP="003A346B">
            <w:pPr>
              <w:jc w:val="center"/>
              <w:cnfStyle w:val="000000000000" w:firstRow="0" w:lastRow="0" w:firstColumn="0" w:lastColumn="0" w:oddVBand="0" w:evenVBand="0" w:oddHBand="0" w:evenHBand="0" w:firstRowFirstColumn="0" w:firstRowLastColumn="0" w:lastRowFirstColumn="0" w:lastRowLastColumn="0"/>
              <w:rPr>
                <w:color w:val="2AA6A1"/>
                <w:sz w:val="20"/>
                <w:szCs w:val="20"/>
              </w:rPr>
            </w:pPr>
            <w:r>
              <w:rPr>
                <w:color w:val="2AA6A1"/>
                <w:sz w:val="20"/>
                <w:szCs w:val="20"/>
              </w:rPr>
              <w:t>↓</w:t>
            </w:r>
          </w:p>
          <w:p w14:paraId="283DC2F8" w14:textId="77777777" w:rsidR="003A346B" w:rsidRDefault="003A346B" w:rsidP="003A346B">
            <w:pPr>
              <w:jc w:val="center"/>
              <w:cnfStyle w:val="000000000000" w:firstRow="0" w:lastRow="0" w:firstColumn="0" w:lastColumn="0" w:oddVBand="0" w:evenVBand="0" w:oddHBand="0" w:evenHBand="0" w:firstRowFirstColumn="0" w:firstRowLastColumn="0" w:lastRowFirstColumn="0" w:lastRowLastColumn="0"/>
              <w:rPr>
                <w:color w:val="0B7A75"/>
                <w:sz w:val="28"/>
                <w:szCs w:val="28"/>
              </w:rPr>
            </w:pPr>
            <w:r>
              <w:rPr>
                <w:b/>
                <w:bCs/>
                <w:color w:val="0B7A75"/>
                <w:sz w:val="28"/>
                <w:szCs w:val="28"/>
              </w:rPr>
              <w:t>47–58%</w:t>
            </w:r>
          </w:p>
          <w:p w14:paraId="646D75D7" w14:textId="77777777" w:rsidR="003A346B" w:rsidRPr="003A346B" w:rsidRDefault="003A346B" w:rsidP="003A346B">
            <w:pPr>
              <w:jc w:val="center"/>
              <w:cnfStyle w:val="000000000000" w:firstRow="0" w:lastRow="0" w:firstColumn="0" w:lastColumn="0" w:oddVBand="0" w:evenVBand="0" w:oddHBand="0" w:evenHBand="0" w:firstRowFirstColumn="0" w:firstRowLastColumn="0" w:lastRowFirstColumn="0" w:lastRowLastColumn="0"/>
              <w:rPr>
                <w:color w:val="64748B"/>
                <w:sz w:val="16"/>
                <w:szCs w:val="16"/>
              </w:rPr>
            </w:pPr>
            <w:r w:rsidRPr="003A346B">
              <w:rPr>
                <w:color w:val="64748B"/>
                <w:sz w:val="16"/>
                <w:szCs w:val="16"/>
              </w:rPr>
              <w:t>Power &amp; cooling</w:t>
            </w:r>
          </w:p>
          <w:p w14:paraId="564E9976" w14:textId="77777777" w:rsidR="003A346B" w:rsidRDefault="003A346B" w:rsidP="003A346B">
            <w:pPr>
              <w:jc w:val="center"/>
              <w:cnfStyle w:val="000000000000" w:firstRow="0" w:lastRow="0" w:firstColumn="0" w:lastColumn="0" w:oddVBand="0" w:evenVBand="0" w:oddHBand="0" w:evenHBand="0" w:firstRowFirstColumn="0" w:firstRowLastColumn="0" w:lastRowFirstColumn="0" w:lastRowLastColumn="0"/>
              <w:rPr>
                <w:color w:val="2AA6A1"/>
                <w:sz w:val="20"/>
                <w:szCs w:val="20"/>
              </w:rPr>
            </w:pPr>
            <w:r>
              <w:rPr>
                <w:color w:val="2AA6A1"/>
                <w:sz w:val="20"/>
                <w:szCs w:val="20"/>
              </w:rPr>
              <w:t>↓</w:t>
            </w:r>
          </w:p>
          <w:p w14:paraId="20623456" w14:textId="369BE275" w:rsidR="003A346B" w:rsidRDefault="003A346B" w:rsidP="003A346B">
            <w:pPr>
              <w:jc w:val="center"/>
              <w:cnfStyle w:val="000000000000" w:firstRow="0" w:lastRow="0" w:firstColumn="0" w:lastColumn="0" w:oddVBand="0" w:evenVBand="0" w:oddHBand="0" w:evenHBand="0" w:firstRowFirstColumn="0" w:firstRowLastColumn="0" w:lastRowFirstColumn="0" w:lastRowLastColumn="0"/>
              <w:rPr>
                <w:color w:val="123B5D"/>
                <w:sz w:val="26"/>
                <w:szCs w:val="26"/>
              </w:rPr>
            </w:pPr>
            <w:r>
              <w:rPr>
                <w:b/>
                <w:bCs/>
                <w:color w:val="123B5D"/>
                <w:sz w:val="26"/>
                <w:szCs w:val="26"/>
              </w:rPr>
              <w:t>US$</w:t>
            </w:r>
            <w:r w:rsidR="003F5455">
              <w:rPr>
                <w:b/>
                <w:bCs/>
                <w:color w:val="123B5D"/>
                <w:sz w:val="26"/>
                <w:szCs w:val="26"/>
              </w:rPr>
              <w:t>220Bn</w:t>
            </w:r>
          </w:p>
          <w:p w14:paraId="727E935E" w14:textId="77777777" w:rsidR="003A346B" w:rsidRDefault="003A346B" w:rsidP="003A346B">
            <w:pPr>
              <w:spacing w:line="240" w:lineRule="auto"/>
              <w:jc w:val="center"/>
              <w:cnfStyle w:val="000000000000" w:firstRow="0" w:lastRow="0" w:firstColumn="0" w:lastColumn="0" w:oddVBand="0" w:evenVBand="0" w:oddHBand="0" w:evenHBand="0" w:firstRowFirstColumn="0" w:firstRowLastColumn="0" w:lastRowFirstColumn="0" w:lastRowLastColumn="0"/>
              <w:rPr>
                <w:color w:val="64748B"/>
                <w:sz w:val="14"/>
                <w:szCs w:val="14"/>
              </w:rPr>
            </w:pPr>
            <w:r w:rsidRPr="003A346B">
              <w:rPr>
                <w:color w:val="64748B"/>
                <w:sz w:val="16"/>
                <w:szCs w:val="16"/>
              </w:rPr>
              <w:t>Cooling opportunity</w:t>
            </w:r>
          </w:p>
        </w:tc>
      </w:tr>
    </w:tbl>
    <w:p w14:paraId="25282B4E" w14:textId="7ABB87B3" w:rsidR="003A346B" w:rsidRPr="003A346B" w:rsidRDefault="007D525C" w:rsidP="003A346B">
      <w:pPr>
        <w:pBdr>
          <w:left w:val="single" w:sz="36" w:space="0" w:color="2AA6A1"/>
        </w:pBdr>
        <w:shd w:val="clear" w:color="auto" w:fill="E9F6F5"/>
        <w:rPr>
          <w:color w:val="123B5D"/>
          <w:sz w:val="22"/>
          <w:szCs w:val="22"/>
        </w:rPr>
      </w:pPr>
      <w:r w:rsidRPr="001D2A8F">
        <w:rPr>
          <w:color w:val="123B5D"/>
          <w:sz w:val="22"/>
          <w:szCs w:val="22"/>
        </w:rPr>
        <w:t xml:space="preserve">Keeping in mind all the above research, </w:t>
      </w:r>
      <w:proofErr w:type="spellStart"/>
      <w:r w:rsidRPr="001D2A8F">
        <w:rPr>
          <w:color w:val="123B5D"/>
          <w:sz w:val="22"/>
          <w:szCs w:val="22"/>
        </w:rPr>
        <w:t>i</w:t>
      </w:r>
      <w:proofErr w:type="spellEnd"/>
      <w:r w:rsidRPr="001D2A8F">
        <w:rPr>
          <w:color w:val="123B5D"/>
          <w:sz w:val="22"/>
          <w:szCs w:val="22"/>
        </w:rPr>
        <w:t xml:space="preserve"> find power and cooling segment the most attractive. As per 2025 data, data centres will witness a spending off $6.7 trillion in cumulative capital through 2030, out of which 60% will go on technology developers and the rest will be allocated to all the non-IT Equipment providers, with highest spending on power and cooling equipment which accounts for about 47%-58% of the total non-IT spending. I believe it is a sub sector which is required regardless of who manufactures the chip, or who designs it or who sells its and more. However, if </w:t>
      </w:r>
      <w:proofErr w:type="spellStart"/>
      <w:r w:rsidRPr="001D2A8F">
        <w:rPr>
          <w:color w:val="123B5D"/>
          <w:sz w:val="22"/>
          <w:szCs w:val="22"/>
        </w:rPr>
        <w:t>i</w:t>
      </w:r>
      <w:proofErr w:type="spellEnd"/>
      <w:r w:rsidRPr="001D2A8F">
        <w:rPr>
          <w:color w:val="123B5D"/>
          <w:sz w:val="22"/>
          <w:szCs w:val="22"/>
        </w:rPr>
        <w:t xml:space="preserve"> were to think from a 10-year perspective </w:t>
      </w:r>
      <w:proofErr w:type="spellStart"/>
      <w:r w:rsidRPr="001D2A8F">
        <w:rPr>
          <w:color w:val="123B5D"/>
          <w:sz w:val="22"/>
          <w:szCs w:val="22"/>
        </w:rPr>
        <w:t>i</w:t>
      </w:r>
      <w:proofErr w:type="spellEnd"/>
      <w:r w:rsidRPr="001D2A8F">
        <w:rPr>
          <w:color w:val="123B5D"/>
          <w:sz w:val="22"/>
          <w:szCs w:val="22"/>
        </w:rPr>
        <w:t xml:space="preserve"> would pick the entities who are into the cooling sub-sector, which has been predicted to have a spending of about </w:t>
      </w:r>
      <w:r w:rsidR="003F5455">
        <w:rPr>
          <w:color w:val="123B5D"/>
          <w:sz w:val="22"/>
          <w:szCs w:val="22"/>
        </w:rPr>
        <w:t>220Bn by 2030</w:t>
      </w:r>
      <w:r>
        <w:rPr>
          <w:rStyle w:val="FootnoteReference"/>
          <w:rFonts w:ascii="Calibri" w:hAnsi="Calibri" w:cs="Calibri"/>
          <w:sz w:val="22"/>
          <w:szCs w:val="22"/>
        </w:rPr>
        <w:footnoteReference w:id="17"/>
      </w:r>
      <w:r w:rsidRPr="001D2A8F">
        <w:rPr>
          <w:color w:val="123B5D"/>
          <w:sz w:val="22"/>
          <w:szCs w:val="22"/>
        </w:rPr>
        <w:t>. Power despite being a bottle neck is not included in my recommendation as it concerns with grid supply, power schedules and government approvals which at times cannot be controlled by the power supplier and integrator.</w:t>
      </w:r>
      <w:r w:rsidR="003A346B">
        <w:rPr>
          <w:color w:val="123B5D"/>
          <w:sz w:val="22"/>
          <w:szCs w:val="22"/>
        </w:rPr>
        <w:br/>
      </w:r>
    </w:p>
    <w:p w14:paraId="674E61A0" w14:textId="77777777" w:rsidR="00913D68" w:rsidRDefault="00913D68"/>
    <w:tbl>
      <w:tblPr>
        <w:tblStyle w:val="GridTable4-Accent1"/>
        <w:tblW w:w="5000" w:type="pct"/>
        <w:tblLook w:val="04A0" w:firstRow="1" w:lastRow="0" w:firstColumn="1" w:lastColumn="0" w:noHBand="0" w:noVBand="1"/>
      </w:tblPr>
      <w:tblGrid>
        <w:gridCol w:w="1973"/>
        <w:gridCol w:w="2302"/>
        <w:gridCol w:w="2150"/>
        <w:gridCol w:w="3311"/>
      </w:tblGrid>
      <w:tr w:rsidR="001D2A8F" w14:paraId="7DA24A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123B5D"/>
            <w:hideMark/>
          </w:tcPr>
          <w:p w14:paraId="62BEE556" w14:textId="77777777" w:rsidR="001D2A8F" w:rsidRDefault="001D2A8F">
            <w:pPr>
              <w:jc w:val="center"/>
              <w:rPr>
                <w:color w:val="FFFFFF"/>
                <w:lang w:eastAsia="en-AE"/>
              </w:rPr>
            </w:pPr>
            <w:r>
              <w:rPr>
                <w:color w:val="FFFFFF"/>
              </w:rPr>
              <w:t>Cooling Type</w:t>
            </w:r>
          </w:p>
        </w:tc>
        <w:tc>
          <w:tcPr>
            <w:tcW w:w="0" w:type="auto"/>
            <w:shd w:val="clear" w:color="auto" w:fill="123B5D"/>
            <w:hideMark/>
          </w:tcPr>
          <w:p w14:paraId="50710BFA" w14:textId="77777777" w:rsidR="001D2A8F" w:rsidRDefault="001D2A8F">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2025 Market Size</w:t>
            </w:r>
          </w:p>
        </w:tc>
        <w:tc>
          <w:tcPr>
            <w:tcW w:w="0" w:type="auto"/>
            <w:shd w:val="clear" w:color="auto" w:fill="123B5D"/>
            <w:hideMark/>
          </w:tcPr>
          <w:p w14:paraId="1BE559B4" w14:textId="77777777" w:rsidR="001D2A8F" w:rsidRDefault="001D2A8F">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2030 Projection</w:t>
            </w:r>
          </w:p>
        </w:tc>
        <w:tc>
          <w:tcPr>
            <w:tcW w:w="0" w:type="auto"/>
            <w:shd w:val="clear" w:color="auto" w:fill="123B5D"/>
            <w:hideMark/>
          </w:tcPr>
          <w:p w14:paraId="48AF06BD" w14:textId="77777777" w:rsidR="001D2A8F" w:rsidRDefault="001D2A8F">
            <w:pPr>
              <w:jc w:val="center"/>
              <w:cnfStyle w:val="100000000000" w:firstRow="1" w:lastRow="0" w:firstColumn="0" w:lastColumn="0" w:oddVBand="0" w:evenVBand="0" w:oddHBand="0" w:evenHBand="0" w:firstRowFirstColumn="0" w:firstRowLastColumn="0" w:lastRowFirstColumn="0" w:lastRowLastColumn="0"/>
              <w:rPr>
                <w:color w:val="FFFFFF"/>
              </w:rPr>
            </w:pPr>
            <w:r>
              <w:rPr>
                <w:color w:val="FFFFFF"/>
              </w:rPr>
              <w:t>Annual Growth Projected</w:t>
            </w:r>
          </w:p>
        </w:tc>
      </w:tr>
      <w:tr w:rsidR="001D2A8F" w14:paraId="1DA201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4F8FA"/>
            <w:hideMark/>
          </w:tcPr>
          <w:p w14:paraId="5620CD12" w14:textId="77777777" w:rsidR="001D2A8F" w:rsidRDefault="001D2A8F">
            <w:r>
              <w:t>Air Cooling</w:t>
            </w:r>
          </w:p>
        </w:tc>
        <w:tc>
          <w:tcPr>
            <w:tcW w:w="0" w:type="auto"/>
            <w:hideMark/>
          </w:tcPr>
          <w:p w14:paraId="43681244" w14:textId="77777777" w:rsidR="001D2A8F" w:rsidRDefault="001D2A8F">
            <w:pPr>
              <w:jc w:val="center"/>
              <w:cnfStyle w:val="000000100000" w:firstRow="0" w:lastRow="0" w:firstColumn="0" w:lastColumn="0" w:oddVBand="0" w:evenVBand="0" w:oddHBand="1" w:evenHBand="0" w:firstRowFirstColumn="0" w:firstRowLastColumn="0" w:lastRowFirstColumn="0" w:lastRowLastColumn="0"/>
            </w:pPr>
            <w:r>
              <w:t>$6-8Bn</w:t>
            </w:r>
          </w:p>
        </w:tc>
        <w:tc>
          <w:tcPr>
            <w:tcW w:w="0" w:type="auto"/>
            <w:hideMark/>
          </w:tcPr>
          <w:p w14:paraId="0A9195AB" w14:textId="77777777" w:rsidR="001D2A8F" w:rsidRDefault="001D2A8F">
            <w:pPr>
              <w:jc w:val="center"/>
              <w:cnfStyle w:val="000000100000" w:firstRow="0" w:lastRow="0" w:firstColumn="0" w:lastColumn="0" w:oddVBand="0" w:evenVBand="0" w:oddHBand="1" w:evenHBand="0" w:firstRowFirstColumn="0" w:firstRowLastColumn="0" w:lastRowFirstColumn="0" w:lastRowLastColumn="0"/>
            </w:pPr>
            <w:r>
              <w:t>$11-13Bn</w:t>
            </w:r>
          </w:p>
        </w:tc>
        <w:tc>
          <w:tcPr>
            <w:tcW w:w="0" w:type="auto"/>
            <w:hideMark/>
          </w:tcPr>
          <w:p w14:paraId="0E27883B" w14:textId="77777777" w:rsidR="001D2A8F" w:rsidRDefault="001D2A8F">
            <w:pPr>
              <w:jc w:val="center"/>
              <w:cnfStyle w:val="000000100000" w:firstRow="0" w:lastRow="0" w:firstColumn="0" w:lastColumn="0" w:oddVBand="0" w:evenVBand="0" w:oddHBand="1" w:evenHBand="0" w:firstRowFirstColumn="0" w:firstRowLastColumn="0" w:lastRowFirstColumn="0" w:lastRowLastColumn="0"/>
            </w:pPr>
            <w:r>
              <w:t>10-15%</w:t>
            </w:r>
          </w:p>
        </w:tc>
      </w:tr>
      <w:tr w:rsidR="001D2A8F" w14:paraId="6FB0376F"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E9F6F5"/>
            <w:hideMark/>
          </w:tcPr>
          <w:p w14:paraId="6B1B6D5B" w14:textId="77777777" w:rsidR="001D2A8F" w:rsidRDefault="001D2A8F">
            <w:r>
              <w:t>Liquid cooling</w:t>
            </w:r>
          </w:p>
        </w:tc>
        <w:tc>
          <w:tcPr>
            <w:tcW w:w="0" w:type="auto"/>
            <w:shd w:val="clear" w:color="auto" w:fill="E9F6F5"/>
            <w:hideMark/>
          </w:tcPr>
          <w:p w14:paraId="163F1FB7" w14:textId="77777777" w:rsidR="001D2A8F" w:rsidRDefault="001D2A8F">
            <w:pPr>
              <w:jc w:val="center"/>
              <w:cnfStyle w:val="000000000000" w:firstRow="0" w:lastRow="0" w:firstColumn="0" w:lastColumn="0" w:oddVBand="0" w:evenVBand="0" w:oddHBand="0" w:evenHBand="0" w:firstRowFirstColumn="0" w:firstRowLastColumn="0" w:lastRowFirstColumn="0" w:lastRowLastColumn="0"/>
            </w:pPr>
            <w:r>
              <w:rPr>
                <w:b/>
                <w:bCs/>
              </w:rPr>
              <w:t>$2-3Bn</w:t>
            </w:r>
          </w:p>
        </w:tc>
        <w:tc>
          <w:tcPr>
            <w:tcW w:w="0" w:type="auto"/>
            <w:shd w:val="clear" w:color="auto" w:fill="E9F6F5"/>
            <w:hideMark/>
          </w:tcPr>
          <w:p w14:paraId="0EB07970" w14:textId="77777777" w:rsidR="001D2A8F" w:rsidRDefault="001D2A8F">
            <w:pPr>
              <w:jc w:val="center"/>
              <w:cnfStyle w:val="000000000000" w:firstRow="0" w:lastRow="0" w:firstColumn="0" w:lastColumn="0" w:oddVBand="0" w:evenVBand="0" w:oddHBand="0" w:evenHBand="0" w:firstRowFirstColumn="0" w:firstRowLastColumn="0" w:lastRowFirstColumn="0" w:lastRowLastColumn="0"/>
            </w:pPr>
            <w:r>
              <w:rPr>
                <w:b/>
                <w:bCs/>
              </w:rPr>
              <w:t>$15-17Bn</w:t>
            </w:r>
          </w:p>
        </w:tc>
        <w:tc>
          <w:tcPr>
            <w:tcW w:w="0" w:type="auto"/>
            <w:shd w:val="clear" w:color="auto" w:fill="E9F6F5"/>
            <w:hideMark/>
          </w:tcPr>
          <w:p w14:paraId="232F7BE1" w14:textId="77777777" w:rsidR="001D2A8F" w:rsidRDefault="001D2A8F">
            <w:pPr>
              <w:jc w:val="center"/>
              <w:cnfStyle w:val="000000000000" w:firstRow="0" w:lastRow="0" w:firstColumn="0" w:lastColumn="0" w:oddVBand="0" w:evenVBand="0" w:oddHBand="0" w:evenHBand="0" w:firstRowFirstColumn="0" w:firstRowLastColumn="0" w:lastRowFirstColumn="0" w:lastRowLastColumn="0"/>
              <w:rPr>
                <w:color w:val="0B7A75"/>
              </w:rPr>
            </w:pPr>
            <w:r>
              <w:rPr>
                <w:b/>
                <w:bCs/>
                <w:color w:val="0B7A75"/>
              </w:rPr>
              <w:t>45-50%</w:t>
            </w:r>
          </w:p>
        </w:tc>
      </w:tr>
    </w:tbl>
    <w:p w14:paraId="024544A2" w14:textId="19B0AAFA" w:rsidR="00EE589D" w:rsidRPr="00EE589D" w:rsidRDefault="007D525C" w:rsidP="00EE589D">
      <w:pPr>
        <w:pStyle w:val="Caption"/>
      </w:pPr>
      <w:r w:rsidRPr="003D1910">
        <w:t>Source: McKinsey &amp; Company, Oct 2025</w:t>
      </w:r>
      <w:r>
        <w:rPr>
          <w:rStyle w:val="FootnoteReference"/>
          <w:rFonts w:ascii="Calibri" w:hAnsi="Calibri" w:cs="Calibri"/>
          <w:sz w:val="22"/>
          <w:szCs w:val="22"/>
        </w:rPr>
        <w:footnoteReference w:id="18"/>
      </w:r>
    </w:p>
    <w:p w14:paraId="27465CB6" w14:textId="1BFBD8BD" w:rsidR="00EE589D" w:rsidRPr="001B0A8E" w:rsidRDefault="00DF08B8" w:rsidP="00DF08B8">
      <w:pPr>
        <w:rPr>
          <w:rFonts w:ascii="Calibri" w:hAnsi="Calibri" w:cs="Calibri"/>
          <w:sz w:val="22"/>
          <w:szCs w:val="22"/>
        </w:rPr>
      </w:pPr>
      <w:r w:rsidRPr="001B0A8E">
        <w:rPr>
          <w:rFonts w:ascii="Calibri" w:hAnsi="Calibri" w:cs="Calibri"/>
          <w:sz w:val="22"/>
          <w:szCs w:val="22"/>
        </w:rPr>
        <w:t xml:space="preserve">Liquid cooling projects the highest opportunity for the upcoming years. This sub sector </w:t>
      </w:r>
      <w:r w:rsidR="003A346B" w:rsidRPr="001B0A8E">
        <w:rPr>
          <w:rFonts w:ascii="Calibri" w:hAnsi="Calibri" w:cs="Calibri"/>
          <w:sz w:val="22"/>
          <w:szCs w:val="22"/>
        </w:rPr>
        <w:t>further</w:t>
      </w:r>
      <w:r w:rsidRPr="001B0A8E">
        <w:rPr>
          <w:rFonts w:ascii="Calibri" w:hAnsi="Calibri" w:cs="Calibri"/>
          <w:sz w:val="22"/>
          <w:szCs w:val="22"/>
        </w:rPr>
        <w:t xml:space="preserve"> displays 3 attractive investment opportunities: rear-door heat exchangers (</w:t>
      </w:r>
      <w:proofErr w:type="spellStart"/>
      <w:r w:rsidRPr="001B0A8E">
        <w:rPr>
          <w:rFonts w:ascii="Calibri" w:hAnsi="Calibri" w:cs="Calibri"/>
          <w:sz w:val="22"/>
          <w:szCs w:val="22"/>
        </w:rPr>
        <w:t>RDHx</w:t>
      </w:r>
      <w:proofErr w:type="spellEnd"/>
      <w:r w:rsidRPr="001B0A8E">
        <w:rPr>
          <w:rFonts w:ascii="Calibri" w:hAnsi="Calibri" w:cs="Calibri"/>
          <w:sz w:val="22"/>
          <w:szCs w:val="22"/>
        </w:rPr>
        <w:t>), direct-to-chip (DTC), and immersion cooling. Off which, DTC Cooling is projected to account for 30% of the cooling market by 2030</w:t>
      </w:r>
      <w:r w:rsidRPr="001B0A8E">
        <w:rPr>
          <w:rStyle w:val="FootnoteReference"/>
          <w:rFonts w:ascii="Calibri" w:hAnsi="Calibri" w:cs="Calibri"/>
          <w:sz w:val="22"/>
          <w:szCs w:val="22"/>
        </w:rPr>
        <w:footnoteReference w:id="19"/>
      </w:r>
      <w:r w:rsidRPr="001B0A8E">
        <w:rPr>
          <w:rFonts w:ascii="Calibri" w:hAnsi="Calibri" w:cs="Calibri"/>
          <w:sz w:val="22"/>
          <w:szCs w:val="22"/>
        </w:rPr>
        <w:t>.</w:t>
      </w:r>
      <w:r w:rsidR="00EE589D">
        <w:rPr>
          <w:rFonts w:ascii="Calibri" w:hAnsi="Calibri" w:cs="Calibri"/>
          <w:sz w:val="22"/>
          <w:szCs w:val="22"/>
        </w:rPr>
        <w:t xml:space="preserve"> </w:t>
      </w:r>
      <w:r w:rsidRPr="001B0A8E">
        <w:rPr>
          <w:rFonts w:ascii="Calibri" w:hAnsi="Calibri" w:cs="Calibri"/>
          <w:sz w:val="22"/>
          <w:szCs w:val="22"/>
        </w:rPr>
        <w:t xml:space="preserve">A few competitors worth naming in this space include Schneider Electric, Vertiv Group Corp., Johnson Controls, Rittal, and Stulz. However, this analysis focuses on Vertiv and Schneider Electric specifically, as they are the two most consistently named market leaders across independent sources. </w:t>
      </w:r>
    </w:p>
    <w:p w14:paraId="1952C1F8" w14:textId="77777777" w:rsidR="00DF08B8" w:rsidRPr="001B0A8E" w:rsidRDefault="00DF08B8" w:rsidP="00DF08B8">
      <w:pPr>
        <w:rPr>
          <w:rFonts w:ascii="Calibri" w:hAnsi="Calibri" w:cs="Calibri"/>
          <w:sz w:val="22"/>
          <w:szCs w:val="22"/>
        </w:rPr>
      </w:pPr>
      <w:r w:rsidRPr="001B0A8E">
        <w:rPr>
          <w:rFonts w:ascii="Calibri" w:hAnsi="Calibri" w:cs="Calibri"/>
          <w:sz w:val="22"/>
          <w:szCs w:val="22"/>
        </w:rPr>
        <w:t>Vertiv specializes in critical digital infrastructure, with cooling as a core focus dating back to 1965. Schneider Electric, by contrast, is a large, diversified company that entered liquid cooling more recently by acquiring a controlling stake in Motivair (2025), with cooling forming just one part of its broader power and industrial automation business. By the end of 2025, Vertiv reported a backlog of $15 Billion. A few other highlights on Vertiv include co-developing an 800 VDC power architecture with Nvidia, designed to support the power demands of Nvidia's upcoming Rubin Ultra AI chip platform (launching 2027), with Vertiv's corresponding power portfolio set to release in the second half of 2026.</w:t>
      </w:r>
      <w:r w:rsidRPr="001B0A8E">
        <w:rPr>
          <w:rFonts w:ascii="Calibri" w:hAnsi="Calibri" w:cs="Calibri"/>
          <w:sz w:val="22"/>
          <w:szCs w:val="22"/>
        </w:rPr>
        <w:br/>
      </w:r>
    </w:p>
    <w:p w14:paraId="16E81180" w14:textId="77777777" w:rsidR="00DF08B8" w:rsidRPr="001B0A8E" w:rsidRDefault="00DF08B8" w:rsidP="00DF08B8">
      <w:pPr>
        <w:rPr>
          <w:rFonts w:ascii="Calibri" w:hAnsi="Calibri" w:cs="Calibri"/>
          <w:sz w:val="22"/>
          <w:szCs w:val="22"/>
        </w:rPr>
      </w:pPr>
      <w:r w:rsidRPr="001B0A8E">
        <w:rPr>
          <w:rFonts w:ascii="Calibri" w:hAnsi="Calibri" w:cs="Calibri"/>
          <w:sz w:val="22"/>
          <w:szCs w:val="22"/>
        </w:rPr>
        <w:t>In my view, I would pick Vertiv for long-term investing. First, it has been in this industry long enough to have established trust and deep relationships with hyperscalers and chipmakers alike. Second, its $15 billion order backlog provide concrete evidence that this trust is translating into real, growing demand</w:t>
      </w:r>
      <w:r>
        <w:rPr>
          <w:rFonts w:ascii="Calibri" w:hAnsi="Calibri" w:cs="Calibri"/>
          <w:sz w:val="22"/>
          <w:szCs w:val="22"/>
        </w:rPr>
        <w:t xml:space="preserve">, </w:t>
      </w:r>
      <w:r w:rsidRPr="001B0A8E">
        <w:rPr>
          <w:rFonts w:ascii="Calibri" w:hAnsi="Calibri" w:cs="Calibri"/>
          <w:sz w:val="22"/>
          <w:szCs w:val="22"/>
        </w:rPr>
        <w:t xml:space="preserve">not just reputation. </w:t>
      </w:r>
      <w:r w:rsidRPr="001B0A8E">
        <w:rPr>
          <w:rFonts w:ascii="Calibri" w:hAnsi="Calibri" w:cs="Calibri"/>
          <w:sz w:val="22"/>
          <w:szCs w:val="22"/>
        </w:rPr>
        <w:lastRenderedPageBreak/>
        <w:t>Third, its recent 360AI platform, developed with Nvidia and Intel to integrate power, cooling, and monitoring for AI data centres, shows Vertiv is positioning itself at the centre of next-generation AI infrastructure, not just supplying commodity equipment.</w:t>
      </w:r>
    </w:p>
    <w:tbl>
      <w:tblPr>
        <w:tblStyle w:val="PlainTable1"/>
        <w:tblW w:w="5000" w:type="pct"/>
        <w:tblLook w:val="04A0" w:firstRow="1" w:lastRow="0" w:firstColumn="1" w:lastColumn="0" w:noHBand="0" w:noVBand="1"/>
      </w:tblPr>
      <w:tblGrid>
        <w:gridCol w:w="3018"/>
        <w:gridCol w:w="292"/>
        <w:gridCol w:w="3018"/>
        <w:gridCol w:w="292"/>
        <w:gridCol w:w="3116"/>
      </w:tblGrid>
      <w:tr w:rsidR="005E61D8" w14:paraId="1944B32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pct"/>
            <w:tcBorders>
              <w:top w:val="single" w:sz="24" w:space="0" w:color="2AA6A1"/>
            </w:tcBorders>
            <w:hideMark/>
          </w:tcPr>
          <w:p w14:paraId="4932218A" w14:textId="77777777" w:rsidR="005E61D8" w:rsidRDefault="005E61D8">
            <w:pPr>
              <w:jc w:val="left"/>
              <w:rPr>
                <w:color w:val="2AA6A1"/>
                <w:sz w:val="36"/>
                <w:szCs w:val="36"/>
                <w:lang w:eastAsia="en-AE"/>
              </w:rPr>
            </w:pPr>
            <w:r>
              <w:rPr>
                <w:color w:val="2AA6A1"/>
                <w:sz w:val="36"/>
                <w:szCs w:val="36"/>
              </w:rPr>
              <w:t>01</w:t>
            </w:r>
          </w:p>
          <w:p w14:paraId="233D88DF" w14:textId="77777777" w:rsidR="005E61D8" w:rsidRDefault="005E61D8">
            <w:pPr>
              <w:jc w:val="left"/>
              <w:rPr>
                <w:color w:val="123B5D"/>
                <w:sz w:val="20"/>
                <w:szCs w:val="20"/>
              </w:rPr>
            </w:pPr>
            <w:r>
              <w:rPr>
                <w:color w:val="123B5D"/>
                <w:sz w:val="20"/>
                <w:szCs w:val="20"/>
              </w:rPr>
              <w:t>TRUSTED POSITION</w:t>
            </w:r>
          </w:p>
          <w:p w14:paraId="0AB8A669" w14:textId="77777777" w:rsidR="005E61D8" w:rsidRDefault="005E61D8">
            <w:pPr>
              <w:jc w:val="left"/>
              <w:rPr>
                <w:color w:val="64748B"/>
                <w:sz w:val="16"/>
                <w:szCs w:val="16"/>
              </w:rPr>
            </w:pPr>
            <w:r>
              <w:rPr>
                <w:color w:val="64748B"/>
                <w:sz w:val="16"/>
                <w:szCs w:val="16"/>
              </w:rPr>
              <w:t>Long operating history and established relationships with hyperscalers and chipmakers</w:t>
            </w:r>
          </w:p>
        </w:tc>
        <w:tc>
          <w:tcPr>
            <w:tcW w:w="150" w:type="pct"/>
            <w:hideMark/>
          </w:tcPr>
          <w:p w14:paraId="68D4C3FD" w14:textId="77777777" w:rsidR="005E61D8" w:rsidRDefault="005E61D8">
            <w:pPr>
              <w:cnfStyle w:val="100000000000" w:firstRow="1" w:lastRow="0" w:firstColumn="0" w:lastColumn="0" w:oddVBand="0" w:evenVBand="0" w:oddHBand="0" w:evenHBand="0" w:firstRowFirstColumn="0" w:firstRowLastColumn="0" w:lastRowFirstColumn="0" w:lastRowLastColumn="0"/>
              <w:rPr>
                <w:szCs w:val="21"/>
              </w:rPr>
            </w:pPr>
          </w:p>
        </w:tc>
        <w:tc>
          <w:tcPr>
            <w:tcW w:w="1550" w:type="pct"/>
            <w:tcBorders>
              <w:top w:val="single" w:sz="24" w:space="0" w:color="2AA6A1"/>
            </w:tcBorders>
            <w:hideMark/>
          </w:tcPr>
          <w:p w14:paraId="456FA371" w14:textId="77777777" w:rsidR="005E61D8" w:rsidRDefault="005E61D8">
            <w:pPr>
              <w:jc w:val="left"/>
              <w:cnfStyle w:val="100000000000" w:firstRow="1" w:lastRow="0" w:firstColumn="0" w:lastColumn="0" w:oddVBand="0" w:evenVBand="0" w:oddHBand="0" w:evenHBand="0" w:firstRowFirstColumn="0" w:firstRowLastColumn="0" w:lastRowFirstColumn="0" w:lastRowLastColumn="0"/>
              <w:rPr>
                <w:color w:val="2AA6A1"/>
                <w:sz w:val="36"/>
                <w:szCs w:val="36"/>
              </w:rPr>
            </w:pPr>
            <w:r>
              <w:rPr>
                <w:color w:val="2AA6A1"/>
                <w:sz w:val="36"/>
                <w:szCs w:val="36"/>
              </w:rPr>
              <w:t>02</w:t>
            </w:r>
          </w:p>
          <w:p w14:paraId="66DDFA6B" w14:textId="77777777" w:rsidR="005E61D8" w:rsidRDefault="005E61D8">
            <w:pPr>
              <w:jc w:val="left"/>
              <w:cnfStyle w:val="100000000000" w:firstRow="1" w:lastRow="0" w:firstColumn="0" w:lastColumn="0" w:oddVBand="0" w:evenVBand="0" w:oddHBand="0" w:evenHBand="0" w:firstRowFirstColumn="0" w:firstRowLastColumn="0" w:lastRowFirstColumn="0" w:lastRowLastColumn="0"/>
              <w:rPr>
                <w:color w:val="123B5D"/>
                <w:sz w:val="20"/>
                <w:szCs w:val="20"/>
              </w:rPr>
            </w:pPr>
            <w:r>
              <w:rPr>
                <w:color w:val="123B5D"/>
                <w:sz w:val="20"/>
                <w:szCs w:val="20"/>
              </w:rPr>
              <w:t>DEMAND VISIBILITY</w:t>
            </w:r>
          </w:p>
          <w:p w14:paraId="6CDCC8F0" w14:textId="77777777" w:rsidR="005E61D8" w:rsidRDefault="005E61D8">
            <w:pPr>
              <w:jc w:val="left"/>
              <w:cnfStyle w:val="100000000000" w:firstRow="1" w:lastRow="0" w:firstColumn="0" w:lastColumn="0" w:oddVBand="0" w:evenVBand="0" w:oddHBand="0" w:evenHBand="0" w:firstRowFirstColumn="0" w:firstRowLastColumn="0" w:lastRowFirstColumn="0" w:lastRowLastColumn="0"/>
              <w:rPr>
                <w:color w:val="0B7A75"/>
                <w:sz w:val="34"/>
                <w:szCs w:val="34"/>
              </w:rPr>
            </w:pPr>
            <w:r>
              <w:rPr>
                <w:color w:val="0B7A75"/>
                <w:sz w:val="34"/>
                <w:szCs w:val="34"/>
              </w:rPr>
              <w:t>US$15bn</w:t>
            </w:r>
          </w:p>
          <w:p w14:paraId="6D1598DE" w14:textId="44485F41" w:rsidR="005E61D8" w:rsidRDefault="005E61D8">
            <w:pPr>
              <w:jc w:val="left"/>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Order backlog evidence; real and growing customer demand</w:t>
            </w:r>
          </w:p>
        </w:tc>
        <w:tc>
          <w:tcPr>
            <w:tcW w:w="150" w:type="pct"/>
            <w:hideMark/>
          </w:tcPr>
          <w:p w14:paraId="70967C40" w14:textId="77777777" w:rsidR="005E61D8" w:rsidRDefault="005E61D8">
            <w:pPr>
              <w:cnfStyle w:val="100000000000" w:firstRow="1" w:lastRow="0" w:firstColumn="0" w:lastColumn="0" w:oddVBand="0" w:evenVBand="0" w:oddHBand="0" w:evenHBand="0" w:firstRowFirstColumn="0" w:firstRowLastColumn="0" w:lastRowFirstColumn="0" w:lastRowLastColumn="0"/>
              <w:rPr>
                <w:szCs w:val="21"/>
              </w:rPr>
            </w:pPr>
          </w:p>
        </w:tc>
        <w:tc>
          <w:tcPr>
            <w:tcW w:w="1600" w:type="pct"/>
            <w:tcBorders>
              <w:top w:val="single" w:sz="24" w:space="0" w:color="2AA6A1"/>
            </w:tcBorders>
            <w:hideMark/>
          </w:tcPr>
          <w:p w14:paraId="582989FA" w14:textId="77777777" w:rsidR="005E61D8" w:rsidRDefault="005E61D8">
            <w:pPr>
              <w:jc w:val="left"/>
              <w:cnfStyle w:val="100000000000" w:firstRow="1" w:lastRow="0" w:firstColumn="0" w:lastColumn="0" w:oddVBand="0" w:evenVBand="0" w:oddHBand="0" w:evenHBand="0" w:firstRowFirstColumn="0" w:firstRowLastColumn="0" w:lastRowFirstColumn="0" w:lastRowLastColumn="0"/>
              <w:rPr>
                <w:color w:val="2AA6A1"/>
                <w:sz w:val="36"/>
                <w:szCs w:val="36"/>
              </w:rPr>
            </w:pPr>
            <w:r>
              <w:rPr>
                <w:color w:val="2AA6A1"/>
                <w:sz w:val="36"/>
                <w:szCs w:val="36"/>
              </w:rPr>
              <w:t>03</w:t>
            </w:r>
          </w:p>
          <w:p w14:paraId="4C9F16DC" w14:textId="77777777" w:rsidR="005E61D8" w:rsidRDefault="005E61D8">
            <w:pPr>
              <w:jc w:val="left"/>
              <w:cnfStyle w:val="100000000000" w:firstRow="1" w:lastRow="0" w:firstColumn="0" w:lastColumn="0" w:oddVBand="0" w:evenVBand="0" w:oddHBand="0" w:evenHBand="0" w:firstRowFirstColumn="0" w:firstRowLastColumn="0" w:lastRowFirstColumn="0" w:lastRowLastColumn="0"/>
              <w:rPr>
                <w:color w:val="123B5D"/>
                <w:sz w:val="20"/>
                <w:szCs w:val="20"/>
              </w:rPr>
            </w:pPr>
            <w:r>
              <w:rPr>
                <w:color w:val="123B5D"/>
                <w:sz w:val="20"/>
                <w:szCs w:val="20"/>
              </w:rPr>
              <w:t>NEXT-GEN PLATFORM</w:t>
            </w:r>
          </w:p>
          <w:p w14:paraId="0E3CC400" w14:textId="77777777" w:rsidR="005E61D8" w:rsidRDefault="005E61D8">
            <w:pPr>
              <w:jc w:val="left"/>
              <w:cnfStyle w:val="100000000000" w:firstRow="1" w:lastRow="0" w:firstColumn="0" w:lastColumn="0" w:oddVBand="0" w:evenVBand="0" w:oddHBand="0" w:evenHBand="0" w:firstRowFirstColumn="0" w:firstRowLastColumn="0" w:lastRowFirstColumn="0" w:lastRowLastColumn="0"/>
              <w:rPr>
                <w:color w:val="0B7A75"/>
                <w:sz w:val="24"/>
              </w:rPr>
            </w:pPr>
            <w:r>
              <w:rPr>
                <w:color w:val="0B7A75"/>
                <w:sz w:val="24"/>
              </w:rPr>
              <w:t>360AI</w:t>
            </w:r>
          </w:p>
          <w:p w14:paraId="4C37F1D1" w14:textId="77777777" w:rsidR="005E61D8" w:rsidRDefault="005E61D8">
            <w:pPr>
              <w:jc w:val="left"/>
              <w:cnfStyle w:val="100000000000" w:firstRow="1" w:lastRow="0" w:firstColumn="0" w:lastColumn="0" w:oddVBand="0" w:evenVBand="0" w:oddHBand="0" w:evenHBand="0" w:firstRowFirstColumn="0" w:firstRowLastColumn="0" w:lastRowFirstColumn="0" w:lastRowLastColumn="0"/>
              <w:rPr>
                <w:color w:val="64748B"/>
                <w:sz w:val="16"/>
                <w:szCs w:val="16"/>
              </w:rPr>
            </w:pPr>
            <w:r>
              <w:rPr>
                <w:color w:val="64748B"/>
                <w:sz w:val="16"/>
                <w:szCs w:val="16"/>
              </w:rPr>
              <w:t>Integrated power, cooling and monitoring developed with NVIDIA and Intel</w:t>
            </w:r>
          </w:p>
        </w:tc>
      </w:tr>
    </w:tbl>
    <w:p w14:paraId="21EE36C2" w14:textId="277B2ADD" w:rsidR="008148F7" w:rsidRDefault="008148F7" w:rsidP="00F13FC3">
      <w:pPr>
        <w:rPr>
          <w:rFonts w:ascii="Calibri" w:hAnsi="Calibri" w:cs="Calibri"/>
          <w:sz w:val="22"/>
          <w:szCs w:val="22"/>
        </w:rPr>
      </w:pPr>
    </w:p>
    <w:p w14:paraId="0306A804" w14:textId="77859DF3" w:rsidR="004E3DA7" w:rsidRPr="00136CF1" w:rsidRDefault="004E3DA7">
      <w:pPr>
        <w:pStyle w:val="Heading2"/>
        <w:rPr>
          <w:rFonts w:cstheme="minorBidi"/>
          <w:b/>
          <w:bCs/>
          <w:lang w:eastAsia="en-AE"/>
        </w:rPr>
      </w:pPr>
      <w:r w:rsidRPr="00136CF1">
        <w:rPr>
          <w:rFonts w:cstheme="minorBidi"/>
          <w:b/>
          <w:bCs/>
        </w:rPr>
        <w:t xml:space="preserve">Vertiv </w:t>
      </w:r>
      <w:r w:rsidR="00212D3F" w:rsidRPr="00136CF1">
        <w:rPr>
          <w:rFonts w:cstheme="minorBidi"/>
          <w:b/>
          <w:bCs/>
        </w:rPr>
        <w:t>-</w:t>
      </w:r>
      <w:r w:rsidRPr="00136CF1">
        <w:rPr>
          <w:rFonts w:cstheme="minorBidi"/>
          <w:b/>
          <w:bCs/>
        </w:rPr>
        <w:t xml:space="preserve"> Deep Dive</w:t>
      </w:r>
      <w:r w:rsidR="00FC7349" w:rsidRPr="00136CF1">
        <w:rPr>
          <w:rFonts w:cstheme="minorBidi"/>
          <w:b/>
          <w:bCs/>
        </w:rPr>
        <w:t xml:space="preserve"> </w:t>
      </w:r>
      <w:r w:rsidR="00136CF1">
        <w:rPr>
          <w:rFonts w:cstheme="minorBidi"/>
          <w:b/>
          <w:bCs/>
        </w:rPr>
        <w:br/>
      </w:r>
    </w:p>
    <w:tbl>
      <w:tblPr>
        <w:tblStyle w:val="GridTable4-Accent1"/>
        <w:tblW w:w="5000" w:type="pct"/>
        <w:tblLook w:val="04A0" w:firstRow="1" w:lastRow="0" w:firstColumn="1" w:lastColumn="0" w:noHBand="0" w:noVBand="1"/>
      </w:tblPr>
      <w:tblGrid>
        <w:gridCol w:w="2479"/>
        <w:gridCol w:w="1579"/>
        <w:gridCol w:w="1422"/>
        <w:gridCol w:w="1422"/>
        <w:gridCol w:w="1422"/>
        <w:gridCol w:w="1422"/>
      </w:tblGrid>
      <w:tr w:rsidR="007631FA" w14:paraId="36BE7F55" w14:textId="77777777" w:rsidTr="00212D3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gridSpan w:val="6"/>
            <w:tcBorders>
              <w:top w:val="nil"/>
              <w:left w:val="nil"/>
              <w:bottom w:val="nil"/>
              <w:right w:val="nil"/>
            </w:tcBorders>
            <w:vAlign w:val="center"/>
            <w:hideMark/>
          </w:tcPr>
          <w:p w14:paraId="594492BF" w14:textId="71C4B21A" w:rsidR="00212D3F" w:rsidRPr="00212D3F" w:rsidRDefault="007631FA">
            <w:pPr>
              <w:spacing w:after="160" w:line="278" w:lineRule="auto"/>
              <w:jc w:val="left"/>
              <w:rPr>
                <w:rFonts w:ascii="Times New Roman" w:hAnsi="Times New Roman"/>
                <w:b w:val="0"/>
                <w:bCs w:val="0"/>
                <w:i/>
                <w:iCs/>
                <w:color w:val="64748B"/>
                <w:sz w:val="24"/>
              </w:rPr>
            </w:pPr>
            <w:r w:rsidRPr="00212D3F">
              <w:rPr>
                <w:rFonts w:ascii="Times New Roman" w:hAnsi="Times New Roman"/>
                <w:i/>
                <w:iCs/>
                <w:color w:val="auto"/>
                <w:sz w:val="24"/>
              </w:rPr>
              <w:t>US$ millions</w:t>
            </w:r>
          </w:p>
        </w:tc>
      </w:tr>
      <w:tr w:rsidR="007631FA" w14:paraId="382721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156082"/>
              <w:left w:val="single" w:sz="4" w:space="0" w:color="156082"/>
              <w:bottom w:val="single" w:sz="4" w:space="0" w:color="156082"/>
              <w:right w:val="single" w:sz="4" w:space="0" w:color="156082"/>
            </w:tcBorders>
            <w:shd w:val="clear" w:color="auto" w:fill="123B5D"/>
            <w:hideMark/>
          </w:tcPr>
          <w:p w14:paraId="4527A078" w14:textId="77777777" w:rsidR="007631FA" w:rsidRDefault="007631FA">
            <w:pPr>
              <w:jc w:val="left"/>
              <w:rPr>
                <w:color w:val="FFFFFF"/>
                <w:szCs w:val="21"/>
              </w:rPr>
            </w:pPr>
            <w:r>
              <w:rPr>
                <w:color w:val="FFFFFF"/>
              </w:rPr>
              <w:t>Financial metric</w:t>
            </w:r>
          </w:p>
        </w:tc>
        <w:tc>
          <w:tcPr>
            <w:tcW w:w="0" w:type="auto"/>
            <w:tcBorders>
              <w:top w:val="single" w:sz="4" w:space="0" w:color="156082"/>
              <w:left w:val="single" w:sz="4" w:space="0" w:color="156082"/>
              <w:bottom w:val="single" w:sz="4" w:space="0" w:color="156082"/>
              <w:right w:val="single" w:sz="4" w:space="0" w:color="156082"/>
            </w:tcBorders>
            <w:shd w:val="clear" w:color="auto" w:fill="123B5D"/>
            <w:hideMark/>
          </w:tcPr>
          <w:p w14:paraId="1C43E51A" w14:textId="77777777" w:rsidR="007631FA" w:rsidRDefault="007631FA">
            <w:pPr>
              <w:jc w:val="center"/>
              <w:cnfStyle w:val="000000100000" w:firstRow="0" w:lastRow="0" w:firstColumn="0" w:lastColumn="0" w:oddVBand="0" w:evenVBand="0" w:oddHBand="1" w:evenHBand="0" w:firstRowFirstColumn="0" w:firstRowLastColumn="0" w:lastRowFirstColumn="0" w:lastRowLastColumn="0"/>
              <w:rPr>
                <w:color w:val="FFFFFF"/>
              </w:rPr>
            </w:pPr>
            <w:r>
              <w:rPr>
                <w:b/>
                <w:bCs/>
                <w:color w:val="FFFFFF"/>
              </w:rPr>
              <w:t>2025</w:t>
            </w:r>
          </w:p>
        </w:tc>
        <w:tc>
          <w:tcPr>
            <w:tcW w:w="0" w:type="auto"/>
            <w:tcBorders>
              <w:top w:val="single" w:sz="4" w:space="0" w:color="156082"/>
              <w:left w:val="single" w:sz="4" w:space="0" w:color="156082"/>
              <w:bottom w:val="single" w:sz="4" w:space="0" w:color="156082"/>
              <w:right w:val="single" w:sz="4" w:space="0" w:color="156082"/>
            </w:tcBorders>
            <w:shd w:val="clear" w:color="auto" w:fill="123B5D"/>
            <w:hideMark/>
          </w:tcPr>
          <w:p w14:paraId="73B8D130" w14:textId="77777777" w:rsidR="007631FA" w:rsidRDefault="007631FA">
            <w:pPr>
              <w:jc w:val="center"/>
              <w:cnfStyle w:val="000000100000" w:firstRow="0" w:lastRow="0" w:firstColumn="0" w:lastColumn="0" w:oddVBand="0" w:evenVBand="0" w:oddHBand="1" w:evenHBand="0" w:firstRowFirstColumn="0" w:firstRowLastColumn="0" w:lastRowFirstColumn="0" w:lastRowLastColumn="0"/>
              <w:rPr>
                <w:color w:val="FFFFFF"/>
              </w:rPr>
            </w:pPr>
            <w:r>
              <w:rPr>
                <w:b/>
                <w:bCs/>
                <w:color w:val="FFFFFF"/>
              </w:rPr>
              <w:t>2024</w:t>
            </w:r>
          </w:p>
        </w:tc>
        <w:tc>
          <w:tcPr>
            <w:tcW w:w="0" w:type="auto"/>
            <w:tcBorders>
              <w:top w:val="single" w:sz="4" w:space="0" w:color="156082"/>
              <w:left w:val="single" w:sz="4" w:space="0" w:color="156082"/>
              <w:bottom w:val="single" w:sz="4" w:space="0" w:color="156082"/>
              <w:right w:val="single" w:sz="4" w:space="0" w:color="156082"/>
            </w:tcBorders>
            <w:shd w:val="clear" w:color="auto" w:fill="123B5D"/>
            <w:hideMark/>
          </w:tcPr>
          <w:p w14:paraId="143E07DD" w14:textId="77777777" w:rsidR="007631FA" w:rsidRDefault="007631FA">
            <w:pPr>
              <w:jc w:val="center"/>
              <w:cnfStyle w:val="000000100000" w:firstRow="0" w:lastRow="0" w:firstColumn="0" w:lastColumn="0" w:oddVBand="0" w:evenVBand="0" w:oddHBand="1" w:evenHBand="0" w:firstRowFirstColumn="0" w:firstRowLastColumn="0" w:lastRowFirstColumn="0" w:lastRowLastColumn="0"/>
              <w:rPr>
                <w:color w:val="FFFFFF"/>
              </w:rPr>
            </w:pPr>
            <w:r>
              <w:rPr>
                <w:b/>
                <w:bCs/>
                <w:color w:val="FFFFFF"/>
              </w:rPr>
              <w:t>2023</w:t>
            </w:r>
          </w:p>
        </w:tc>
        <w:tc>
          <w:tcPr>
            <w:tcW w:w="0" w:type="auto"/>
            <w:tcBorders>
              <w:top w:val="single" w:sz="4" w:space="0" w:color="156082"/>
              <w:left w:val="single" w:sz="4" w:space="0" w:color="156082"/>
              <w:bottom w:val="single" w:sz="4" w:space="0" w:color="156082"/>
              <w:right w:val="single" w:sz="4" w:space="0" w:color="156082"/>
            </w:tcBorders>
            <w:shd w:val="clear" w:color="auto" w:fill="123B5D"/>
            <w:hideMark/>
          </w:tcPr>
          <w:p w14:paraId="2AC072A4" w14:textId="77777777" w:rsidR="007631FA" w:rsidRDefault="007631FA">
            <w:pPr>
              <w:jc w:val="center"/>
              <w:cnfStyle w:val="000000100000" w:firstRow="0" w:lastRow="0" w:firstColumn="0" w:lastColumn="0" w:oddVBand="0" w:evenVBand="0" w:oddHBand="1" w:evenHBand="0" w:firstRowFirstColumn="0" w:firstRowLastColumn="0" w:lastRowFirstColumn="0" w:lastRowLastColumn="0"/>
              <w:rPr>
                <w:color w:val="FFFFFF"/>
              </w:rPr>
            </w:pPr>
            <w:r>
              <w:rPr>
                <w:b/>
                <w:bCs/>
                <w:color w:val="FFFFFF"/>
              </w:rPr>
              <w:t>2022</w:t>
            </w:r>
          </w:p>
        </w:tc>
        <w:tc>
          <w:tcPr>
            <w:tcW w:w="0" w:type="auto"/>
            <w:tcBorders>
              <w:top w:val="single" w:sz="4" w:space="0" w:color="156082"/>
              <w:left w:val="single" w:sz="4" w:space="0" w:color="156082"/>
              <w:bottom w:val="single" w:sz="4" w:space="0" w:color="156082"/>
              <w:right w:val="single" w:sz="4" w:space="0" w:color="156082"/>
            </w:tcBorders>
            <w:shd w:val="clear" w:color="auto" w:fill="123B5D"/>
            <w:hideMark/>
          </w:tcPr>
          <w:p w14:paraId="33FAD0C0" w14:textId="77777777" w:rsidR="007631FA" w:rsidRDefault="007631FA">
            <w:pPr>
              <w:jc w:val="center"/>
              <w:cnfStyle w:val="000000100000" w:firstRow="0" w:lastRow="0" w:firstColumn="0" w:lastColumn="0" w:oddVBand="0" w:evenVBand="0" w:oddHBand="1" w:evenHBand="0" w:firstRowFirstColumn="0" w:firstRowLastColumn="0" w:lastRowFirstColumn="0" w:lastRowLastColumn="0"/>
              <w:rPr>
                <w:color w:val="FFFFFF"/>
              </w:rPr>
            </w:pPr>
            <w:r>
              <w:rPr>
                <w:b/>
                <w:bCs/>
                <w:color w:val="FFFFFF"/>
              </w:rPr>
              <w:t>2021</w:t>
            </w:r>
          </w:p>
        </w:tc>
      </w:tr>
      <w:tr w:rsidR="007631FA" w14:paraId="2575A2CA"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4F8FA"/>
            <w:hideMark/>
          </w:tcPr>
          <w:p w14:paraId="502BDE9E" w14:textId="77777777" w:rsidR="007631FA" w:rsidRDefault="007631FA">
            <w:pPr>
              <w:jc w:val="left"/>
            </w:pPr>
            <w:r>
              <w:t>Net sales</w:t>
            </w:r>
          </w:p>
        </w:tc>
        <w:tc>
          <w:tcPr>
            <w:tcW w:w="0" w:type="auto"/>
            <w:shd w:val="clear" w:color="auto" w:fill="F4F8FA"/>
            <w:hideMark/>
          </w:tcPr>
          <w:p w14:paraId="3E0826A5"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10,229.90</w:t>
            </w:r>
          </w:p>
        </w:tc>
        <w:tc>
          <w:tcPr>
            <w:tcW w:w="0" w:type="auto"/>
            <w:shd w:val="clear" w:color="auto" w:fill="F4F8FA"/>
            <w:hideMark/>
          </w:tcPr>
          <w:p w14:paraId="59BF5A36"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8,011.80</w:t>
            </w:r>
          </w:p>
        </w:tc>
        <w:tc>
          <w:tcPr>
            <w:tcW w:w="0" w:type="auto"/>
            <w:shd w:val="clear" w:color="auto" w:fill="F4F8FA"/>
            <w:hideMark/>
          </w:tcPr>
          <w:p w14:paraId="1CF4B464"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6,863.20</w:t>
            </w:r>
          </w:p>
        </w:tc>
        <w:tc>
          <w:tcPr>
            <w:tcW w:w="0" w:type="auto"/>
            <w:shd w:val="clear" w:color="auto" w:fill="F4F8FA"/>
            <w:hideMark/>
          </w:tcPr>
          <w:p w14:paraId="72B933F2"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5,691.50</w:t>
            </w:r>
          </w:p>
        </w:tc>
        <w:tc>
          <w:tcPr>
            <w:tcW w:w="0" w:type="auto"/>
            <w:shd w:val="clear" w:color="auto" w:fill="F4F8FA"/>
            <w:hideMark/>
          </w:tcPr>
          <w:p w14:paraId="460AC007"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4,998.10</w:t>
            </w:r>
          </w:p>
        </w:tc>
      </w:tr>
      <w:tr w:rsidR="007631FA" w14:paraId="0B0464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9F6F5"/>
            <w:hideMark/>
          </w:tcPr>
          <w:p w14:paraId="2CF2D57C" w14:textId="77777777" w:rsidR="007631FA" w:rsidRDefault="007631FA">
            <w:pPr>
              <w:jc w:val="left"/>
            </w:pPr>
            <w:r>
              <w:t>Gross profit</w:t>
            </w:r>
          </w:p>
        </w:tc>
        <w:tc>
          <w:tcPr>
            <w:tcW w:w="0" w:type="auto"/>
            <w:shd w:val="clear" w:color="auto" w:fill="E9F6F5"/>
            <w:hideMark/>
          </w:tcPr>
          <w:p w14:paraId="7AF4AF10"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3,715.20</w:t>
            </w:r>
          </w:p>
        </w:tc>
        <w:tc>
          <w:tcPr>
            <w:tcW w:w="0" w:type="auto"/>
            <w:shd w:val="clear" w:color="auto" w:fill="E9F6F5"/>
            <w:hideMark/>
          </w:tcPr>
          <w:p w14:paraId="17ED01C9"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2,934.20</w:t>
            </w:r>
          </w:p>
        </w:tc>
        <w:tc>
          <w:tcPr>
            <w:tcW w:w="0" w:type="auto"/>
            <w:shd w:val="clear" w:color="auto" w:fill="E9F6F5"/>
            <w:hideMark/>
          </w:tcPr>
          <w:p w14:paraId="7A6A30FE"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2,400.50</w:t>
            </w:r>
          </w:p>
        </w:tc>
        <w:tc>
          <w:tcPr>
            <w:tcW w:w="0" w:type="auto"/>
            <w:shd w:val="clear" w:color="auto" w:fill="E9F6F5"/>
            <w:hideMark/>
          </w:tcPr>
          <w:p w14:paraId="56E66A39"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1,616.10</w:t>
            </w:r>
          </w:p>
        </w:tc>
        <w:tc>
          <w:tcPr>
            <w:tcW w:w="0" w:type="auto"/>
            <w:shd w:val="clear" w:color="auto" w:fill="E9F6F5"/>
            <w:hideMark/>
          </w:tcPr>
          <w:p w14:paraId="6085E08D"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1,522.70</w:t>
            </w:r>
          </w:p>
        </w:tc>
      </w:tr>
      <w:tr w:rsidR="007631FA" w14:paraId="76F7E66C" w14:textId="77777777">
        <w:tc>
          <w:tcPr>
            <w:cnfStyle w:val="001000000000" w:firstRow="0" w:lastRow="0" w:firstColumn="1" w:lastColumn="0" w:oddVBand="0" w:evenVBand="0" w:oddHBand="0" w:evenHBand="0" w:firstRowFirstColumn="0" w:firstRowLastColumn="0" w:lastRowFirstColumn="0" w:lastRowLastColumn="0"/>
            <w:tcW w:w="0" w:type="auto"/>
            <w:shd w:val="clear" w:color="auto" w:fill="F4F8FA"/>
            <w:hideMark/>
          </w:tcPr>
          <w:p w14:paraId="429ED58B" w14:textId="77777777" w:rsidR="007631FA" w:rsidRDefault="007631FA">
            <w:pPr>
              <w:jc w:val="left"/>
            </w:pPr>
            <w:r>
              <w:t>Operating profit</w:t>
            </w:r>
          </w:p>
        </w:tc>
        <w:tc>
          <w:tcPr>
            <w:tcW w:w="0" w:type="auto"/>
            <w:shd w:val="clear" w:color="auto" w:fill="F4F8FA"/>
            <w:hideMark/>
          </w:tcPr>
          <w:p w14:paraId="62730C1D"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1,829.70</w:t>
            </w:r>
          </w:p>
        </w:tc>
        <w:tc>
          <w:tcPr>
            <w:tcW w:w="0" w:type="auto"/>
            <w:shd w:val="clear" w:color="auto" w:fill="F4F8FA"/>
            <w:hideMark/>
          </w:tcPr>
          <w:p w14:paraId="72A48D79"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1,367.40</w:t>
            </w:r>
          </w:p>
        </w:tc>
        <w:tc>
          <w:tcPr>
            <w:tcW w:w="0" w:type="auto"/>
            <w:shd w:val="clear" w:color="auto" w:fill="F4F8FA"/>
            <w:hideMark/>
          </w:tcPr>
          <w:p w14:paraId="2DD44C1A"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872.2</w:t>
            </w:r>
          </w:p>
        </w:tc>
        <w:tc>
          <w:tcPr>
            <w:tcW w:w="0" w:type="auto"/>
            <w:shd w:val="clear" w:color="auto" w:fill="F4F8FA"/>
            <w:hideMark/>
          </w:tcPr>
          <w:p w14:paraId="44783FB6"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223.4</w:t>
            </w:r>
          </w:p>
        </w:tc>
        <w:tc>
          <w:tcPr>
            <w:tcW w:w="0" w:type="auto"/>
            <w:shd w:val="clear" w:color="auto" w:fill="F4F8FA"/>
            <w:hideMark/>
          </w:tcPr>
          <w:p w14:paraId="543100C8" w14:textId="77777777" w:rsidR="007631FA" w:rsidRDefault="007631FA">
            <w:pPr>
              <w:jc w:val="right"/>
              <w:cnfStyle w:val="000000000000" w:firstRow="0" w:lastRow="0" w:firstColumn="0" w:lastColumn="0" w:oddVBand="0" w:evenVBand="0" w:oddHBand="0" w:evenHBand="0" w:firstRowFirstColumn="0" w:firstRowLastColumn="0" w:lastRowFirstColumn="0" w:lastRowLastColumn="0"/>
            </w:pPr>
            <w:r>
              <w:t>259.9</w:t>
            </w:r>
          </w:p>
        </w:tc>
      </w:tr>
      <w:tr w:rsidR="007631FA" w14:paraId="2B03505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E9F6F5"/>
            <w:hideMark/>
          </w:tcPr>
          <w:p w14:paraId="1F4FC169" w14:textId="77777777" w:rsidR="007631FA" w:rsidRDefault="007631FA">
            <w:pPr>
              <w:jc w:val="left"/>
            </w:pPr>
            <w:r>
              <w:t>Net income</w:t>
            </w:r>
          </w:p>
        </w:tc>
        <w:tc>
          <w:tcPr>
            <w:tcW w:w="0" w:type="auto"/>
            <w:shd w:val="clear" w:color="auto" w:fill="E9F6F5"/>
            <w:hideMark/>
          </w:tcPr>
          <w:p w14:paraId="51BB9C81" w14:textId="77777777" w:rsidR="007631FA" w:rsidRPr="002576F7" w:rsidRDefault="007631FA">
            <w:pPr>
              <w:jc w:val="right"/>
              <w:cnfStyle w:val="000000100000" w:firstRow="0" w:lastRow="0" w:firstColumn="0" w:lastColumn="0" w:oddVBand="0" w:evenVBand="0" w:oddHBand="1" w:evenHBand="0" w:firstRowFirstColumn="0" w:firstRowLastColumn="0" w:lastRowFirstColumn="0" w:lastRowLastColumn="0"/>
            </w:pPr>
            <w:r w:rsidRPr="002576F7">
              <w:t>1,332.80</w:t>
            </w:r>
          </w:p>
        </w:tc>
        <w:tc>
          <w:tcPr>
            <w:tcW w:w="0" w:type="auto"/>
            <w:shd w:val="clear" w:color="auto" w:fill="E9F6F5"/>
            <w:hideMark/>
          </w:tcPr>
          <w:p w14:paraId="256FE605"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495.8</w:t>
            </w:r>
          </w:p>
        </w:tc>
        <w:tc>
          <w:tcPr>
            <w:tcW w:w="0" w:type="auto"/>
            <w:shd w:val="clear" w:color="auto" w:fill="E9F6F5"/>
            <w:hideMark/>
          </w:tcPr>
          <w:p w14:paraId="50D80989"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460.2</w:t>
            </w:r>
          </w:p>
        </w:tc>
        <w:tc>
          <w:tcPr>
            <w:tcW w:w="0" w:type="auto"/>
            <w:shd w:val="clear" w:color="auto" w:fill="E9F6F5"/>
            <w:hideMark/>
          </w:tcPr>
          <w:p w14:paraId="0AF29DB2"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76.6</w:t>
            </w:r>
          </w:p>
        </w:tc>
        <w:tc>
          <w:tcPr>
            <w:tcW w:w="0" w:type="auto"/>
            <w:shd w:val="clear" w:color="auto" w:fill="E9F6F5"/>
            <w:hideMark/>
          </w:tcPr>
          <w:p w14:paraId="18986FBC" w14:textId="77777777" w:rsidR="007631FA" w:rsidRDefault="007631FA">
            <w:pPr>
              <w:jc w:val="right"/>
              <w:cnfStyle w:val="000000100000" w:firstRow="0" w:lastRow="0" w:firstColumn="0" w:lastColumn="0" w:oddVBand="0" w:evenVBand="0" w:oddHBand="1" w:evenHBand="0" w:firstRowFirstColumn="0" w:firstRowLastColumn="0" w:lastRowFirstColumn="0" w:lastRowLastColumn="0"/>
            </w:pPr>
            <w:r>
              <w:t>119.6</w:t>
            </w:r>
          </w:p>
        </w:tc>
      </w:tr>
    </w:tbl>
    <w:p w14:paraId="6A2E0BF5" w14:textId="48946F28" w:rsidR="007631FA" w:rsidRDefault="007631FA">
      <w:pPr>
        <w:pStyle w:val="Caption"/>
      </w:pPr>
      <w:r>
        <w:t>Source: Vertiv 10-K filings, 2022–2025</w:t>
      </w:r>
      <w:r w:rsidR="00A70700">
        <w:rPr>
          <w:rStyle w:val="FootnoteReference"/>
        </w:rPr>
        <w:footnoteReference w:id="20"/>
      </w:r>
    </w:p>
    <w:tbl>
      <w:tblPr>
        <w:tblStyle w:val="PlainTable1"/>
        <w:tblW w:w="5000" w:type="pct"/>
        <w:tblLook w:val="04A0" w:firstRow="1" w:lastRow="0" w:firstColumn="1" w:lastColumn="0" w:noHBand="0" w:noVBand="1"/>
      </w:tblPr>
      <w:tblGrid>
        <w:gridCol w:w="2434"/>
        <w:gridCol w:w="2434"/>
        <w:gridCol w:w="2434"/>
        <w:gridCol w:w="2434"/>
      </w:tblGrid>
      <w:tr w:rsidR="00F30E9A" w14:paraId="0CF261D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4"/>
            <w:shd w:val="clear" w:color="auto" w:fill="123B5D"/>
            <w:hideMark/>
          </w:tcPr>
          <w:p w14:paraId="183A3AE7" w14:textId="772ADD7E" w:rsidR="00F30E9A" w:rsidRDefault="00F30E9A">
            <w:pPr>
              <w:jc w:val="left"/>
              <w:rPr>
                <w:color w:val="FFFFFF"/>
                <w:lang w:eastAsia="en-AE"/>
              </w:rPr>
            </w:pPr>
            <w:r>
              <w:rPr>
                <w:color w:val="FFFFFF"/>
              </w:rPr>
              <w:t xml:space="preserve">2021–2025 </w:t>
            </w:r>
            <w:r w:rsidR="00A70700">
              <w:rPr>
                <w:color w:val="FFFFFF"/>
              </w:rPr>
              <w:t>Compounded Annual Growth Rate (CAGR)</w:t>
            </w:r>
          </w:p>
        </w:tc>
      </w:tr>
      <w:tr w:rsidR="00F30E9A" w14:paraId="488C0F2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Borders>
              <w:top w:val="single" w:sz="24" w:space="0" w:color="2AA6A1"/>
            </w:tcBorders>
            <w:shd w:val="clear" w:color="auto" w:fill="F4F8FA"/>
            <w:hideMark/>
          </w:tcPr>
          <w:p w14:paraId="499F8E14" w14:textId="77777777" w:rsidR="00F30E9A" w:rsidRDefault="00F30E9A">
            <w:pPr>
              <w:jc w:val="left"/>
              <w:rPr>
                <w:color w:val="64748B"/>
                <w:sz w:val="16"/>
                <w:szCs w:val="16"/>
              </w:rPr>
            </w:pPr>
            <w:r>
              <w:rPr>
                <w:color w:val="64748B"/>
                <w:sz w:val="16"/>
                <w:szCs w:val="16"/>
              </w:rPr>
              <w:t>NET SALES</w:t>
            </w:r>
          </w:p>
          <w:p w14:paraId="091A7879" w14:textId="77777777" w:rsidR="00F30E9A" w:rsidRDefault="00F30E9A">
            <w:pPr>
              <w:jc w:val="left"/>
              <w:rPr>
                <w:color w:val="123B5D"/>
                <w:sz w:val="36"/>
                <w:szCs w:val="36"/>
              </w:rPr>
            </w:pPr>
            <w:r>
              <w:rPr>
                <w:color w:val="123B5D"/>
                <w:sz w:val="36"/>
                <w:szCs w:val="36"/>
              </w:rPr>
              <w:t>19.6%</w:t>
            </w:r>
          </w:p>
        </w:tc>
        <w:tc>
          <w:tcPr>
            <w:tcW w:w="1250" w:type="pct"/>
            <w:tcBorders>
              <w:top w:val="single" w:sz="24" w:space="0" w:color="2AA6A1"/>
            </w:tcBorders>
            <w:shd w:val="clear" w:color="auto" w:fill="E9F6F5"/>
            <w:hideMark/>
          </w:tcPr>
          <w:p w14:paraId="578C8050" w14:textId="77777777" w:rsidR="00F30E9A" w:rsidRDefault="00F30E9A">
            <w:pPr>
              <w:jc w:val="left"/>
              <w:cnfStyle w:val="000000100000" w:firstRow="0" w:lastRow="0" w:firstColumn="0" w:lastColumn="0" w:oddVBand="0" w:evenVBand="0" w:oddHBand="1" w:evenHBand="0" w:firstRowFirstColumn="0" w:firstRowLastColumn="0" w:lastRowFirstColumn="0" w:lastRowLastColumn="0"/>
              <w:rPr>
                <w:color w:val="64748B"/>
                <w:sz w:val="16"/>
                <w:szCs w:val="16"/>
              </w:rPr>
            </w:pPr>
            <w:r>
              <w:rPr>
                <w:color w:val="64748B"/>
                <w:sz w:val="16"/>
                <w:szCs w:val="16"/>
              </w:rPr>
              <w:t>GROSS PROFIT</w:t>
            </w:r>
          </w:p>
          <w:p w14:paraId="44236C68" w14:textId="77777777" w:rsidR="00F30E9A" w:rsidRDefault="00F30E9A">
            <w:pPr>
              <w:jc w:val="left"/>
              <w:cnfStyle w:val="000000100000" w:firstRow="0" w:lastRow="0" w:firstColumn="0" w:lastColumn="0" w:oddVBand="0" w:evenVBand="0" w:oddHBand="1" w:evenHBand="0" w:firstRowFirstColumn="0" w:firstRowLastColumn="0" w:lastRowFirstColumn="0" w:lastRowLastColumn="0"/>
              <w:rPr>
                <w:color w:val="0B7A75"/>
                <w:sz w:val="36"/>
                <w:szCs w:val="36"/>
              </w:rPr>
            </w:pPr>
            <w:r>
              <w:rPr>
                <w:b/>
                <w:bCs/>
                <w:color w:val="0B7A75"/>
                <w:sz w:val="36"/>
                <w:szCs w:val="36"/>
              </w:rPr>
              <w:t>25.0%</w:t>
            </w:r>
          </w:p>
        </w:tc>
        <w:tc>
          <w:tcPr>
            <w:tcW w:w="1250" w:type="pct"/>
            <w:tcBorders>
              <w:top w:val="single" w:sz="24" w:space="0" w:color="2AA6A1"/>
            </w:tcBorders>
            <w:shd w:val="clear" w:color="auto" w:fill="F4F8FA"/>
            <w:hideMark/>
          </w:tcPr>
          <w:p w14:paraId="1E02A87A" w14:textId="77777777" w:rsidR="00F30E9A" w:rsidRDefault="00F30E9A">
            <w:pPr>
              <w:jc w:val="left"/>
              <w:cnfStyle w:val="000000100000" w:firstRow="0" w:lastRow="0" w:firstColumn="0" w:lastColumn="0" w:oddVBand="0" w:evenVBand="0" w:oddHBand="1" w:evenHBand="0" w:firstRowFirstColumn="0" w:firstRowLastColumn="0" w:lastRowFirstColumn="0" w:lastRowLastColumn="0"/>
              <w:rPr>
                <w:color w:val="64748B"/>
                <w:sz w:val="16"/>
                <w:szCs w:val="16"/>
              </w:rPr>
            </w:pPr>
            <w:r>
              <w:rPr>
                <w:color w:val="64748B"/>
                <w:sz w:val="16"/>
                <w:szCs w:val="16"/>
              </w:rPr>
              <w:t>OPERATING PROFIT</w:t>
            </w:r>
          </w:p>
          <w:p w14:paraId="670609DD" w14:textId="77777777" w:rsidR="00F30E9A" w:rsidRDefault="00F30E9A">
            <w:pPr>
              <w:jc w:val="left"/>
              <w:cnfStyle w:val="000000100000" w:firstRow="0" w:lastRow="0" w:firstColumn="0" w:lastColumn="0" w:oddVBand="0" w:evenVBand="0" w:oddHBand="1" w:evenHBand="0" w:firstRowFirstColumn="0" w:firstRowLastColumn="0" w:lastRowFirstColumn="0" w:lastRowLastColumn="0"/>
              <w:rPr>
                <w:color w:val="123B5D"/>
                <w:sz w:val="36"/>
                <w:szCs w:val="36"/>
              </w:rPr>
            </w:pPr>
            <w:r>
              <w:rPr>
                <w:b/>
                <w:bCs/>
                <w:color w:val="123B5D"/>
                <w:sz w:val="36"/>
                <w:szCs w:val="36"/>
              </w:rPr>
              <w:t>62.9%</w:t>
            </w:r>
          </w:p>
        </w:tc>
        <w:tc>
          <w:tcPr>
            <w:tcW w:w="1250" w:type="pct"/>
            <w:tcBorders>
              <w:top w:val="single" w:sz="24" w:space="0" w:color="2AA6A1"/>
            </w:tcBorders>
            <w:shd w:val="clear" w:color="auto" w:fill="E9F6F5"/>
            <w:hideMark/>
          </w:tcPr>
          <w:p w14:paraId="6DB5504E" w14:textId="77777777" w:rsidR="00F30E9A" w:rsidRDefault="00F30E9A">
            <w:pPr>
              <w:jc w:val="left"/>
              <w:cnfStyle w:val="000000100000" w:firstRow="0" w:lastRow="0" w:firstColumn="0" w:lastColumn="0" w:oddVBand="0" w:evenVBand="0" w:oddHBand="1" w:evenHBand="0" w:firstRowFirstColumn="0" w:firstRowLastColumn="0" w:lastRowFirstColumn="0" w:lastRowLastColumn="0"/>
              <w:rPr>
                <w:color w:val="64748B"/>
                <w:sz w:val="16"/>
                <w:szCs w:val="16"/>
              </w:rPr>
            </w:pPr>
            <w:r>
              <w:rPr>
                <w:color w:val="64748B"/>
                <w:sz w:val="16"/>
                <w:szCs w:val="16"/>
              </w:rPr>
              <w:t>NET INCOME</w:t>
            </w:r>
          </w:p>
          <w:p w14:paraId="5FD6A530" w14:textId="77777777" w:rsidR="00F30E9A" w:rsidRDefault="00F30E9A">
            <w:pPr>
              <w:jc w:val="left"/>
              <w:cnfStyle w:val="000000100000" w:firstRow="0" w:lastRow="0" w:firstColumn="0" w:lastColumn="0" w:oddVBand="0" w:evenVBand="0" w:oddHBand="1" w:evenHBand="0" w:firstRowFirstColumn="0" w:firstRowLastColumn="0" w:lastRowFirstColumn="0" w:lastRowLastColumn="0"/>
              <w:rPr>
                <w:color w:val="0B7A75"/>
                <w:sz w:val="36"/>
                <w:szCs w:val="36"/>
              </w:rPr>
            </w:pPr>
            <w:r>
              <w:rPr>
                <w:b/>
                <w:bCs/>
                <w:color w:val="0B7A75"/>
                <w:sz w:val="36"/>
                <w:szCs w:val="36"/>
              </w:rPr>
              <w:t>82.7%</w:t>
            </w:r>
          </w:p>
        </w:tc>
      </w:tr>
    </w:tbl>
    <w:p w14:paraId="57931ED7" w14:textId="5118F788" w:rsidR="00C21B7E" w:rsidRDefault="00F069B8" w:rsidP="0035013E">
      <w:r>
        <w:br/>
        <w:t>D</w:t>
      </w:r>
      <w:r w:rsidR="00950D4A">
        <w:t>uring the last 5 years</w:t>
      </w:r>
      <w:r>
        <w:t xml:space="preserve"> Vertiv’s annual net sales grew with an </w:t>
      </w:r>
      <w:r w:rsidR="00076F00">
        <w:t xml:space="preserve">CAGR of </w:t>
      </w:r>
      <w:r w:rsidR="00950D4A">
        <w:t>19</w:t>
      </w:r>
      <w:r w:rsidR="00900005">
        <w:t>.6</w:t>
      </w:r>
      <w:r w:rsidR="00950D4A">
        <w:t xml:space="preserve">% </w:t>
      </w:r>
      <w:r w:rsidR="003F479F">
        <w:t>while Net Income</w:t>
      </w:r>
      <w:r w:rsidR="00076F00">
        <w:t xml:space="preserve"> grew at a CAGR of </w:t>
      </w:r>
      <w:r w:rsidR="00950D4A">
        <w:t>8</w:t>
      </w:r>
      <w:r w:rsidR="00900005">
        <w:t>2.7</w:t>
      </w:r>
      <w:r w:rsidR="009936C8">
        <w:t>s</w:t>
      </w:r>
      <w:r w:rsidR="003522CA">
        <w:t>d</w:t>
      </w:r>
      <w:r w:rsidR="00950D4A">
        <w:t>%</w:t>
      </w:r>
      <w:r w:rsidR="00EF3ECC">
        <w:t xml:space="preserve"> annually</w:t>
      </w:r>
      <w:r w:rsidR="00076F00">
        <w:t xml:space="preserve">. </w:t>
      </w:r>
      <w:r w:rsidR="00EF3ECC">
        <w:t>P</w:t>
      </w:r>
      <w:r w:rsidR="00076F00">
        <w:t>rofit</w:t>
      </w:r>
      <w:r w:rsidR="00EF3ECC">
        <w:t xml:space="preserve"> expanded approximately</w:t>
      </w:r>
      <w:r w:rsidR="00076F00">
        <w:t xml:space="preserve"> 4x faster than the revenue, </w:t>
      </w:r>
      <w:r w:rsidR="007E7489">
        <w:t>indicating</w:t>
      </w:r>
      <w:r w:rsidR="0065196B">
        <w:t xml:space="preserve"> the revenue growth isn’t just </w:t>
      </w:r>
      <w:r w:rsidR="007E7489">
        <w:t>volume or momentum</w:t>
      </w:r>
      <w:r w:rsidR="0065196B">
        <w:t xml:space="preserve"> but </w:t>
      </w:r>
      <w:r w:rsidR="007E7489">
        <w:t xml:space="preserve">is being continuously </w:t>
      </w:r>
      <w:r w:rsidR="003F479F">
        <w:t>converted into profit.</w:t>
      </w:r>
      <w:r w:rsidR="00E812D6">
        <w:t xml:space="preserve"> </w:t>
      </w:r>
      <w:r w:rsidR="00FC7349">
        <w:br/>
      </w:r>
    </w:p>
    <w:p w14:paraId="0ABD81E2" w14:textId="6E788C7E" w:rsidR="00B56150" w:rsidRDefault="00FC7349" w:rsidP="00136CF1">
      <w:pPr>
        <w:jc w:val="left"/>
      </w:pPr>
      <w:r>
        <w:br/>
      </w:r>
      <w:r w:rsidR="006C01CF" w:rsidRPr="006C01CF">
        <w:t>As discussed earlier, Vertiv reported a backlog of $15 billion by the end of 2025</w:t>
      </w:r>
      <w:r w:rsidR="00801773">
        <w:t xml:space="preserve">; </w:t>
      </w:r>
      <w:r w:rsidR="006C01CF" w:rsidRPr="006C01CF">
        <w:t>roughly 150% of that year's net sales. Given how material this is, it's worth checking whether Vertiv actually has the capacity to fulfil it, rather than treating the number as automatically positive.</w:t>
      </w:r>
      <w:r w:rsidR="006C01CF">
        <w:br/>
      </w:r>
      <w:r w:rsidR="00973954">
        <w:t>Two details indicating a positive sign from Vertiv’s 10K filling are;</w:t>
      </w:r>
      <w:r w:rsidR="00973954">
        <w:br/>
        <w:t xml:space="preserve">A) </w:t>
      </w:r>
      <w:r w:rsidR="00E954AE">
        <w:t>The</w:t>
      </w:r>
      <w:r w:rsidR="00E954AE" w:rsidRPr="00E954AE">
        <w:t xml:space="preserve"> backlog consists specifically of confirmed customer purchase orders or commitments not yet delivered, not speculative interest</w:t>
      </w:r>
      <w:r w:rsidR="00E954AE">
        <w:t>.</w:t>
      </w:r>
      <w:r w:rsidR="00E954AE">
        <w:br/>
        <w:t>b)</w:t>
      </w:r>
      <w:r w:rsidR="00E954AE" w:rsidRPr="00E954AE">
        <w:t xml:space="preserve"> </w:t>
      </w:r>
      <w:r w:rsidR="00E954AE">
        <w:t>The</w:t>
      </w:r>
      <w:r w:rsidR="00E954AE" w:rsidRPr="00E954AE">
        <w:t xml:space="preserve"> majority of it is considered firm and expected to ship within 12-18 months</w:t>
      </w:r>
      <w:r w:rsidR="000D2FD9">
        <w:t>.</w:t>
      </w:r>
      <w:r w:rsidR="000D2FD9">
        <w:br/>
      </w:r>
      <w:r w:rsidR="000D2FD9">
        <w:lastRenderedPageBreak/>
        <w:br/>
      </w:r>
      <w:r w:rsidR="00B56150">
        <w:rPr>
          <w:noProof/>
        </w:rPr>
        <w:drawing>
          <wp:anchor distT="0" distB="0" distL="114300" distR="114300" simplePos="0" relativeHeight="251658240" behindDoc="1" locked="0" layoutInCell="1" allowOverlap="1" wp14:anchorId="2290AF63" wp14:editId="21B2C313">
            <wp:simplePos x="0" y="0"/>
            <wp:positionH relativeFrom="margin">
              <wp:posOffset>4353779</wp:posOffset>
            </wp:positionH>
            <wp:positionV relativeFrom="paragraph">
              <wp:posOffset>182</wp:posOffset>
            </wp:positionV>
            <wp:extent cx="1832210" cy="2488928"/>
            <wp:effectExtent l="0" t="0" r="0" b="6985"/>
            <wp:wrapTight wrapText="bothSides">
              <wp:wrapPolygon edited="0">
                <wp:start x="0" y="0"/>
                <wp:lineTo x="0" y="21495"/>
                <wp:lineTo x="21338" y="21495"/>
                <wp:lineTo x="213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BEBA8EAE-BF5A-486C-A8C5-ECC9F3942E4B}">
                          <a14:imgProps xmlns:a14="http://schemas.microsoft.com/office/drawing/2010/main">
                            <a14:imgLayer r:embed="rId13">
                              <a14:imgEffect>
                                <a14:brightnessContrast bright="20000" contrast="-20000"/>
                              </a14:imgEffect>
                            </a14:imgLayer>
                          </a14:imgProps>
                        </a:ext>
                        <a:ext uri="{28A0092B-C50C-407E-A947-70E740481C1C}">
                          <a14:useLocalDpi xmlns:a14="http://schemas.microsoft.com/office/drawing/2010/main" val="0"/>
                        </a:ext>
                      </a:extLst>
                    </a:blip>
                    <a:srcRect l="12016" t="6627" r="12228" b="24675"/>
                    <a:stretch>
                      <a:fillRect/>
                    </a:stretch>
                  </pic:blipFill>
                  <pic:spPr bwMode="auto">
                    <a:xfrm>
                      <a:off x="0" y="0"/>
                      <a:ext cx="1833568" cy="249077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A18834" w14:textId="533A03A3" w:rsidR="00973954" w:rsidRPr="001B507B" w:rsidRDefault="006B39B4" w:rsidP="00C21B7E">
      <w:r w:rsidRPr="006B39B4">
        <w:t>Moving to capacity building, Vertiv is actively investing to meet demand. Capital expenditure is guided to nearly double, from $226.4 million in 2025 to an initial $425-525 million for 2026, specifically to fund capacity expansion</w:t>
      </w:r>
      <w:r w:rsidR="00214D40">
        <w:rPr>
          <w:rStyle w:val="FootnoteReference"/>
        </w:rPr>
        <w:footnoteReference w:id="21"/>
      </w:r>
      <w:r w:rsidR="00214D40">
        <w:t xml:space="preserve">. </w:t>
      </w:r>
      <w:r w:rsidR="00136CF1">
        <w:br/>
      </w:r>
      <w:r w:rsidR="00136CF1">
        <w:br/>
      </w:r>
      <w:r w:rsidRPr="006B39B4">
        <w:t>By Q2 2026, this guidance was raised further to $550-570 million, with $288.5 million already spent in the first six months</w:t>
      </w:r>
      <w:r w:rsidR="00214D40">
        <w:rPr>
          <w:rStyle w:val="FootnoteReference"/>
        </w:rPr>
        <w:footnoteReference w:id="22"/>
      </w:r>
      <w:r w:rsidR="0035013E">
        <w:t>,</w:t>
      </w:r>
      <w:r w:rsidRPr="006B39B4">
        <w:t>roughly on pace with the revised full-year target.</w:t>
      </w:r>
      <w:r w:rsidR="0035013E">
        <w:t xml:space="preserve"> </w:t>
      </w:r>
      <w:r w:rsidRPr="006B39B4">
        <w:t>This upward revision suggests Vertiv's investment in fulfilling demand is accelerating alongside its backlog</w:t>
      </w:r>
      <w:r w:rsidR="0035013E">
        <w:t>.</w:t>
      </w:r>
    </w:p>
    <w:p w14:paraId="0ED401F5" w14:textId="77777777" w:rsidR="00B56150" w:rsidRDefault="00B56150">
      <w:pPr>
        <w:jc w:val="center"/>
        <w:rPr>
          <w:noProof/>
        </w:rPr>
      </w:pPr>
    </w:p>
    <w:p w14:paraId="29B1595C" w14:textId="7C9F8823" w:rsidR="002F156D" w:rsidRDefault="002F156D">
      <w:pPr>
        <w:jc w:val="center"/>
        <w:rPr>
          <w:lang w:eastAsia="en-AE"/>
        </w:rPr>
      </w:pPr>
    </w:p>
    <w:p w14:paraId="09E6E89F" w14:textId="05B0C97A" w:rsidR="00DD278C" w:rsidRDefault="00DD278C" w:rsidP="00F13FC3">
      <w:pPr>
        <w:rPr>
          <w:rFonts w:ascii="Calibri" w:hAnsi="Calibri" w:cs="Calibri"/>
          <w:sz w:val="22"/>
          <w:szCs w:val="22"/>
        </w:rPr>
      </w:pPr>
    </w:p>
    <w:sectPr w:rsidR="00DD278C" w:rsidSect="00B00DBF">
      <w:headerReference w:type="even" r:id="rId14"/>
      <w:headerReference w:type="default" r:id="rId15"/>
      <w:footerReference w:type="even" r:id="rId16"/>
      <w:footerReference w:type="default" r:id="rId17"/>
      <w:headerReference w:type="first" r:id="rId18"/>
      <w:footerReference w:type="first" r:id="rId19"/>
      <w:pgSz w:w="11906" w:h="16838"/>
      <w:pgMar w:top="1080" w:right="1080" w:bottom="1080" w:left="1080" w:header="480" w:footer="4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EB1E" w14:textId="77777777" w:rsidR="006C5D08" w:rsidRDefault="006C5D08" w:rsidP="001A47FF">
      <w:pPr>
        <w:spacing w:after="0" w:line="240" w:lineRule="auto"/>
      </w:pPr>
      <w:r>
        <w:separator/>
      </w:r>
    </w:p>
  </w:endnote>
  <w:endnote w:type="continuationSeparator" w:id="0">
    <w:p w14:paraId="450690D9" w14:textId="77777777" w:rsidR="006C5D08" w:rsidRDefault="006C5D08" w:rsidP="001A4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C5BCA" w14:textId="77777777" w:rsidR="00B00DBF" w:rsidRDefault="00B00D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5" w:type="dxa"/>
        <w:left w:w="15" w:type="dxa"/>
        <w:bottom w:w="15" w:type="dxa"/>
        <w:right w:w="15" w:type="dxa"/>
      </w:tblCellMar>
      <w:tblLook w:val="04A0" w:firstRow="1" w:lastRow="0" w:firstColumn="1" w:lastColumn="0" w:noHBand="0" w:noVBand="1"/>
    </w:tblPr>
    <w:tblGrid>
      <w:gridCol w:w="7770"/>
      <w:gridCol w:w="1976"/>
    </w:tblGrid>
    <w:tr w:rsidR="00B00DBF" w14:paraId="0147FFD5" w14:textId="77777777">
      <w:tc>
        <w:tcPr>
          <w:tcW w:w="0" w:type="auto"/>
          <w:tcBorders>
            <w:top w:val="nil"/>
            <w:left w:val="nil"/>
            <w:bottom w:val="nil"/>
            <w:right w:val="nil"/>
          </w:tcBorders>
          <w:vAlign w:val="center"/>
          <w:hideMark/>
        </w:tcPr>
        <w:p w14:paraId="20602FE7" w14:textId="77777777" w:rsidR="00B00DBF" w:rsidRDefault="00B00DBF">
          <w:pPr>
            <w:spacing w:before="100" w:beforeAutospacing="1" w:after="100" w:afterAutospacing="1"/>
            <w:rPr>
              <w:color w:val="64748B"/>
              <w:kern w:val="0"/>
              <w:sz w:val="16"/>
              <w:szCs w:val="16"/>
              <w14:ligatures w14:val="none"/>
            </w:rPr>
          </w:pPr>
          <w:r>
            <w:rPr>
              <w:color w:val="64748B"/>
              <w:sz w:val="16"/>
              <w:szCs w:val="16"/>
            </w:rPr>
            <w:t>Investment research report</w:t>
          </w:r>
        </w:p>
      </w:tc>
      <w:tc>
        <w:tcPr>
          <w:tcW w:w="0" w:type="auto"/>
          <w:tcBorders>
            <w:top w:val="nil"/>
            <w:left w:val="nil"/>
            <w:bottom w:val="nil"/>
            <w:right w:val="nil"/>
          </w:tcBorders>
          <w:vAlign w:val="center"/>
          <w:hideMark/>
        </w:tcPr>
        <w:p w14:paraId="251A6957" w14:textId="77777777" w:rsidR="00B00DBF" w:rsidRDefault="00B00DBF">
          <w:pPr>
            <w:spacing w:before="100" w:beforeAutospacing="1" w:after="100" w:afterAutospacing="1"/>
            <w:jc w:val="right"/>
            <w:rPr>
              <w:color w:val="64748B"/>
              <w:sz w:val="16"/>
              <w:szCs w:val="16"/>
            </w:rP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Pr>
              <w:color w:val="64748B"/>
              <w:sz w:val="16"/>
              <w:szCs w:val="16"/>
            </w:rPr>
            <w:t xml:space="preserve"> of </w:t>
          </w:r>
          <w:r>
            <w:rPr>
              <w:color w:val="64748B"/>
              <w:sz w:val="16"/>
              <w:szCs w:val="16"/>
            </w:rPr>
            <w:fldChar w:fldCharType="end"/>
          </w:r>
        </w:p>
      </w:tc>
    </w:tr>
  </w:tbl>
  <w:p w14:paraId="4370B855" w14:textId="77777777" w:rsidR="00B00DBF" w:rsidRDefault="00B00DB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3E3F" w14:textId="77777777" w:rsidR="00B00DBF" w:rsidRDefault="00B00D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DB66B" w14:textId="77777777" w:rsidR="006C5D08" w:rsidRDefault="006C5D08" w:rsidP="001A47FF">
      <w:pPr>
        <w:spacing w:after="0" w:line="240" w:lineRule="auto"/>
      </w:pPr>
      <w:r>
        <w:separator/>
      </w:r>
    </w:p>
  </w:footnote>
  <w:footnote w:type="continuationSeparator" w:id="0">
    <w:p w14:paraId="56EDB028" w14:textId="77777777" w:rsidR="006C5D08" w:rsidRDefault="006C5D08" w:rsidP="001A47FF">
      <w:pPr>
        <w:spacing w:after="0" w:line="240" w:lineRule="auto"/>
      </w:pPr>
      <w:r>
        <w:continuationSeparator/>
      </w:r>
    </w:p>
  </w:footnote>
  <w:footnote w:id="1">
    <w:p w14:paraId="7C350476" w14:textId="750BBED2" w:rsidR="001A47FF" w:rsidRPr="00C94CAB" w:rsidRDefault="001A47FF" w:rsidP="001A47FF">
      <w:pPr>
        <w:pStyle w:val="FootnoteText"/>
        <w:rPr>
          <w:lang w:val="en-US"/>
        </w:rPr>
      </w:pPr>
      <w:r>
        <w:rPr>
          <w:rStyle w:val="FootnoteReference"/>
        </w:rPr>
        <w:footnoteRef/>
      </w:r>
      <w:r>
        <w:t xml:space="preserve"> </w:t>
      </w:r>
      <w:hyperlink r:id="rId1" w:history="1">
        <w:r w:rsidRPr="00C94CAB">
          <w:rPr>
            <w:rStyle w:val="Hyperlink"/>
          </w:rPr>
          <w:t xml:space="preserve">How much energy do data </w:t>
        </w:r>
        <w:proofErr w:type="spellStart"/>
        <w:r w:rsidRPr="00C94CAB">
          <w:rPr>
            <w:rStyle w:val="Hyperlink"/>
          </w:rPr>
          <w:t>centers</w:t>
        </w:r>
        <w:proofErr w:type="spellEnd"/>
        <w:r w:rsidRPr="00C94CAB">
          <w:rPr>
            <w:rStyle w:val="Hyperlink"/>
          </w:rPr>
          <w:t xml:space="preserve"> and artificial</w:t>
        </w:r>
        <w:r>
          <w:rPr>
            <w:rStyle w:val="Hyperlink"/>
          </w:rPr>
          <w:t xml:space="preserve"> </w:t>
        </w:r>
        <w:r w:rsidRPr="00C94CAB">
          <w:rPr>
            <w:rStyle w:val="Hyperlink"/>
          </w:rPr>
          <w:t>intelligence use? | Our World in Data</w:t>
        </w:r>
      </w:hyperlink>
    </w:p>
  </w:footnote>
  <w:footnote w:id="2">
    <w:p w14:paraId="686C9C4F" w14:textId="77777777" w:rsidR="00C55886" w:rsidRPr="001F6B44" w:rsidRDefault="00C55886" w:rsidP="00C55886">
      <w:pPr>
        <w:pStyle w:val="FootnoteText"/>
        <w:rPr>
          <w:lang w:val="en-US"/>
        </w:rPr>
      </w:pPr>
      <w:r>
        <w:rPr>
          <w:rStyle w:val="FootnoteReference"/>
        </w:rPr>
        <w:footnoteRef/>
      </w:r>
      <w:r>
        <w:t xml:space="preserve"> </w:t>
      </w:r>
      <w:hyperlink r:id="rId2" w:history="1">
        <w:r w:rsidRPr="001F6B44">
          <w:rPr>
            <w:rStyle w:val="Hyperlink"/>
          </w:rPr>
          <w:t>The cost of compute power: A $7 trillion race | McKinsey</w:t>
        </w:r>
      </w:hyperlink>
    </w:p>
  </w:footnote>
  <w:footnote w:id="3">
    <w:p w14:paraId="630435DA" w14:textId="77777777" w:rsidR="00C55886" w:rsidRPr="00833C3D" w:rsidRDefault="00C55886" w:rsidP="00C55886">
      <w:pPr>
        <w:pStyle w:val="FootnoteText"/>
        <w:rPr>
          <w:lang w:val="en-US"/>
        </w:rPr>
      </w:pPr>
      <w:r>
        <w:rPr>
          <w:rStyle w:val="FootnoteReference"/>
        </w:rPr>
        <w:footnoteRef/>
      </w:r>
      <w:r>
        <w:t xml:space="preserve"> </w:t>
      </w:r>
      <w:hyperlink r:id="rId3" w:history="1">
        <w:r w:rsidRPr="00833C3D">
          <w:rPr>
            <w:rStyle w:val="Hyperlink"/>
          </w:rPr>
          <w:t xml:space="preserve">2026 </w:t>
        </w:r>
        <w:proofErr w:type="spellStart"/>
        <w:r w:rsidRPr="00833C3D">
          <w:rPr>
            <w:rStyle w:val="Hyperlink"/>
          </w:rPr>
          <w:t>hyperscaler</w:t>
        </w:r>
        <w:proofErr w:type="spellEnd"/>
        <w:r w:rsidRPr="00833C3D">
          <w:rPr>
            <w:rStyle w:val="Hyperlink"/>
          </w:rPr>
          <w:t xml:space="preserve"> capex tops US$700bn – analysis | TMT Finance</w:t>
        </w:r>
      </w:hyperlink>
    </w:p>
  </w:footnote>
  <w:footnote w:id="4">
    <w:p w14:paraId="4DA0B205" w14:textId="77777777" w:rsidR="00EE5CD2" w:rsidRPr="002C78EC" w:rsidRDefault="00EE5CD2" w:rsidP="00EE5CD2">
      <w:pPr>
        <w:pStyle w:val="FootnoteText"/>
        <w:rPr>
          <w:lang w:val="en-US"/>
        </w:rPr>
      </w:pPr>
      <w:r>
        <w:rPr>
          <w:rStyle w:val="FootnoteReference"/>
        </w:rPr>
        <w:footnoteRef/>
      </w:r>
      <w:r>
        <w:t xml:space="preserve"> </w:t>
      </w:r>
      <w:hyperlink r:id="rId4" w:history="1">
        <w:r w:rsidRPr="00C94CAB">
          <w:rPr>
            <w:rStyle w:val="Hyperlink"/>
          </w:rPr>
          <w:t xml:space="preserve">How much energy do data </w:t>
        </w:r>
        <w:proofErr w:type="spellStart"/>
        <w:r w:rsidRPr="00C94CAB">
          <w:rPr>
            <w:rStyle w:val="Hyperlink"/>
          </w:rPr>
          <w:t>centers</w:t>
        </w:r>
        <w:proofErr w:type="spellEnd"/>
        <w:r w:rsidRPr="00C94CAB">
          <w:rPr>
            <w:rStyle w:val="Hyperlink"/>
          </w:rPr>
          <w:t xml:space="preserve"> and artificial intelligence use? | Our World in Data</w:t>
        </w:r>
      </w:hyperlink>
      <w:r>
        <w:t xml:space="preserve"> </w:t>
      </w:r>
    </w:p>
  </w:footnote>
  <w:footnote w:id="5">
    <w:p w14:paraId="590295EA" w14:textId="77777777" w:rsidR="00EE5CD2" w:rsidRPr="00480097" w:rsidRDefault="00EE5CD2" w:rsidP="00EE5CD2">
      <w:pPr>
        <w:pStyle w:val="FootnoteText"/>
        <w:rPr>
          <w:lang w:val="en-US"/>
        </w:rPr>
      </w:pPr>
      <w:r>
        <w:rPr>
          <w:rStyle w:val="FootnoteReference"/>
        </w:rPr>
        <w:footnoteRef/>
      </w:r>
      <w:r>
        <w:t xml:space="preserve"> </w:t>
      </w:r>
      <w:hyperlink r:id="rId5" w:history="1">
        <w:r w:rsidRPr="00480097">
          <w:rPr>
            <w:rStyle w:val="Hyperlink"/>
          </w:rPr>
          <w:t>Amazon Q2 2026 earnings report: Read the release</w:t>
        </w:r>
      </w:hyperlink>
    </w:p>
  </w:footnote>
  <w:footnote w:id="6">
    <w:p w14:paraId="1FF8A4F8" w14:textId="77777777" w:rsidR="00EE5CD2" w:rsidRPr="00343561" w:rsidRDefault="00EE5CD2" w:rsidP="00EE5CD2">
      <w:pPr>
        <w:pStyle w:val="FootnoteText"/>
        <w:rPr>
          <w:lang w:val="en-US"/>
        </w:rPr>
      </w:pPr>
      <w:r>
        <w:rPr>
          <w:rStyle w:val="FootnoteReference"/>
        </w:rPr>
        <w:footnoteRef/>
      </w:r>
      <w:r>
        <w:t xml:space="preserve"> </w:t>
      </w:r>
      <w:hyperlink r:id="rId6" w:history="1">
        <w:r w:rsidRPr="00343561">
          <w:rPr>
            <w:rStyle w:val="Hyperlink"/>
          </w:rPr>
          <w:t>ChatGPT crosses 900 million weekly users, 50 million paying subscribers: OpenAI's Nick Turley - The Economic Times</w:t>
        </w:r>
      </w:hyperlink>
    </w:p>
  </w:footnote>
  <w:footnote w:id="7">
    <w:p w14:paraId="37696471" w14:textId="77777777" w:rsidR="003813FF" w:rsidRPr="00B70552" w:rsidRDefault="003813FF" w:rsidP="003813FF">
      <w:pPr>
        <w:pStyle w:val="FootnoteText"/>
        <w:rPr>
          <w:lang w:val="en-US"/>
        </w:rPr>
      </w:pPr>
      <w:r>
        <w:rPr>
          <w:rStyle w:val="FootnoteReference"/>
        </w:rPr>
        <w:footnoteRef/>
      </w:r>
      <w:r>
        <w:t xml:space="preserve"> </w:t>
      </w:r>
      <w:hyperlink r:id="rId7" w:history="1">
        <w:r w:rsidRPr="009E5DA3">
          <w:rPr>
            <w:rStyle w:val="Hyperlink"/>
          </w:rPr>
          <w:t>Dubai’s $3.5B Sovereign AI Bet: Building a Future</w:t>
        </w:r>
        <w:r w:rsidRPr="009E5DA3">
          <w:rPr>
            <w:rStyle w:val="Hyperlink"/>
          </w:rPr>
          <w:noBreakHyphen/>
          <w:t xml:space="preserve">Proof GCC - </w:t>
        </w:r>
        <w:proofErr w:type="spellStart"/>
        <w:r w:rsidRPr="009E5DA3">
          <w:rPr>
            <w:rStyle w:val="Hyperlink"/>
          </w:rPr>
          <w:t>Enorbe</w:t>
        </w:r>
        <w:proofErr w:type="spellEnd"/>
      </w:hyperlink>
    </w:p>
  </w:footnote>
  <w:footnote w:id="8">
    <w:p w14:paraId="7148C11B" w14:textId="77777777" w:rsidR="003813FF" w:rsidRPr="00476E63" w:rsidRDefault="003813FF" w:rsidP="003813FF">
      <w:pPr>
        <w:pStyle w:val="FootnoteText"/>
        <w:rPr>
          <w:lang w:val="en-US"/>
        </w:rPr>
      </w:pPr>
      <w:r>
        <w:rPr>
          <w:rStyle w:val="FootnoteReference"/>
        </w:rPr>
        <w:footnoteRef/>
      </w:r>
      <w:r>
        <w:t xml:space="preserve"> </w:t>
      </w:r>
      <w:hyperlink r:id="rId8" w:history="1">
        <w:r w:rsidRPr="00476E63">
          <w:rPr>
            <w:rStyle w:val="Hyperlink"/>
          </w:rPr>
          <w:t>Anthropic raises $30 billion in Series G funding at $380 billion post-money valuation \ Anthropic</w:t>
        </w:r>
      </w:hyperlink>
    </w:p>
  </w:footnote>
  <w:footnote w:id="9">
    <w:p w14:paraId="183DCFC6" w14:textId="77777777" w:rsidR="00E07859" w:rsidRPr="001230D7" w:rsidRDefault="00E07859" w:rsidP="00E07859">
      <w:pPr>
        <w:pStyle w:val="FootnoteText"/>
        <w:rPr>
          <w:lang w:val="en-US"/>
        </w:rPr>
      </w:pPr>
      <w:r>
        <w:rPr>
          <w:rStyle w:val="FootnoteReference"/>
        </w:rPr>
        <w:footnoteRef/>
      </w:r>
      <w:r>
        <w:t xml:space="preserve"> </w:t>
      </w:r>
      <w:hyperlink r:id="rId9" w:history="1">
        <w:r w:rsidRPr="001230D7">
          <w:rPr>
            <w:rStyle w:val="Hyperlink"/>
          </w:rPr>
          <w:t>Amazon's $364 billion backlog is the bull case for its AI spending boom</w:t>
        </w:r>
      </w:hyperlink>
    </w:p>
  </w:footnote>
  <w:footnote w:id="10">
    <w:p w14:paraId="16589674" w14:textId="77777777" w:rsidR="00E07859" w:rsidRPr="00AB6CDA" w:rsidRDefault="00E07859" w:rsidP="00E07859">
      <w:pPr>
        <w:pStyle w:val="FootnoteText"/>
      </w:pPr>
      <w:r>
        <w:rPr>
          <w:rStyle w:val="FootnoteReference"/>
        </w:rPr>
        <w:footnoteRef/>
      </w:r>
      <w:r>
        <w:t xml:space="preserve"> </w:t>
      </w:r>
      <w:hyperlink r:id="rId10" w:tgtFrame="_blank" w:history="1">
        <w:r w:rsidRPr="00AB6CDA">
          <w:rPr>
            <w:rStyle w:val="Hyperlink"/>
          </w:rPr>
          <w:t>Alphabet Q2 2026: Google Cloud Posts 82% Revenue Growth</w:t>
        </w:r>
      </w:hyperlink>
    </w:p>
  </w:footnote>
  <w:footnote w:id="11">
    <w:p w14:paraId="5F90AA78" w14:textId="77777777" w:rsidR="00E07859" w:rsidRPr="008F014D" w:rsidRDefault="00E07859" w:rsidP="00E07859">
      <w:pPr>
        <w:pStyle w:val="FootnoteText"/>
        <w:rPr>
          <w:lang w:val="en-US"/>
        </w:rPr>
      </w:pPr>
      <w:r>
        <w:rPr>
          <w:rStyle w:val="FootnoteReference"/>
        </w:rPr>
        <w:footnoteRef/>
      </w:r>
      <w:r>
        <w:t xml:space="preserve"> </w:t>
      </w:r>
      <w:hyperlink r:id="rId11" w:history="1">
        <w:r w:rsidRPr="008F014D">
          <w:rPr>
            <w:rStyle w:val="Hyperlink"/>
          </w:rPr>
          <w:t>Microsoft Azure growth reaches 43% as cloud backlog climbs to $678 billion</w:t>
        </w:r>
      </w:hyperlink>
    </w:p>
  </w:footnote>
  <w:footnote w:id="12">
    <w:p w14:paraId="4BE89EA0" w14:textId="77777777" w:rsidR="00E07859" w:rsidRPr="00FA32DC" w:rsidRDefault="00E07859" w:rsidP="00E07859">
      <w:pPr>
        <w:pStyle w:val="FootnoteText"/>
        <w:rPr>
          <w:lang w:val="en-US"/>
        </w:rPr>
      </w:pPr>
      <w:r>
        <w:rPr>
          <w:rStyle w:val="FootnoteReference"/>
        </w:rPr>
        <w:footnoteRef/>
      </w:r>
      <w:r>
        <w:t xml:space="preserve"> </w:t>
      </w:r>
      <w:hyperlink r:id="rId12" w:history="1">
        <w:r w:rsidRPr="00FA32DC">
          <w:rPr>
            <w:rStyle w:val="Hyperlink"/>
          </w:rPr>
          <w:t>Oracle's $638 billion promise comes with one big catch</w:t>
        </w:r>
      </w:hyperlink>
    </w:p>
  </w:footnote>
  <w:footnote w:id="13">
    <w:p w14:paraId="16E34A05" w14:textId="77777777" w:rsidR="005C5D47" w:rsidRPr="00836CE3" w:rsidRDefault="005C5D47" w:rsidP="005C5D47">
      <w:pPr>
        <w:pStyle w:val="FootnoteText"/>
        <w:rPr>
          <w:lang w:val="en-US"/>
        </w:rPr>
      </w:pPr>
      <w:r>
        <w:rPr>
          <w:rStyle w:val="FootnoteReference"/>
        </w:rPr>
        <w:footnoteRef/>
      </w:r>
      <w:r>
        <w:t xml:space="preserve"> </w:t>
      </w:r>
      <w:hyperlink r:id="rId13" w:history="1">
        <w:r w:rsidRPr="00836CE3">
          <w:rPr>
            <w:rStyle w:val="Hyperlink"/>
          </w:rPr>
          <w:t>AI Chip Market Share Statistics 2026 [ Vendor Rankings, Revenue Data, and Supply Chain]</w:t>
        </w:r>
      </w:hyperlink>
    </w:p>
  </w:footnote>
  <w:footnote w:id="14">
    <w:p w14:paraId="428D47EE" w14:textId="5C32CBDA" w:rsidR="00077265" w:rsidRPr="00077265" w:rsidRDefault="00077265">
      <w:pPr>
        <w:pStyle w:val="FootnoteText"/>
        <w:rPr>
          <w:lang w:val="en-US"/>
        </w:rPr>
      </w:pPr>
      <w:r>
        <w:rPr>
          <w:rStyle w:val="FootnoteReference"/>
        </w:rPr>
        <w:footnoteRef/>
      </w:r>
      <w:r>
        <w:t xml:space="preserve"> </w:t>
      </w:r>
      <w:hyperlink r:id="rId14" w:history="1">
        <w:r w:rsidRPr="00077265">
          <w:rPr>
            <w:rStyle w:val="Hyperlink"/>
          </w:rPr>
          <w:t>Data centre supply chain - Equipment, construction and the future</w:t>
        </w:r>
      </w:hyperlink>
    </w:p>
  </w:footnote>
  <w:footnote w:id="15">
    <w:p w14:paraId="66EC9F24" w14:textId="04906F74" w:rsidR="003A2A2B" w:rsidRPr="003A2A2B" w:rsidRDefault="003A2A2B">
      <w:pPr>
        <w:pStyle w:val="FootnoteText"/>
        <w:rPr>
          <w:lang w:val="en-US"/>
        </w:rPr>
      </w:pPr>
      <w:r>
        <w:rPr>
          <w:rStyle w:val="FootnoteReference"/>
        </w:rPr>
        <w:footnoteRef/>
      </w:r>
      <w:r>
        <w:t xml:space="preserve"> </w:t>
      </w:r>
      <w:hyperlink r:id="rId15" w:history="1">
        <w:r w:rsidRPr="003A2A2B">
          <w:rPr>
            <w:rStyle w:val="Hyperlink"/>
          </w:rPr>
          <w:t xml:space="preserve">United States Data </w:t>
        </w:r>
        <w:proofErr w:type="spellStart"/>
        <w:r w:rsidRPr="003A2A2B">
          <w:rPr>
            <w:rStyle w:val="Hyperlink"/>
          </w:rPr>
          <w:t>Center</w:t>
        </w:r>
        <w:proofErr w:type="spellEnd"/>
        <w:r w:rsidRPr="003A2A2B">
          <w:rPr>
            <w:rStyle w:val="Hyperlink"/>
          </w:rPr>
          <w:t xml:space="preserve"> Colocation Databook Report 2026: $72.37 Bn Market Led by Equinix and Digital Realty as QTS, Iron Mountain and AI Developers Accelerate Capacity Expansion - Forecast to 2030</w:t>
        </w:r>
      </w:hyperlink>
    </w:p>
  </w:footnote>
  <w:footnote w:id="16">
    <w:p w14:paraId="575BA3EE" w14:textId="77777777" w:rsidR="00A6458E" w:rsidRPr="00212A2D" w:rsidRDefault="00A6458E" w:rsidP="00A6458E">
      <w:pPr>
        <w:pStyle w:val="FootnoteText"/>
        <w:rPr>
          <w:lang w:val="en-US"/>
        </w:rPr>
      </w:pPr>
      <w:r>
        <w:rPr>
          <w:rStyle w:val="FootnoteReference"/>
        </w:rPr>
        <w:footnoteRef/>
      </w:r>
      <w:r>
        <w:t xml:space="preserve"> </w:t>
      </w:r>
      <w:hyperlink r:id="rId16" w:history="1">
        <w:r w:rsidRPr="00A141D7">
          <w:rPr>
            <w:rStyle w:val="Hyperlink"/>
          </w:rPr>
          <w:t>Gulf News: Latest UAE news, Dubai news, Business, travel news, Dubai Gold rate, prayer time, cinema</w:t>
        </w:r>
      </w:hyperlink>
    </w:p>
  </w:footnote>
  <w:footnote w:id="17">
    <w:p w14:paraId="378FD777" w14:textId="77777777" w:rsidR="00A00DD9" w:rsidRPr="00DF2078" w:rsidRDefault="007D525C" w:rsidP="008B360D">
      <w:pPr>
        <w:pStyle w:val="FootnoteText"/>
        <w:rPr>
          <w:lang w:val="en-US"/>
        </w:rPr>
      </w:pPr>
      <w:r>
        <w:rPr>
          <w:rStyle w:val="FootnoteReference"/>
        </w:rPr>
        <w:footnoteRef/>
      </w:r>
      <w:r>
        <w:t xml:space="preserve"> </w:t>
      </w:r>
      <w:hyperlink r:id="rId17" w:history="1">
        <w:r w:rsidRPr="00DF2078">
          <w:t>beyond-compute-infrastructure-that-powers-and-cools-ai-data-centers.pdf</w:t>
        </w:r>
      </w:hyperlink>
    </w:p>
  </w:footnote>
  <w:footnote w:id="18">
    <w:p w14:paraId="1EA25F0F" w14:textId="77777777" w:rsidR="00A00DD9" w:rsidRPr="002565F4" w:rsidRDefault="007D525C">
      <w:pPr>
        <w:pStyle w:val="FootnoteText"/>
        <w:rPr>
          <w:lang w:val="en-US"/>
        </w:rPr>
      </w:pPr>
      <w:r>
        <w:rPr>
          <w:rStyle w:val="FootnoteReference"/>
        </w:rPr>
        <w:footnoteRef/>
      </w:r>
      <w:r>
        <w:t xml:space="preserve"> </w:t>
      </w:r>
      <w:hyperlink r:id="rId18" w:history="1">
        <w:r w:rsidRPr="002565F4">
          <w:t>beyond-compute-infrastructure-that-powers-and-cools-ai-data-centers.pdf</w:t>
        </w:r>
      </w:hyperlink>
    </w:p>
  </w:footnote>
  <w:footnote w:id="19">
    <w:p w14:paraId="5FF41D23" w14:textId="77777777" w:rsidR="00DF08B8" w:rsidRPr="00E75DB1" w:rsidRDefault="00DF08B8" w:rsidP="00DF08B8">
      <w:pPr>
        <w:pStyle w:val="FootnoteText"/>
        <w:rPr>
          <w:lang w:val="en-US"/>
        </w:rPr>
      </w:pPr>
      <w:r>
        <w:rPr>
          <w:rStyle w:val="FootnoteReference"/>
        </w:rPr>
        <w:footnoteRef/>
      </w:r>
      <w:r>
        <w:t xml:space="preserve"> </w:t>
      </w:r>
      <w:hyperlink r:id="rId19" w:history="1">
        <w:r w:rsidRPr="00E75DB1">
          <w:rPr>
            <w:rStyle w:val="Hyperlink"/>
          </w:rPr>
          <w:t>beyond-compute-infrastructure-that-powers-and-cools-ai-data-centers.pdf</w:t>
        </w:r>
      </w:hyperlink>
    </w:p>
  </w:footnote>
  <w:footnote w:id="20">
    <w:p w14:paraId="01792288" w14:textId="358D6008" w:rsidR="00A70700" w:rsidRPr="00A70700" w:rsidRDefault="00A70700">
      <w:pPr>
        <w:pStyle w:val="FootnoteText"/>
        <w:rPr>
          <w:lang w:val="en-US"/>
        </w:rPr>
      </w:pPr>
      <w:r>
        <w:rPr>
          <w:rStyle w:val="FootnoteReference"/>
        </w:rPr>
        <w:footnoteRef/>
      </w:r>
      <w:r>
        <w:t xml:space="preserve"> </w:t>
      </w:r>
      <w:hyperlink r:id="rId20" w:history="1">
        <w:r w:rsidRPr="00F30E9A">
          <w:rPr>
            <w:rStyle w:val="Hyperlink"/>
          </w:rPr>
          <w:t>0001674101-26-000008</w:t>
        </w:r>
      </w:hyperlink>
      <w:r>
        <w:t xml:space="preserve">, </w:t>
      </w:r>
      <w:hyperlink r:id="rId21" w:history="1">
        <w:r w:rsidRPr="00F30E9A">
          <w:rPr>
            <w:rStyle w:val="Hyperlink"/>
          </w:rPr>
          <w:t>0001628280-25-005905</w:t>
        </w:r>
      </w:hyperlink>
      <w:r>
        <w:t xml:space="preserve">, </w:t>
      </w:r>
      <w:hyperlink r:id="rId22" w:history="1">
        <w:r w:rsidRPr="00A70700">
          <w:rPr>
            <w:rStyle w:val="Hyperlink"/>
          </w:rPr>
          <w:t>0001628280-24-006498</w:t>
        </w:r>
      </w:hyperlink>
      <w:r>
        <w:t xml:space="preserve">, </w:t>
      </w:r>
      <w:hyperlink r:id="rId23" w:history="1">
        <w:r w:rsidRPr="00A70700">
          <w:rPr>
            <w:rStyle w:val="Hyperlink"/>
          </w:rPr>
          <w:t>0001628280-23-005248</w:t>
        </w:r>
      </w:hyperlink>
    </w:p>
  </w:footnote>
  <w:footnote w:id="21">
    <w:p w14:paraId="2285134E" w14:textId="648B33E7" w:rsidR="00214D40" w:rsidRPr="00214D40" w:rsidRDefault="00214D40">
      <w:pPr>
        <w:pStyle w:val="FootnoteText"/>
        <w:rPr>
          <w:lang w:val="en-US"/>
        </w:rPr>
      </w:pPr>
      <w:r>
        <w:rPr>
          <w:rStyle w:val="FootnoteReference"/>
        </w:rPr>
        <w:footnoteRef/>
      </w:r>
      <w:r>
        <w:t xml:space="preserve"> </w:t>
      </w:r>
      <w:hyperlink r:id="rId24" w:history="1">
        <w:r w:rsidRPr="00F30E9A">
          <w:rPr>
            <w:rStyle w:val="Hyperlink"/>
          </w:rPr>
          <w:t>0001674101-26-000008</w:t>
        </w:r>
      </w:hyperlink>
    </w:p>
  </w:footnote>
  <w:footnote w:id="22">
    <w:p w14:paraId="4A83B70D" w14:textId="42C8C724" w:rsidR="00214D40" w:rsidRPr="00214D40" w:rsidRDefault="00214D40">
      <w:pPr>
        <w:pStyle w:val="FootnoteText"/>
        <w:rPr>
          <w:lang w:val="en-US"/>
        </w:rPr>
      </w:pPr>
      <w:r>
        <w:rPr>
          <w:rStyle w:val="FootnoteReference"/>
        </w:rPr>
        <w:footnoteRef/>
      </w:r>
      <w:r>
        <w:t xml:space="preserve"> </w:t>
      </w:r>
      <w:hyperlink r:id="rId25" w:history="1">
        <w:r w:rsidR="0035013E" w:rsidRPr="00F30E9A">
          <w:rPr>
            <w:rStyle w:val="Hyperlink"/>
          </w:rPr>
          <w:t>0001674101-26-000008</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180D" w14:textId="77777777" w:rsidR="00B00DBF" w:rsidRDefault="00B00DB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53D07" w14:textId="4111BBC0" w:rsidR="00B00DBF" w:rsidRDefault="00B00DBF" w:rsidP="00B00DBF">
    <w:pPr>
      <w:pStyle w:val="Header"/>
      <w:jc w:val="right"/>
    </w:pPr>
    <w:r>
      <w:rPr>
        <w:color w:val="64748B"/>
        <w:sz w:val="16"/>
        <w:szCs w:val="16"/>
      </w:rPr>
      <w:t>DATA CENTRE INDUSTRY RESEARCH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55D90" w14:textId="77777777" w:rsidR="00B00DBF" w:rsidRDefault="00B00D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27CE5"/>
    <w:multiLevelType w:val="hybridMultilevel"/>
    <w:tmpl w:val="3B64C3B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3841542D"/>
    <w:multiLevelType w:val="multilevel"/>
    <w:tmpl w:val="079E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8124644">
    <w:abstractNumId w:val="0"/>
  </w:num>
  <w:num w:numId="2" w16cid:durableId="1839689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FF"/>
    <w:rsid w:val="00022201"/>
    <w:rsid w:val="00024A2F"/>
    <w:rsid w:val="00042432"/>
    <w:rsid w:val="00046690"/>
    <w:rsid w:val="00057A3C"/>
    <w:rsid w:val="00076F00"/>
    <w:rsid w:val="00077265"/>
    <w:rsid w:val="000B73E1"/>
    <w:rsid w:val="000D2FD9"/>
    <w:rsid w:val="000D5023"/>
    <w:rsid w:val="00106AA0"/>
    <w:rsid w:val="00136CF1"/>
    <w:rsid w:val="001448BA"/>
    <w:rsid w:val="0014759E"/>
    <w:rsid w:val="00166BC4"/>
    <w:rsid w:val="001A47FF"/>
    <w:rsid w:val="001B507B"/>
    <w:rsid w:val="001D1742"/>
    <w:rsid w:val="001D2580"/>
    <w:rsid w:val="001D2A8F"/>
    <w:rsid w:val="001F64F9"/>
    <w:rsid w:val="00212D3F"/>
    <w:rsid w:val="00214D40"/>
    <w:rsid w:val="00227708"/>
    <w:rsid w:val="00232B00"/>
    <w:rsid w:val="00240CC7"/>
    <w:rsid w:val="002565F4"/>
    <w:rsid w:val="002576F7"/>
    <w:rsid w:val="00271C22"/>
    <w:rsid w:val="002A54AC"/>
    <w:rsid w:val="002B3E38"/>
    <w:rsid w:val="002F156D"/>
    <w:rsid w:val="00347B09"/>
    <w:rsid w:val="0035013E"/>
    <w:rsid w:val="003522CA"/>
    <w:rsid w:val="003813FF"/>
    <w:rsid w:val="0039380B"/>
    <w:rsid w:val="003A2A2B"/>
    <w:rsid w:val="003A346B"/>
    <w:rsid w:val="003C31D6"/>
    <w:rsid w:val="003C3AC8"/>
    <w:rsid w:val="003D1910"/>
    <w:rsid w:val="003D55EA"/>
    <w:rsid w:val="003F1D89"/>
    <w:rsid w:val="003F479F"/>
    <w:rsid w:val="003F5455"/>
    <w:rsid w:val="00411FA4"/>
    <w:rsid w:val="00417480"/>
    <w:rsid w:val="004404EA"/>
    <w:rsid w:val="004428C4"/>
    <w:rsid w:val="00466950"/>
    <w:rsid w:val="004A3A7C"/>
    <w:rsid w:val="004D6520"/>
    <w:rsid w:val="004E3DA7"/>
    <w:rsid w:val="004F715A"/>
    <w:rsid w:val="005014F1"/>
    <w:rsid w:val="00503057"/>
    <w:rsid w:val="005240FF"/>
    <w:rsid w:val="0057192D"/>
    <w:rsid w:val="00572CA9"/>
    <w:rsid w:val="0058401B"/>
    <w:rsid w:val="005C0DAF"/>
    <w:rsid w:val="005C5D47"/>
    <w:rsid w:val="005E61D8"/>
    <w:rsid w:val="005F1261"/>
    <w:rsid w:val="006017E1"/>
    <w:rsid w:val="00621DD1"/>
    <w:rsid w:val="00635651"/>
    <w:rsid w:val="0065196B"/>
    <w:rsid w:val="00655AC3"/>
    <w:rsid w:val="00657F92"/>
    <w:rsid w:val="00670F3D"/>
    <w:rsid w:val="00697AC6"/>
    <w:rsid w:val="006B39B4"/>
    <w:rsid w:val="006B7646"/>
    <w:rsid w:val="006C01CF"/>
    <w:rsid w:val="006C5D08"/>
    <w:rsid w:val="006C61E1"/>
    <w:rsid w:val="006C7F40"/>
    <w:rsid w:val="006D3B92"/>
    <w:rsid w:val="00710E46"/>
    <w:rsid w:val="00712CA0"/>
    <w:rsid w:val="007631FA"/>
    <w:rsid w:val="00766553"/>
    <w:rsid w:val="00792C61"/>
    <w:rsid w:val="0079717D"/>
    <w:rsid w:val="007A26A4"/>
    <w:rsid w:val="007D525C"/>
    <w:rsid w:val="007E7489"/>
    <w:rsid w:val="00801773"/>
    <w:rsid w:val="008148F7"/>
    <w:rsid w:val="008347F2"/>
    <w:rsid w:val="0084192A"/>
    <w:rsid w:val="00851DB3"/>
    <w:rsid w:val="008B360D"/>
    <w:rsid w:val="008E2942"/>
    <w:rsid w:val="008E6673"/>
    <w:rsid w:val="00900005"/>
    <w:rsid w:val="00913D68"/>
    <w:rsid w:val="009326CB"/>
    <w:rsid w:val="00950D4A"/>
    <w:rsid w:val="00957E15"/>
    <w:rsid w:val="00973954"/>
    <w:rsid w:val="00975FCF"/>
    <w:rsid w:val="009802E4"/>
    <w:rsid w:val="009936C8"/>
    <w:rsid w:val="009C580D"/>
    <w:rsid w:val="009D620B"/>
    <w:rsid w:val="009E00C3"/>
    <w:rsid w:val="00A00DD9"/>
    <w:rsid w:val="00A03FF4"/>
    <w:rsid w:val="00A35630"/>
    <w:rsid w:val="00A40057"/>
    <w:rsid w:val="00A429F5"/>
    <w:rsid w:val="00A617F3"/>
    <w:rsid w:val="00A6458E"/>
    <w:rsid w:val="00A70700"/>
    <w:rsid w:val="00A853CA"/>
    <w:rsid w:val="00AC4815"/>
    <w:rsid w:val="00AD6826"/>
    <w:rsid w:val="00B0034F"/>
    <w:rsid w:val="00B00DBF"/>
    <w:rsid w:val="00B30D2E"/>
    <w:rsid w:val="00B56150"/>
    <w:rsid w:val="00B80BA0"/>
    <w:rsid w:val="00BA4DDE"/>
    <w:rsid w:val="00C0360E"/>
    <w:rsid w:val="00C10B6F"/>
    <w:rsid w:val="00C21B7E"/>
    <w:rsid w:val="00C41662"/>
    <w:rsid w:val="00C55886"/>
    <w:rsid w:val="00C87E99"/>
    <w:rsid w:val="00C90C4F"/>
    <w:rsid w:val="00C96A1C"/>
    <w:rsid w:val="00CD51F2"/>
    <w:rsid w:val="00CE2FA3"/>
    <w:rsid w:val="00CE64FD"/>
    <w:rsid w:val="00CE6BB9"/>
    <w:rsid w:val="00D04102"/>
    <w:rsid w:val="00D23FFB"/>
    <w:rsid w:val="00D407F2"/>
    <w:rsid w:val="00D560AE"/>
    <w:rsid w:val="00D731EF"/>
    <w:rsid w:val="00D83518"/>
    <w:rsid w:val="00D87C7E"/>
    <w:rsid w:val="00DC35CD"/>
    <w:rsid w:val="00DD278C"/>
    <w:rsid w:val="00DF08B8"/>
    <w:rsid w:val="00DF5AF1"/>
    <w:rsid w:val="00DF77A5"/>
    <w:rsid w:val="00E03F76"/>
    <w:rsid w:val="00E05003"/>
    <w:rsid w:val="00E07859"/>
    <w:rsid w:val="00E574F8"/>
    <w:rsid w:val="00E7029A"/>
    <w:rsid w:val="00E812D6"/>
    <w:rsid w:val="00E84C59"/>
    <w:rsid w:val="00E86FF1"/>
    <w:rsid w:val="00E954AE"/>
    <w:rsid w:val="00EA512A"/>
    <w:rsid w:val="00EB35F9"/>
    <w:rsid w:val="00EC3A59"/>
    <w:rsid w:val="00EE589D"/>
    <w:rsid w:val="00EE5CD2"/>
    <w:rsid w:val="00EF3ECC"/>
    <w:rsid w:val="00F069B8"/>
    <w:rsid w:val="00F13FC3"/>
    <w:rsid w:val="00F25B06"/>
    <w:rsid w:val="00F30E9A"/>
    <w:rsid w:val="00F57D77"/>
    <w:rsid w:val="00F94036"/>
    <w:rsid w:val="00FA6DCE"/>
    <w:rsid w:val="00FB2875"/>
    <w:rsid w:val="00FC7349"/>
    <w:rsid w:val="00FF2E8E"/>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9A0F"/>
  <w15:chartTrackingRefBased/>
  <w15:docId w15:val="{03166D7E-CA83-41A9-9574-7A4B8ED2B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300" w:lineRule="atLeast"/>
      <w:jc w:val="both"/>
    </w:pPr>
    <w:rPr>
      <w:rFonts w:ascii="Aptos" w:hAnsi="Aptos"/>
      <w:color w:val="243247"/>
      <w:sz w:val="21"/>
    </w:rPr>
  </w:style>
  <w:style w:type="paragraph" w:styleId="Heading1">
    <w:name w:val="heading 1"/>
    <w:basedOn w:val="Normal"/>
    <w:next w:val="Normal"/>
    <w:link w:val="Heading1Char"/>
    <w:uiPriority w:val="9"/>
    <w:qFormat/>
    <w:rsid w:val="001A47FF"/>
    <w:pPr>
      <w:keepNext/>
      <w:keepLines/>
      <w:pBdr>
        <w:bottom w:val="single" w:sz="18" w:space="0" w:color="2AA6A1"/>
      </w:pBdr>
      <w:spacing w:before="400" w:after="160" w:line="520" w:lineRule="atLeast"/>
      <w:jc w:val="left"/>
      <w:outlineLvl w:val="0"/>
    </w:pPr>
    <w:rPr>
      <w:rFonts w:ascii="Aptos Display" w:eastAsiaTheme="majorEastAsia" w:hAnsi="Aptos Display" w:cstheme="majorBidi"/>
      <w:color w:val="123B5D"/>
      <w:sz w:val="44"/>
      <w:szCs w:val="40"/>
    </w:rPr>
  </w:style>
  <w:style w:type="paragraph" w:styleId="Heading2">
    <w:name w:val="heading 2"/>
    <w:basedOn w:val="Normal"/>
    <w:next w:val="Normal"/>
    <w:link w:val="Heading2Char"/>
    <w:uiPriority w:val="9"/>
    <w:unhideWhenUsed/>
    <w:qFormat/>
    <w:rsid w:val="001A47FF"/>
    <w:pPr>
      <w:keepNext/>
      <w:keepLines/>
      <w:spacing w:before="280" w:after="100" w:line="360" w:lineRule="atLeast"/>
      <w:jc w:val="left"/>
      <w:outlineLvl w:val="1"/>
    </w:pPr>
    <w:rPr>
      <w:rFonts w:ascii="Aptos Display" w:eastAsiaTheme="majorEastAsia" w:hAnsi="Aptos Display" w:cstheme="majorBidi"/>
      <w:color w:val="123B5D"/>
      <w:sz w:val="28"/>
      <w:szCs w:val="32"/>
    </w:rPr>
  </w:style>
  <w:style w:type="paragraph" w:styleId="Heading3">
    <w:name w:val="heading 3"/>
    <w:basedOn w:val="Normal"/>
    <w:next w:val="Normal"/>
    <w:link w:val="Heading3Char"/>
    <w:uiPriority w:val="9"/>
    <w:semiHidden/>
    <w:unhideWhenUsed/>
    <w:qFormat/>
    <w:rsid w:val="001A47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7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7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7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FF"/>
    <w:rPr>
      <w:rFonts w:ascii="Aptos Display" w:eastAsiaTheme="majorEastAsia" w:hAnsi="Aptos Display" w:cstheme="majorBidi"/>
      <w:color w:val="123B5D"/>
      <w:sz w:val="44"/>
      <w:szCs w:val="40"/>
    </w:rPr>
  </w:style>
  <w:style w:type="character" w:customStyle="1" w:styleId="Heading2Char">
    <w:name w:val="Heading 2 Char"/>
    <w:basedOn w:val="DefaultParagraphFont"/>
    <w:link w:val="Heading2"/>
    <w:uiPriority w:val="9"/>
    <w:semiHidden/>
    <w:rsid w:val="001A47FF"/>
    <w:rPr>
      <w:rFonts w:ascii="Aptos Display" w:eastAsiaTheme="majorEastAsia" w:hAnsi="Aptos Display" w:cstheme="majorBidi"/>
      <w:color w:val="123B5D"/>
      <w:sz w:val="28"/>
      <w:szCs w:val="32"/>
    </w:rPr>
  </w:style>
  <w:style w:type="character" w:customStyle="1" w:styleId="Heading3Char">
    <w:name w:val="Heading 3 Char"/>
    <w:basedOn w:val="DefaultParagraphFont"/>
    <w:link w:val="Heading3"/>
    <w:uiPriority w:val="9"/>
    <w:semiHidden/>
    <w:rsid w:val="001A4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FF"/>
    <w:rPr>
      <w:rFonts w:eastAsiaTheme="majorEastAsia" w:cstheme="majorBidi"/>
      <w:color w:val="272727" w:themeColor="text1" w:themeTint="D8"/>
    </w:rPr>
  </w:style>
  <w:style w:type="paragraph" w:styleId="Title">
    <w:name w:val="Title"/>
    <w:basedOn w:val="Normal"/>
    <w:next w:val="Normal"/>
    <w:link w:val="TitleChar"/>
    <w:uiPriority w:val="10"/>
    <w:qFormat/>
    <w:rsid w:val="001A47FF"/>
    <w:pPr>
      <w:spacing w:after="200" w:line="760" w:lineRule="atLeast"/>
      <w:contextualSpacing/>
      <w:jc w:val="left"/>
    </w:pPr>
    <w:rPr>
      <w:rFonts w:ascii="Aptos Display" w:eastAsiaTheme="majorEastAsia" w:hAnsi="Aptos Display" w:cstheme="majorBidi"/>
      <w:b/>
      <w:color w:val="123B5D"/>
      <w:spacing w:val="-10"/>
      <w:kern w:val="28"/>
      <w:sz w:val="68"/>
      <w:szCs w:val="56"/>
    </w:rPr>
  </w:style>
  <w:style w:type="character" w:customStyle="1" w:styleId="TitleChar">
    <w:name w:val="Title Char"/>
    <w:basedOn w:val="DefaultParagraphFont"/>
    <w:link w:val="Title"/>
    <w:uiPriority w:val="10"/>
    <w:rsid w:val="001A47FF"/>
    <w:rPr>
      <w:rFonts w:ascii="Aptos Display" w:eastAsiaTheme="majorEastAsia" w:hAnsi="Aptos Display" w:cstheme="majorBidi"/>
      <w:b/>
      <w:color w:val="123B5D"/>
      <w:spacing w:val="-10"/>
      <w:kern w:val="28"/>
      <w:sz w:val="68"/>
      <w:szCs w:val="56"/>
    </w:rPr>
  </w:style>
  <w:style w:type="paragraph" w:styleId="Subtitle">
    <w:name w:val="Subtitle"/>
    <w:basedOn w:val="Normal"/>
    <w:next w:val="Normal"/>
    <w:link w:val="SubtitleChar"/>
    <w:uiPriority w:val="11"/>
    <w:qFormat/>
    <w:rsid w:val="001A47FF"/>
    <w:pPr>
      <w:numPr>
        <w:ilvl w:val="1"/>
      </w:numPr>
      <w:spacing w:after="240" w:line="400" w:lineRule="atLeast"/>
      <w:jc w:val="left"/>
    </w:pPr>
    <w:rPr>
      <w:rFonts w:eastAsiaTheme="majorEastAsia" w:cstheme="majorBidi"/>
      <w:color w:val="2AA6A1"/>
      <w:spacing w:val="15"/>
      <w:sz w:val="30"/>
      <w:szCs w:val="28"/>
    </w:rPr>
  </w:style>
  <w:style w:type="character" w:customStyle="1" w:styleId="SubtitleChar">
    <w:name w:val="Subtitle Char"/>
    <w:basedOn w:val="DefaultParagraphFont"/>
    <w:link w:val="Subtitle"/>
    <w:uiPriority w:val="11"/>
    <w:rsid w:val="001A47FF"/>
    <w:rPr>
      <w:rFonts w:ascii="Aptos" w:eastAsiaTheme="majorEastAsia" w:hAnsi="Aptos" w:cstheme="majorBidi"/>
      <w:color w:val="2AA6A1"/>
      <w:spacing w:val="15"/>
      <w:sz w:val="30"/>
      <w:szCs w:val="28"/>
    </w:rPr>
  </w:style>
  <w:style w:type="paragraph" w:styleId="Quote">
    <w:name w:val="Quote"/>
    <w:basedOn w:val="Normal"/>
    <w:next w:val="Normal"/>
    <w:link w:val="QuoteChar"/>
    <w:uiPriority w:val="29"/>
    <w:qFormat/>
    <w:rsid w:val="001A47FF"/>
    <w:pPr>
      <w:spacing w:before="160"/>
      <w:jc w:val="center"/>
    </w:pPr>
    <w:rPr>
      <w:i/>
      <w:iCs/>
      <w:color w:val="404040" w:themeColor="text1" w:themeTint="BF"/>
    </w:rPr>
  </w:style>
  <w:style w:type="character" w:customStyle="1" w:styleId="QuoteChar">
    <w:name w:val="Quote Char"/>
    <w:basedOn w:val="DefaultParagraphFont"/>
    <w:link w:val="Quote"/>
    <w:uiPriority w:val="29"/>
    <w:rsid w:val="001A47FF"/>
    <w:rPr>
      <w:i/>
      <w:iCs/>
      <w:color w:val="404040" w:themeColor="text1" w:themeTint="BF"/>
    </w:rPr>
  </w:style>
  <w:style w:type="paragraph" w:styleId="ListParagraph">
    <w:name w:val="List Paragraph"/>
    <w:basedOn w:val="Normal"/>
    <w:uiPriority w:val="34"/>
    <w:qFormat/>
    <w:rsid w:val="001A47FF"/>
    <w:pPr>
      <w:ind w:left="720"/>
      <w:contextualSpacing/>
    </w:pPr>
  </w:style>
  <w:style w:type="character" w:styleId="IntenseEmphasis">
    <w:name w:val="Intense Emphasis"/>
    <w:basedOn w:val="DefaultParagraphFont"/>
    <w:uiPriority w:val="21"/>
    <w:qFormat/>
    <w:rsid w:val="001A47FF"/>
    <w:rPr>
      <w:i/>
      <w:iCs/>
      <w:color w:val="0F4761" w:themeColor="accent1" w:themeShade="BF"/>
    </w:rPr>
  </w:style>
  <w:style w:type="paragraph" w:styleId="IntenseQuote">
    <w:name w:val="Intense Quote"/>
    <w:basedOn w:val="Normal"/>
    <w:next w:val="Normal"/>
    <w:link w:val="IntenseQuoteChar"/>
    <w:uiPriority w:val="30"/>
    <w:qFormat/>
    <w:rsid w:val="001A47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7FF"/>
    <w:rPr>
      <w:i/>
      <w:iCs/>
      <w:color w:val="0F4761" w:themeColor="accent1" w:themeShade="BF"/>
    </w:rPr>
  </w:style>
  <w:style w:type="character" w:styleId="IntenseReference">
    <w:name w:val="Intense Reference"/>
    <w:basedOn w:val="DefaultParagraphFont"/>
    <w:uiPriority w:val="32"/>
    <w:qFormat/>
    <w:rsid w:val="001A47FF"/>
    <w:rPr>
      <w:b/>
      <w:bCs/>
      <w:smallCaps/>
      <w:color w:val="0F4761" w:themeColor="accent1" w:themeShade="BF"/>
      <w:spacing w:val="5"/>
    </w:rPr>
  </w:style>
  <w:style w:type="character" w:styleId="Hyperlink">
    <w:name w:val="Hyperlink"/>
    <w:basedOn w:val="DefaultParagraphFont"/>
    <w:uiPriority w:val="99"/>
    <w:unhideWhenUsed/>
    <w:rsid w:val="001A47FF"/>
    <w:rPr>
      <w:color w:val="467886" w:themeColor="hyperlink"/>
      <w:u w:val="single"/>
    </w:rPr>
  </w:style>
  <w:style w:type="paragraph" w:styleId="FootnoteText">
    <w:name w:val="footnote text"/>
    <w:basedOn w:val="Normal"/>
    <w:link w:val="FootnoteTextChar"/>
    <w:uiPriority w:val="99"/>
    <w:semiHidden/>
    <w:unhideWhenUsed/>
    <w:rsid w:val="001A47F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47FF"/>
    <w:rPr>
      <w:sz w:val="20"/>
      <w:szCs w:val="20"/>
    </w:rPr>
  </w:style>
  <w:style w:type="character" w:styleId="FootnoteReference">
    <w:name w:val="footnote reference"/>
    <w:basedOn w:val="DefaultParagraphFont"/>
    <w:uiPriority w:val="99"/>
    <w:semiHidden/>
    <w:unhideWhenUsed/>
    <w:rsid w:val="001A47FF"/>
    <w:rPr>
      <w:vertAlign w:val="superscript"/>
    </w:rPr>
  </w:style>
  <w:style w:type="character" w:styleId="FollowedHyperlink">
    <w:name w:val="FollowedHyperlink"/>
    <w:basedOn w:val="DefaultParagraphFont"/>
    <w:uiPriority w:val="99"/>
    <w:semiHidden/>
    <w:unhideWhenUsed/>
    <w:rsid w:val="00C55886"/>
    <w:rPr>
      <w:color w:val="96607D" w:themeColor="followedHyperlink"/>
      <w:u w:val="single"/>
    </w:rPr>
  </w:style>
  <w:style w:type="character" w:styleId="UnresolvedMention">
    <w:name w:val="Unresolved Mention"/>
    <w:basedOn w:val="DefaultParagraphFont"/>
    <w:uiPriority w:val="99"/>
    <w:semiHidden/>
    <w:unhideWhenUsed/>
    <w:rsid w:val="00077265"/>
    <w:rPr>
      <w:color w:val="605E5C"/>
      <w:shd w:val="clear" w:color="auto" w:fill="E1DFDD"/>
    </w:rPr>
  </w:style>
  <w:style w:type="table" w:styleId="TableGrid">
    <w:name w:val="Table Grid"/>
    <w:basedOn w:val="TableNormal"/>
    <w:uiPriority w:val="39"/>
    <w:rsid w:val="00057A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565F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565F4"/>
    <w:rPr>
      <w:sz w:val="20"/>
      <w:szCs w:val="20"/>
    </w:rPr>
  </w:style>
  <w:style w:type="character" w:styleId="EndnoteReference">
    <w:name w:val="endnote reference"/>
    <w:basedOn w:val="DefaultParagraphFont"/>
    <w:uiPriority w:val="99"/>
    <w:semiHidden/>
    <w:unhideWhenUsed/>
    <w:rsid w:val="002565F4"/>
    <w:rPr>
      <w:vertAlign w:val="superscript"/>
    </w:rPr>
  </w:style>
  <w:style w:type="character" w:styleId="BookTitle">
    <w:name w:val="Book Title"/>
    <w:basedOn w:val="DefaultParagraphFont"/>
    <w:uiPriority w:val="33"/>
    <w:qFormat/>
    <w:rsid w:val="00271C22"/>
    <w:rPr>
      <w:b/>
      <w:bCs/>
      <w:i/>
      <w:iCs/>
      <w:spacing w:val="5"/>
    </w:rPr>
  </w:style>
  <w:style w:type="paragraph" w:styleId="Caption">
    <w:name w:val="caption"/>
    <w:basedOn w:val="Normal"/>
    <w:next w:val="Normal"/>
    <w:uiPriority w:val="35"/>
    <w:unhideWhenUsed/>
    <w:qFormat/>
    <w:rsid w:val="00271C22"/>
    <w:pPr>
      <w:spacing w:after="200" w:line="240" w:lineRule="auto"/>
    </w:pPr>
    <w:rPr>
      <w:i/>
      <w:iCs/>
      <w:color w:val="0E2841" w:themeColor="text2"/>
      <w:sz w:val="18"/>
      <w:szCs w:val="18"/>
    </w:rPr>
  </w:style>
  <w:style w:type="character" w:styleId="Emphasis">
    <w:name w:val="Emphasis"/>
    <w:basedOn w:val="DefaultParagraphFont"/>
    <w:uiPriority w:val="20"/>
    <w:qFormat/>
    <w:rsid w:val="00271C22"/>
    <w:rPr>
      <w:i/>
      <w:iCs/>
    </w:rPr>
  </w:style>
  <w:style w:type="paragraph" w:styleId="NoSpacing">
    <w:name w:val="No Spacing"/>
    <w:uiPriority w:val="1"/>
    <w:qFormat/>
    <w:rsid w:val="00271C22"/>
    <w:pPr>
      <w:spacing w:after="0" w:line="240" w:lineRule="auto"/>
    </w:pPr>
  </w:style>
  <w:style w:type="character" w:styleId="Strong">
    <w:name w:val="Strong"/>
    <w:basedOn w:val="DefaultParagraphFont"/>
    <w:uiPriority w:val="22"/>
    <w:qFormat/>
    <w:rsid w:val="00271C22"/>
    <w:rPr>
      <w:b/>
      <w:bCs/>
    </w:rPr>
  </w:style>
  <w:style w:type="character" w:styleId="SubtleEmphasis">
    <w:name w:val="Subtle Emphasis"/>
    <w:basedOn w:val="DefaultParagraphFont"/>
    <w:uiPriority w:val="19"/>
    <w:qFormat/>
    <w:rsid w:val="00271C22"/>
    <w:rPr>
      <w:i/>
      <w:iCs/>
      <w:color w:val="404040" w:themeColor="text1" w:themeTint="BF"/>
    </w:rPr>
  </w:style>
  <w:style w:type="character" w:styleId="SubtleReference">
    <w:name w:val="Subtle Reference"/>
    <w:basedOn w:val="DefaultParagraphFont"/>
    <w:uiPriority w:val="31"/>
    <w:qFormat/>
    <w:rsid w:val="00271C22"/>
    <w:rPr>
      <w:smallCaps/>
      <w:color w:val="5A5A5A" w:themeColor="text1" w:themeTint="A5"/>
    </w:rPr>
  </w:style>
  <w:style w:type="paragraph" w:styleId="TOCHeading">
    <w:name w:val="TOC Heading"/>
    <w:basedOn w:val="Heading1"/>
    <w:next w:val="Normal"/>
    <w:uiPriority w:val="39"/>
    <w:semiHidden/>
    <w:unhideWhenUsed/>
    <w:qFormat/>
    <w:rsid w:val="00271C22"/>
    <w:pPr>
      <w:spacing w:before="240" w:after="0"/>
      <w:outlineLvl w:val="9"/>
    </w:pPr>
    <w:rPr>
      <w:sz w:val="32"/>
      <w:szCs w:val="32"/>
    </w:rPr>
  </w:style>
  <w:style w:type="paragraph" w:styleId="Header">
    <w:name w:val="header"/>
    <w:basedOn w:val="Normal"/>
    <w:link w:val="HeaderChar"/>
    <w:uiPriority w:val="99"/>
    <w:unhideWhenUsed/>
    <w:rsid w:val="00B00D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DBF"/>
  </w:style>
  <w:style w:type="paragraph" w:styleId="Footer">
    <w:name w:val="footer"/>
    <w:basedOn w:val="Normal"/>
    <w:link w:val="FooterChar"/>
    <w:uiPriority w:val="99"/>
    <w:unhideWhenUsed/>
    <w:rsid w:val="00B00D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DBF"/>
  </w:style>
  <w:style w:type="paragraph" w:styleId="NormalWeb">
    <w:name w:val="Normal (Web)"/>
    <w:basedOn w:val="Normal"/>
    <w:uiPriority w:val="99"/>
    <w:semiHidden/>
    <w:unhideWhenUsed/>
    <w:rsid w:val="00227708"/>
    <w:pPr>
      <w:spacing w:before="100" w:beforeAutospacing="1" w:after="100" w:afterAutospacing="1" w:line="240" w:lineRule="auto"/>
      <w:jc w:val="left"/>
    </w:pPr>
    <w:rPr>
      <w:rFonts w:ascii="Times New Roman" w:hAnsi="Times New Roman" w:cs="Times New Roman"/>
      <w:color w:val="auto"/>
      <w:sz w:val="24"/>
      <w:lang w:eastAsia="en-AE"/>
    </w:rPr>
  </w:style>
  <w:style w:type="table" w:styleId="GridTable4-Accent1">
    <w:name w:val="Grid Table 4 Accent 1"/>
    <w:basedOn w:val="TableNormal"/>
    <w:uiPriority w:val="49"/>
    <w:rsid w:val="001D2A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1">
    <w:name w:val="Plain Table 1"/>
    <w:basedOn w:val="TableNormal"/>
    <w:uiPriority w:val="41"/>
    <w:rsid w:val="00B30D2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ance.yahoo.com/technology/articles/microsoft-azure-growth-reaches-43-202702342.html" TargetMode="External"/><Relationship Id="rId13" Type="http://schemas.microsoft.com/office/2007/relationships/hdphoto" Target="media/hdphoto1.wdp"/><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inance.yahoo.com/markets/article/amazons-364-billion-backlog-is-the-bull-case-for-its-ai-spending-boom-135535292.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mirrorreview.com/news/alphabet-q2-2026/"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thestreet.com/investing/stocks/oracles-638-billion-promise-comes-with-one-big-catch"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anthropic.com/news/anthropic-raises-30-billion-series-g-funding-380-billion-post-money-valuation" TargetMode="External"/><Relationship Id="rId13" Type="http://schemas.openxmlformats.org/officeDocument/2006/relationships/hyperlink" Target="https://commandlinux.com/ai/ai-chip-market-share/" TargetMode="External"/><Relationship Id="rId18" Type="http://schemas.openxmlformats.org/officeDocument/2006/relationships/hyperlink" Target="https://www.mckinsey.com/~/media/mckinsey/industries/advanced%20electronics/our%20insights/beyond%20compute%20infrastructure%20that%20powers%20and%20cools%20ai%20data%20centers/beyond-compute-infrastructure-that-powers-and-cools-ai-data-centers.pdf" TargetMode="External"/><Relationship Id="rId3" Type="http://schemas.openxmlformats.org/officeDocument/2006/relationships/hyperlink" Target="https://www.tmtfinance.com/intel/2026-hyperscaler-capex-tops-us700bn-analysis" TargetMode="External"/><Relationship Id="rId21" Type="http://schemas.openxmlformats.org/officeDocument/2006/relationships/hyperlink" Target="https://d18rn0p25nwr6d.cloudfront.net/CIK-0001674101/9e434eea-8fde-4b2d-84e1-3ca39591b6ea.pdf" TargetMode="External"/><Relationship Id="rId7" Type="http://schemas.openxmlformats.org/officeDocument/2006/relationships/hyperlink" Target="https://enorbe.com/dubais-3-5b-sovereign-ai-bet-building-a-future%E2%80%91proof-gcc/" TargetMode="External"/><Relationship Id="rId12" Type="http://schemas.openxmlformats.org/officeDocument/2006/relationships/hyperlink" Target="https://au.finance.yahoo.com/news/oracles-638-billion-promise-comes-174700563.html" TargetMode="External"/><Relationship Id="rId17" Type="http://schemas.openxmlformats.org/officeDocument/2006/relationships/hyperlink" Target="https://www.mckinsey.com/~/media/mckinsey/industries/advanced%20electronics/our%20insights/beyond%20compute%20infrastructure%20that%20powers%20and%20cools%20ai%20data%20centers/beyond-compute-infrastructure-that-powers-and-cools-ai-data-centers.pdf" TargetMode="External"/><Relationship Id="rId25" Type="http://schemas.openxmlformats.org/officeDocument/2006/relationships/hyperlink" Target="https://d18rn0p25nwr6d.cloudfront.net/CIK-0001674101/74fd45d2-a423-47f5-8f9a-783c1ec9cfaa.pdf" TargetMode="External"/><Relationship Id="rId2" Type="http://schemas.openxmlformats.org/officeDocument/2006/relationships/hyperlink" Target="https://www.mckinsey.com/industries/technology-media-and-telecommunications/our-insights/the-cost-of-compute-a-7-trillion-dollar-race-to-scale-data-centers" TargetMode="External"/><Relationship Id="rId16" Type="http://schemas.openxmlformats.org/officeDocument/2006/relationships/hyperlink" Target="https://gulfnews.com/preview/story/BUQVsreqzIEihmw1AK2b4Q_XXF5n1fvCvFCUhjKFGb3mdA3T6zkY251XIQ_RhwhI" TargetMode="External"/><Relationship Id="rId20" Type="http://schemas.openxmlformats.org/officeDocument/2006/relationships/hyperlink" Target="https://d18rn0p25nwr6d.cloudfront.net/CIK-0001674101/74fd45d2-a423-47f5-8f9a-783c1ec9cfaa.pdf" TargetMode="External"/><Relationship Id="rId1" Type="http://schemas.openxmlformats.org/officeDocument/2006/relationships/hyperlink" Target="https://ourworldindata.org/how-much-energy-do-data-centers-and-artificial-intelligence-use" TargetMode="External"/><Relationship Id="rId6" Type="http://schemas.openxmlformats.org/officeDocument/2006/relationships/hyperlink" Target="https://economictimes.indiatimes.com/tech/artificial-intelligence/chatgpt-crosses-900-million-weekly-users-50-million-paying-subscribers/articleshow/128876297.cms" TargetMode="External"/><Relationship Id="rId11" Type="http://schemas.openxmlformats.org/officeDocument/2006/relationships/hyperlink" Target="https://finance.yahoo.com/technology/articles/microsoft-azure-growth-reaches-43-202702342.html" TargetMode="External"/><Relationship Id="rId24" Type="http://schemas.openxmlformats.org/officeDocument/2006/relationships/hyperlink" Target="https://d18rn0p25nwr6d.cloudfront.net/CIK-0001674101/74fd45d2-a423-47f5-8f9a-783c1ec9cfaa.pdf" TargetMode="External"/><Relationship Id="rId5" Type="http://schemas.openxmlformats.org/officeDocument/2006/relationships/hyperlink" Target="https://www.aboutamazon.com/news/company-news/amazon-earnings-q2-2026-report" TargetMode="External"/><Relationship Id="rId15" Type="http://schemas.openxmlformats.org/officeDocument/2006/relationships/hyperlink" Target="https://finance.yahoo.com/sectors/technology/articles/united-states-data-center-colocation-080900200.html" TargetMode="External"/><Relationship Id="rId23" Type="http://schemas.openxmlformats.org/officeDocument/2006/relationships/hyperlink" Target="https://d18rn0p25nwr6d.cloudfront.net/CIK-0001674101/3e28523e-15ea-4fe3-a07e-6ad6201fb983.pdf" TargetMode="External"/><Relationship Id="rId10" Type="http://schemas.openxmlformats.org/officeDocument/2006/relationships/hyperlink" Target="https://www.mirrorreview.com/news/alphabet-q2-2026/" TargetMode="External"/><Relationship Id="rId19" Type="http://schemas.openxmlformats.org/officeDocument/2006/relationships/hyperlink" Target="https://www.mckinsey.com/~/media/mckinsey/industries/advanced%20electronics/our%20insights/beyond%20compute%20infrastructure%20that%20powers%20and%20cools%20ai%20data%20centers/beyond-compute-infrastructure-that-powers-and-cools-ai-data-centers.pdf" TargetMode="External"/><Relationship Id="rId4" Type="http://schemas.openxmlformats.org/officeDocument/2006/relationships/hyperlink" Target="https://ourworldindata.org/how-much-energy-do-data-centers-and-artificial-intelligence-use" TargetMode="External"/><Relationship Id="rId9" Type="http://schemas.openxmlformats.org/officeDocument/2006/relationships/hyperlink" Target="https://finance.yahoo.com/markets/article/amazons-364-billion-backlog-is-the-bull-case-for-its-ai-spending-boom-135535292.html" TargetMode="External"/><Relationship Id="rId14" Type="http://schemas.openxmlformats.org/officeDocument/2006/relationships/hyperlink" Target="https://kpmg.com/ie/en/insights/strategy/data-centre-supply-chain.html" TargetMode="External"/><Relationship Id="rId22" Type="http://schemas.openxmlformats.org/officeDocument/2006/relationships/hyperlink" Target="https://d18rn0p25nwr6d.cloudfront.net/CIK-0001674101/3b5064e9-e29d-4824-a962-b9a9ff66e5e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D7055-EF83-499E-B812-98888B113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8</Pages>
  <Words>2383</Words>
  <Characters>13063</Characters>
  <Application>Microsoft Office Word</Application>
  <DocSecurity>0</DocSecurity>
  <Lines>384</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Adito Rao</dc:creator>
  <cp:keywords/>
  <dc:description/>
  <cp:lastModifiedBy>Adito Rao</cp:lastModifiedBy>
  <cp:revision>138</cp:revision>
  <dcterms:created xsi:type="dcterms:W3CDTF">2026-09-01T18:18:00Z</dcterms:created>
  <dcterms:modified xsi:type="dcterms:W3CDTF">2026-09-05T08:29:00Z</dcterms:modified>
</cp:coreProperties>
</file>