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Multilingual experience and the multimodal brain</w:t>
      </w:r>
    </w:p>
    <w:p>
      <w:pPr>
        <w:jc w:val="center"/>
      </w:pPr>
      <w:r>
        <w:rPr>
          <w:i/>
        </w:rPr>
        <w:t>Resting-state functional connectivity and white-matter microstructure in 51 healthy adults from NEBULA101 (OpenNeuro ds005613)</w:t>
      </w:r>
    </w:p>
    <w:p>
      <w:pPr>
        <w:jc w:val="center"/>
      </w:pPr>
      <w:r>
        <w:t>Aditi  |  Multimodal Neuroimaging, Spring 2026  |  29 April 2026</w:t>
      </w:r>
    </w:p>
    <w:p/>
    <w:p>
      <w:pPr>
        <w:pStyle w:val="Heading1"/>
      </w:pPr>
      <w:r>
        <w:t>Abstract</w:t>
      </w:r>
    </w:p>
    <w:p>
      <w:r>
        <w:t>Whether multilingual experience leaves a measurable trace on the brain depends</w:t>
        <w:br/>
        <w:t>on how that experience is operationalised. Two complementary measures were</w:t>
        <w:br/>
        <w:t>evaluated: language **diversity** (number of languages spoken, *nlang*) and</w:t>
        <w:br/>
        <w:t>language **use balance** (Shannon entropy of self-reported daily exposure,</w:t>
        <w:br/>
        <w:t>*entropy*). In n = 51 healthy adults from the NEBULA101 dataset, with</w:t>
        <w:br/>
        <w:t>complete T1-weighted, resting-state fMRI, and diffusion MRI data, group</w:t>
        <w:br/>
        <w:t>regression models tested whether either measure predicted (a) seed-based</w:t>
        <w:br/>
        <w:t>resting-state functional connectivity in a six-region language network, after</w:t>
        <w:br/>
        <w:t>SPM25 normalisation and motion regression, and (b) voxelwise fractional</w:t>
        <w:br/>
        <w:t>anisotropy on the TBSS skeleton, after FSL eddy/dtifit and randomise/TFCE</w:t>
        <w:br/>
        <w:t>permutation inference. **Neither predictor** reached significance for any</w:t>
        <w:br/>
        <w:t>pre-specified outcome: connectivity p-values for *nlang* and *entropy* ranged</w:t>
        <w:br/>
        <w:t>from 0.189 to</w:t>
        <w:br/>
        <w:t>0.859 (all</w:t>
        <w:br/>
        <w:t>Bonferroni-uncorrected; none survived correction across the three pre-specified</w:t>
        <w:br/>
        <w:t>outcomes), and no white-matter skeleton voxel exceeded the conventional FWE</w:t>
        <w:br/>
        <w:t>threshold of corrp &gt; 0.95 in any of the four diffusion contrasts (max corrp</w:t>
        <w:br/>
        <w:t>across contrasts = 0.59,</w:t>
        <w:br/>
        <w:t>with the skeleton mask containing 101,510 voxels).</w:t>
        <w:br/>
        <w:t>Sex and head motion contributed appreciable variance to functional</w:t>
        <w:br/>
        <w:t>connectivity, validating the nuisance model. The findings constrain the</w:t>
        <w:br/>
        <w:t>magnitude of *linear* questionnaire–brain effects detectable in this</w:t>
        <w:br/>
        <w:t>moderately-sized, highly educated cohort, and motivate the alternatives</w:t>
        <w:br/>
        <w:t>considered in the discussion.</w:t>
      </w:r>
    </w:p>
    <w:p>
      <w:pPr>
        <w:pStyle w:val="Heading1"/>
      </w:pPr>
      <w:r>
        <w:t>1. Background and motivation</w:t>
      </w:r>
    </w:p>
    <w:p>
      <w:r>
        <w:t>About half the world's population is bilingual or multilingual, and decades of</w:t>
        <w:br/>
        <w:t>cognitive-neuroscience work have asked whether managing two or more languages</w:t>
        <w:br/>
        <w:t>leaves a measurable signature on the brain. The literature is famously mixed.</w:t>
        <w:br/>
        <w:t>Some studies report higher fractional anisotropy in language-relevant</w:t>
        <w:br/>
        <w:t>white-matter tracts (e.g., the arcuate or superior longitudinal fasciculi) in</w:t>
        <w:br/>
        <w:t>multilinguals; others find null or even reduced effects. Resting-state</w:t>
        <w:br/>
        <w:t>functional connectivity has shown a similarly heterogeneous picture across</w:t>
        <w:br/>
        <w:t>the language network and the multiple-demand control system.</w:t>
      </w:r>
    </w:p>
    <w:p>
      <w:r>
        <w:t>A central reason for the heterogeneity is that "multilingualism" is not a</w:t>
        <w:br/>
        <w:t>single construct. It can be measured as the number of languages a person</w:t>
        <w:br/>
        <w:t>speaks (a count of repertoire diversity), as how evenly those languages are</w:t>
        <w:br/>
        <w:t>actually used in daily life (a balance or entropy measure), or as the age at</w:t>
        <w:br/>
        <w:t>which they were acquired. These are correlated but not identical, and their</w:t>
        <w:br/>
        <w:t>neural correlates may differ.</w:t>
      </w:r>
    </w:p>
    <w:p>
      <w:r>
        <w:t>This project follows the NEBULA101 framework and tests whether two</w:t>
        <w:br/>
        <w:t>complementary measures derived from the LEAP-Q questionnaire — *nlang* (a</w:t>
        <w:br/>
        <w:t>count) and *entropy_curr_tot_exp* (Shannon entropy of current daily</w:t>
        <w:br/>
        <w:t>exposure) — make independent contributions to brain organisation, after</w:t>
        <w:br/>
        <w:t>accounting for age, education, sex, and (for fMRI) head motion. In our</w:t>
        <w:br/>
        <w:t>analysis cohort, the two predictors are correlated (Pearson r =</w:t>
        <w:br/>
        <w:t>0.43); they are related, not redundant.</w:t>
      </w:r>
    </w:p>
    <w:p>
      <w:pPr>
        <w:jc w:val="center"/>
      </w:pPr>
      <w:r>
        <w:rPr>
          <w:b/>
        </w:rPr>
        <w:t xml:space="preserve">Figure 1. </w:t>
      </w:r>
      <w:r>
        <w:rPr>
          <w:i/>
        </w:rPr>
        <w:t>The two predictors. Left: histogram of nlang (1–10 languages). Middle: histogram of Shannon entropy of daily exposure. Right: predictor scatter; r ≈ 0.43 means they share variance but are not interchangeable.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25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edic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2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Two pre-specified, directional hypotheses were evaluated:</w:t>
      </w:r>
    </w:p>
    <w:p>
      <w:pPr>
        <w:pStyle w:val="ListBullet"/>
      </w:pPr>
      <w:r>
        <w:rPr>
          <w:b/>
        </w:rPr>
        <w:t xml:space="preserve">H1 (white matter): </w:t>
      </w:r>
      <w:r>
        <w:t>higher nlang and/or higher entropy → higher FA in language-related tracts on the TBSS skeleton.</w:t>
      </w:r>
    </w:p>
    <w:p>
      <w:pPr>
        <w:pStyle w:val="ListBullet"/>
      </w:pPr>
      <w:r>
        <w:rPr>
          <w:b/>
        </w:rPr>
        <w:t xml:space="preserve">H2 (functional connectivity): </w:t>
      </w:r>
      <w:r>
        <w:t>higher nlang and/or higher entropy → altered resting coupling within and between left-lateralised language regions and their right-hemisphere homologues.</w:t>
      </w:r>
    </w:p>
    <w:p>
      <w:pPr>
        <w:pStyle w:val="Heading1"/>
      </w:pPr>
      <w:r>
        <w:t>2. Dataset and cohort</w:t>
      </w:r>
    </w:p>
    <w:p>
      <w:r>
        <w:t>Data came from the publicly released NEBULA101 dataset (OpenNeuro ds005613;</w:t>
        <w:br/>
        <w:t>Pliatsikas et al., Multilingualism, Language and Aging group, Geneva). The</w:t>
        <w:br/>
        <w:t>full release contains 101 healthy multilingual adults with extensive</w:t>
        <w:br/>
        <w:t>questionnaire data (LEAP-Q) and a multimodal MRI battery acquired on a</w:t>
        <w:br/>
        <w:t>Siemens MAGNETOM Prisma 3 T scanner: a sagittal T1-weighted MPRAGE, a</w:t>
        <w:br/>
        <w:t>~10-minute multiband resting-state fMRI run (TR = 2.0 s, EPI, 72 slices,</w:t>
        <w:br/>
        <w:t>eyes-open fixation), a multiband EPI multi-shell DWI acquisition with 117</w:t>
        <w:br/>
        <w:t>directions across b = 0, 700, 1000, 2800 s/mm², and an additional</w:t>
        <w:br/>
        <w:t>task-localiser fMRI (the "Alice in Wonderland" auditory paradigm).</w:t>
      </w:r>
    </w:p>
    <w:p>
      <w:r>
        <w:t>From these 101 participants, n = 51 were retained for analysis</w:t>
        <w:br/>
        <w:t>(subset_50_participants.txt; the file name is a planning-stage holdover —</w:t>
        <w:br/>
        <w:t>the actual count is 51). Inclusion required complete T1, resting fMRI,</w:t>
        <w:br/>
        <w:t>and DWI volumes that successfully passed SPM realignment and FSL eddy</w:t>
        <w:br/>
        <w:t>preprocessing. The retained subset was stratified to preserve the full range</w:t>
        <w:br/>
        <w:t>of nlang (1 through 10), because statistical power for a continuous</w:t>
        <w:br/>
        <w:t>regression depends on the spread of the predictor as much as on n itself.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984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60"/>
            <w:shd w:val="clear" w:color="auto" w:fill="2E5984"/>
          </w:tcPr>
          <w:p>
            <w:r>
              <w:rPr>
                <w:b/>
                <w:color w:val="FFFFFF"/>
              </w:rPr>
              <w:t>Mean ± SD</w:t>
            </w:r>
          </w:p>
        </w:tc>
        <w:tc>
          <w:tcPr>
            <w:tcW w:type="dxa" w:w="2160"/>
            <w:shd w:val="clear" w:color="auto" w:fill="2E5984"/>
          </w:tcPr>
          <w:p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2160"/>
            <w:shd w:val="clear" w:color="auto" w:fill="2E5984"/>
          </w:tcPr>
          <w:p>
            <w:r>
              <w:rPr>
                <w:b/>
                <w:color w:val="FFFFFF"/>
              </w:rPr>
              <w:t>n</w:t>
            </w:r>
          </w:p>
        </w:tc>
      </w:tr>
      <w:tr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>
              <w:t>24.4 ± 5.0</w:t>
            </w:r>
          </w:p>
        </w:tc>
        <w:tc>
          <w:tcPr>
            <w:tcW w:type="dxa" w:w="2160"/>
          </w:tcPr>
          <w:p>
            <w:r>
              <w:t>18.2 – 38.5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Education (years)</w:t>
            </w:r>
          </w:p>
        </w:tc>
        <w:tc>
          <w:tcPr>
            <w:tcW w:type="dxa" w:w="2160"/>
          </w:tcPr>
          <w:p>
            <w:r>
              <w:t>16.2 ± 2.9</w:t>
            </w:r>
          </w:p>
        </w:tc>
        <w:tc>
          <w:tcPr>
            <w:tcW w:type="dxa" w:w="2160"/>
          </w:tcPr>
          <w:p>
            <w:r>
              <w:t>11 – 26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Sex (M / F)</w:t>
            </w:r>
          </w:p>
        </w:tc>
        <w:tc>
          <w:tcPr>
            <w:tcW w:type="dxa" w:w="2160"/>
          </w:tcPr>
          <w:p>
            <w:r>
              <w:t>31 / 20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nlang</w:t>
            </w:r>
          </w:p>
        </w:tc>
        <w:tc>
          <w:tcPr>
            <w:tcW w:type="dxa" w:w="2160"/>
          </w:tcPr>
          <w:p>
            <w:r>
              <w:t>5.10 ± 1.68</w:t>
            </w:r>
          </w:p>
        </w:tc>
        <w:tc>
          <w:tcPr>
            <w:tcW w:type="dxa" w:w="2160"/>
          </w:tcPr>
          <w:p>
            <w:r>
              <w:t>1 – 10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Entropy</w:t>
            </w:r>
          </w:p>
        </w:tc>
        <w:tc>
          <w:tcPr>
            <w:tcW w:type="dxa" w:w="2160"/>
          </w:tcPr>
          <w:p>
            <w:r>
              <w:t>0.69 ± 0.35</w:t>
            </w:r>
          </w:p>
        </w:tc>
        <w:tc>
          <w:tcPr>
            <w:tcW w:type="dxa" w:w="2160"/>
          </w:tcPr>
          <w:p>
            <w:r>
              <w:t>0.00 – 1.30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</w:tbl>
    <w:p>
      <w:pPr>
        <w:jc w:val="center"/>
      </w:pPr>
      <w:r>
        <w:rPr>
          <w:b/>
        </w:rPr>
        <w:t xml:space="preserve">Figure 2. </w:t>
      </w:r>
      <w:r>
        <w:rPr>
          <w:i/>
        </w:rPr>
        <w:t>Demographics and predictors of the analysis cohort (n = 51).</w:t>
      </w:r>
    </w:p>
    <w:p>
      <w:pPr>
        <w:pStyle w:val="Heading1"/>
      </w:pPr>
      <w:r>
        <w:t>3. Two parallel pipelines</w:t>
      </w:r>
    </w:p>
    <w:p>
      <w:r>
        <w:t>The analysis is structured as two parallel pipelines that converge in the</w:t>
        <w:br/>
        <w:t>discussion. The fMRI arm yields a per-subject 6 × 6 functional-connectivity</w:t>
        <w:br/>
        <w:t>matrix on which a group GLM is estimated for three pre-specified outcomes.</w:t>
        <w:br/>
        <w:t>The DWI arm yields a per-subject FA map projected onto a group white-matter</w:t>
        <w:br/>
        <w:t>skeleton, on which the same predictors are tested voxelwise with permutation</w:t>
        <w:br/>
        <w:t>inference.</w:t>
      </w:r>
    </w:p>
    <w:p>
      <w:pPr>
        <w:jc w:val="center"/>
      </w:pPr>
      <w:r>
        <w:rPr>
          <w:b/>
        </w:rPr>
        <w:t xml:space="preserve">Figure 3. </w:t>
      </w:r>
      <w:r>
        <w:rPr>
          <w:i/>
        </w:rPr>
        <w:t>Pipeline schematic. Resting fMRI → SPM25 normalisation → Nilearn seed-based FC → group GLM. Diffusion → FSL eddy/dtifit → TBSS → randomise/TFCE.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61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Resting fMRI: SPM25 → Nilearn → group GLM</w:t>
      </w:r>
    </w:p>
    <w:p>
      <w:r>
        <w:t>Per subject, six-degree-of-freedom motion parameters were estimated with</w:t>
        <w:br/>
        <w:t>SPM realign (estimate). Each T1 was passed through SPM25 unified</w:t>
        <w:br/>
        <w:t>segmentation; the resulting forward deformation field was used to normalise</w:t>
        <w:br/>
        <w:t>the coregistered BOLD time series to MNI space (3 mm isotropic, 4th-order</w:t>
        <w:br/>
        <w:t>B-spline) and the volumes were smoothed with a 6 mm FWHM Gaussian kernel.</w:t>
        <w:br/>
        <w:t>The smoothed warped BOLD (sw*.nii) was the input to connectivity analysis.</w:t>
      </w:r>
    </w:p>
    <w:p>
      <w:r>
        <w:t>Six 8-mm-radius spherical seeds were placed in MNI space at canonical</w:t>
        <w:br/>
        <w:t>language-network coordinates: left and right inferior frontal gyrus</w:t>
        <w:br/>
        <w:t>(IFG_L = −51, 22, 10 / IFG_R = +51, 22, 10), left and right superior</w:t>
        <w:br/>
        <w:t>temporal gyrus (STG_L = −56, −14, 4 / STG_R = +56, −14, 4), the left</w:t>
        <w:br/>
        <w:t>angular gyrus (AngG_L = −46, −62, 28), and the supplementary motor area</w:t>
        <w:br/>
        <w:t>(SMA_L = −4, 4, 52). For each seed, the mean BOLD time-course was extracted</w:t>
        <w:br/>
        <w:t>with NiftiSpheresMasker, band-pass filtered (0.01–0.1 Hz), detrended,</w:t>
        <w:br/>
        <w:t>z-scored, and the six SPM realignment parameters were regressed out at the</w:t>
        <w:br/>
        <w:t>time-series stage. Pairwise Pearson correlations across seeds were</w:t>
        <w:br/>
        <w:t>Fisher-z transformed and saved as 6 × 6 matrices.</w:t>
      </w:r>
    </w:p>
    <w:p>
      <w:r>
        <w:t>Three pre-specified outcomes entered the group GLM: (i) the mean of the 15</w:t>
        <w:br/>
        <w:t>unique upper-triangular Fisher-z edges (mean_lang_fc), (ii) the</w:t>
        <w:br/>
        <w:t>IFG_L–STG_L edge (left dorsal language pathway), and (iii) the</w:t>
        <w:br/>
        <w:t>IFG_R–STG_R edge (right-hemisphere homologue). Each outcome was modelled</w:t>
        <w:br/>
        <w:t>as y ~ nlang_z + entropy_z + age_z + edu_z + sex_binary + mean_FD_z, fit by</w:t>
        <w:br/>
        <w:t>OLS in statsmodels. For the two predictors of interest, simple Bonferroni</w:t>
        <w:br/>
        <w:t>correction across the three outcomes was applied (p × 3).</w:t>
      </w:r>
    </w:p>
    <w:p>
      <w:pPr>
        <w:pStyle w:val="Heading2"/>
      </w:pPr>
      <w:r>
        <w:t>3.2 DWI: FSL eddy/dtifit → TBSS → randomise/TFCE</w:t>
      </w:r>
    </w:p>
    <w:p>
      <w:r>
        <w:t>Diffusion data were preprocessed in WSL Ubuntu with FSL: brain-mask</w:t>
        <w:br/>
        <w:t>extraction from b0 images (bet), eddy-current and motion correction with</w:t>
        <w:br/>
        <w:t>eddy (with bvec rotation), and tensor fitting with dtifit producing</w:t>
        <w:br/>
        <w:t>voxelwise FA, MD and eigen images. All 51 subjects completed</w:t>
        <w:br/>
        <w:t>preprocessing.</w:t>
      </w:r>
    </w:p>
    <w:p>
      <w:r>
        <w:t>TBSS aligned each subject's FA image to the FMRIB58_FA template, built a</w:t>
        <w:br/>
        <w:t>group mean FA skeleton, and projected per-subject FA values onto that</w:t>
        <w:br/>
        <w:t>skeleton. The resulting 4D image (all_FA_skeletonised.nii.gz) holds</w:t>
        <w:br/>
        <w:t>101,510 skeleton voxels per subject. randomise was run</w:t>
        <w:br/>
        <w:t>with 5,000 permutations and threshold-free cluster enhancement (--T2),</w:t>
        <w:br/>
        <w:t>producing voxelwise t-maps and TFCE family-wise-error-corrected (1 − p)</w:t>
        <w:br/>
        <w:t>maps for four contrasts: positive and negative associations of FA with</w:t>
        <w:br/>
        <w:t>nlang and with entropy, in a model containing the same five demographic</w:t>
        <w:br/>
        <w:t>regressors as the FC analysis (mean FD is fMRI-specific). Voxels at</w:t>
        <w:br/>
        <w:t>FWE p &lt; 0.05 satisfy corrp &gt; 0.95.</w:t>
      </w:r>
    </w:p>
    <w:p>
      <w:pPr>
        <w:pStyle w:val="Heading1"/>
      </w:pPr>
      <w:r>
        <w:t>4. Quality control</w:t>
      </w:r>
    </w:p>
    <w:p>
      <w:r>
        <w:t>Head motion at rest was modest in this cohort (mean FD = 0.167 ±</w:t>
        <w:br/>
        <w:t>0.078 mm; median 0.160; range 0.040–0.424 mm),</w:t>
        <w:br/>
        <w:t>so no participant was excluded a priori. Mean FD enters the FC GLM as a</w:t>
        <w:br/>
        <w:t>covariate to absorb residual motion-driven coupling rather than discarding</w:t>
        <w:br/>
        <w:t>scans. eddy_quad/SQUAD per-subject and group reports were generated for</w:t>
        <w:br/>
        <w:t>the diffusion data, and the FSL slicesdir montage of all per-subject FA</w:t>
        <w:br/>
        <w:t>maps allowed visual confirmation of registration quality.</w:t>
      </w:r>
    </w:p>
    <w:p>
      <w:pPr>
        <w:jc w:val="center"/>
      </w:pPr>
      <w:r>
        <w:rPr>
          <w:b/>
        </w:rPr>
        <w:t xml:space="preserve">Figure 4. </w:t>
      </w:r>
      <w:r>
        <w:rPr>
          <w:i/>
        </w:rPr>
        <w:t>Distribution of mean framewise displacement (Power et al., 2012) across the analysis cohort.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74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tion_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5. </w:t>
      </w:r>
      <w:r>
        <w:rPr>
          <w:i/>
        </w:rPr>
        <w:t>Example single-subject FA map after dtifit (QC montage from FSL slicesdir).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50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-pp003_FA_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Results</w:t>
      </w:r>
    </w:p>
    <w:p>
      <w:pPr>
        <w:pStyle w:val="Heading2"/>
      </w:pPr>
      <w:r>
        <w:t>5.1 The language network is intact and recoverable</w:t>
      </w:r>
    </w:p>
    <w:p>
      <w:r>
        <w:t>Before testing the predictors of interest, it is reassuring to verify that</w:t>
        <w:br/>
        <w:t>the seed-based FC pipeline recovers a sensible network. The group-mean</w:t>
        <w:br/>
        <w:t>Fisher-z matrix (Figure 6) shows the expected pattern of strong coupling</w:t>
        <w:br/>
        <w:t>within and between the bilateral perisylvian seeds (IFG, STG, SMA), with</w:t>
        <w:br/>
        <w:t>the angular gyrus seed sitting at the periphery (its weak coupling to</w:t>
        <w:br/>
        <w:t>peri-Sylvian regions is consistent with its semantic / DMN-border</w:t>
        <w:br/>
        <w:t>location). In other words, the pipeline is doing what it should — any</w:t>
        <w:br/>
        <w:t>null effects below cannot be attributed to a broken connectivity</w:t>
        <w:br/>
        <w:t>estimator.</w:t>
      </w:r>
    </w:p>
    <w:p>
      <w:pPr>
        <w:jc w:val="center"/>
      </w:pPr>
      <w:r>
        <w:rPr>
          <w:b/>
        </w:rPr>
        <w:t xml:space="preserve">Figure 6. </w:t>
      </w:r>
      <w:r>
        <w:rPr>
          <w:i/>
        </w:rPr>
        <w:t>Group-mean Fisher-z connectivity, n = 51 (motion-regressed). The expected dorsal-language and bilateral-IFG pattern is clearly recovered.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867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oup_mean_f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8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No effect of multilingual experience on functional connectivity</w:t>
      </w:r>
    </w:p>
    <w:p>
      <w:r>
        <w:t>Bivariate scatters of mean network FC against the two predictors hint at no</w:t>
        <w:br/>
        <w:t>clear relationship; small negative slopes are present but the scatter is wide</w:t>
        <w:br/>
        <w:t>(Figure 7). Because the outcome is also influenced by age, education, sex,</w:t>
        <w:br/>
        <w:t>and motion, the inferential test is the partial regression — the GLM with</w:t>
        <w:br/>
        <w:t>all covariates present.</w:t>
      </w:r>
    </w:p>
    <w:p>
      <w:pPr>
        <w:jc w:val="center"/>
      </w:pPr>
      <w:r>
        <w:rPr>
          <w:b/>
        </w:rPr>
        <w:t xml:space="preserve">Figure 7. </w:t>
      </w:r>
      <w:r>
        <w:rPr>
          <w:i/>
        </w:rPr>
        <w:t>Descriptive (uncorrected) views of mean network FC against nlang and entropy. These do NOT control for sex, motion, age, or education; they are shown only to expose the raw spread.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03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scriptive_fc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Table 2 summarises the partial coefficients for the two predictors of</w:t>
        <w:br/>
        <w:t>interest across the three pre-specified outcomes. For all three outcomes</w:t>
        <w:br/>
        <w:t>and both predictors, the partial coefficient is small (|β| ≤ 0.05 in</w:t>
        <w:br/>
        <w:t>z-units), uncorrected p &gt; 0.18, and Bonferroni-corrected p = 1 (or close).</w:t>
        <w:br/>
        <w:t>We therefore fail to reject the null for both *nlang* and *entropy* at</w:t>
        <w:br/>
        <w:t>the pre-specified inferential threshold.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5984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1440"/>
            <w:shd w:val="clear" w:color="auto" w:fill="2E5984"/>
          </w:tcPr>
          <w:p>
            <w:r>
              <w:rPr>
                <w:b/>
                <w:color w:val="FFFFFF"/>
              </w:rPr>
              <w:t>Predictor</w:t>
            </w:r>
          </w:p>
        </w:tc>
        <w:tc>
          <w:tcPr>
            <w:tcW w:type="dxa" w:w="1440"/>
            <w:shd w:val="clear" w:color="auto" w:fill="2E5984"/>
          </w:tcPr>
          <w:p>
            <w:r>
              <w:rPr>
                <w:b/>
                <w:color w:val="FFFFFF"/>
              </w:rPr>
              <w:t>β</w:t>
            </w:r>
          </w:p>
        </w:tc>
        <w:tc>
          <w:tcPr>
            <w:tcW w:type="dxa" w:w="1440"/>
            <w:shd w:val="clear" w:color="auto" w:fill="2E5984"/>
          </w:tcPr>
          <w:p>
            <w:r>
              <w:rPr>
                <w:b/>
                <w:color w:val="FFFFFF"/>
              </w:rPr>
              <w:t>SE</w:t>
            </w:r>
          </w:p>
        </w:tc>
        <w:tc>
          <w:tcPr>
            <w:tcW w:type="dxa" w:w="1440"/>
            <w:shd w:val="clear" w:color="auto" w:fill="2E5984"/>
          </w:tcPr>
          <w:p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440"/>
            <w:shd w:val="clear" w:color="auto" w:fill="2E5984"/>
          </w:tcPr>
          <w:p>
            <w:r>
              <w:rPr>
                <w:b/>
                <w:color w:val="FFFFFF"/>
              </w:rPr>
              <w:t>p (uncorr) → ×3 Bonf</w:t>
            </w:r>
          </w:p>
        </w:tc>
      </w:tr>
      <w:tr>
        <w:tc>
          <w:tcPr>
            <w:tcW w:type="dxa" w:w="1440"/>
          </w:tcPr>
          <w:p>
            <w:r>
              <w:t>mean_lang_fc</w:t>
            </w:r>
          </w:p>
        </w:tc>
        <w:tc>
          <w:tcPr>
            <w:tcW w:type="dxa" w:w="1440"/>
          </w:tcPr>
          <w:p>
            <w:r>
              <w:t>nlang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0.693 → 1.000</w:t>
            </w:r>
          </w:p>
        </w:tc>
      </w:tr>
      <w:tr>
        <w:tc>
          <w:tcPr>
            <w:tcW w:type="dxa" w:w="1440"/>
          </w:tcPr>
          <w:p>
            <w:r>
              <w:t>mean_lang_fc</w:t>
            </w:r>
          </w:p>
        </w:tc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-0.043</w:t>
            </w:r>
          </w:p>
        </w:tc>
        <w:tc>
          <w:tcPr>
            <w:tcW w:type="dxa" w:w="1440"/>
          </w:tcPr>
          <w:p>
            <w:r>
              <w:t>0.032</w:t>
            </w:r>
          </w:p>
        </w:tc>
        <w:tc>
          <w:tcPr>
            <w:tcW w:type="dxa" w:w="1440"/>
          </w:tcPr>
          <w:p>
            <w:r>
              <w:t>-1.33</w:t>
            </w:r>
          </w:p>
        </w:tc>
        <w:tc>
          <w:tcPr>
            <w:tcW w:type="dxa" w:w="1440"/>
          </w:tcPr>
          <w:p>
            <w:r>
              <w:t>0.189 → 0.568</w:t>
            </w:r>
          </w:p>
        </w:tc>
      </w:tr>
      <w:tr>
        <w:tc>
          <w:tcPr>
            <w:tcW w:type="dxa" w:w="1440"/>
          </w:tcPr>
          <w:p>
            <w:r>
              <w:t>IFG_STG_left</w:t>
            </w:r>
          </w:p>
        </w:tc>
        <w:tc>
          <w:tcPr>
            <w:tcW w:type="dxa" w:w="1440"/>
          </w:tcPr>
          <w:p>
            <w:r>
              <w:t>nlang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-0.18</w:t>
            </w:r>
          </w:p>
        </w:tc>
        <w:tc>
          <w:tcPr>
            <w:tcW w:type="dxa" w:w="1440"/>
          </w:tcPr>
          <w:p>
            <w:r>
              <w:t>0.859 → 1.000</w:t>
            </w:r>
          </w:p>
        </w:tc>
      </w:tr>
      <w:tr>
        <w:tc>
          <w:tcPr>
            <w:tcW w:type="dxa" w:w="1440"/>
          </w:tcPr>
          <w:p>
            <w:r>
              <w:t>IFG_STG_left</w:t>
            </w:r>
          </w:p>
        </w:tc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-0.038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-0.96</w:t>
            </w:r>
          </w:p>
        </w:tc>
        <w:tc>
          <w:tcPr>
            <w:tcW w:type="dxa" w:w="1440"/>
          </w:tcPr>
          <w:p>
            <w:r>
              <w:t>0.340 → 1.000</w:t>
            </w:r>
          </w:p>
        </w:tc>
      </w:tr>
      <w:tr>
        <w:tc>
          <w:tcPr>
            <w:tcW w:type="dxa" w:w="1440"/>
          </w:tcPr>
          <w:p>
            <w:r>
              <w:t>IFG_STG_right</w:t>
            </w:r>
          </w:p>
        </w:tc>
        <w:tc>
          <w:tcPr>
            <w:tcW w:type="dxa" w:w="1440"/>
          </w:tcPr>
          <w:p>
            <w:r>
              <w:t>nlang</w:t>
            </w:r>
          </w:p>
        </w:tc>
        <w:tc>
          <w:tcPr>
            <w:tcW w:type="dxa" w:w="1440"/>
          </w:tcPr>
          <w:p>
            <w:r>
              <w:t>+0.012</w:t>
            </w:r>
          </w:p>
        </w:tc>
        <w:tc>
          <w:tcPr>
            <w:tcW w:type="dxa" w:w="1440"/>
          </w:tcPr>
          <w:p>
            <w:r>
              <w:t>0.052</w:t>
            </w:r>
          </w:p>
        </w:tc>
        <w:tc>
          <w:tcPr>
            <w:tcW w:type="dxa" w:w="1440"/>
          </w:tcPr>
          <w:p>
            <w:r>
              <w:t>+0.23</w:t>
            </w:r>
          </w:p>
        </w:tc>
        <w:tc>
          <w:tcPr>
            <w:tcW w:type="dxa" w:w="1440"/>
          </w:tcPr>
          <w:p>
            <w:r>
              <w:t>0.822 → 1.000</w:t>
            </w:r>
          </w:p>
        </w:tc>
      </w:tr>
      <w:tr>
        <w:tc>
          <w:tcPr>
            <w:tcW w:type="dxa" w:w="1440"/>
          </w:tcPr>
          <w:p>
            <w:r>
              <w:t>IFG_STG_right</w:t>
            </w:r>
          </w:p>
        </w:tc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-0.032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-0.75</w:t>
            </w:r>
          </w:p>
        </w:tc>
        <w:tc>
          <w:tcPr>
            <w:tcW w:type="dxa" w:w="1440"/>
          </w:tcPr>
          <w:p>
            <w:r>
              <w:t>0.455 → 1.000</w:t>
            </w:r>
          </w:p>
        </w:tc>
      </w:tr>
    </w:tbl>
    <w:p>
      <w:pPr>
        <w:jc w:val="center"/>
      </w:pPr>
      <w:r>
        <w:rPr>
          <w:b/>
        </w:rPr>
        <w:t xml:space="preserve">Table 2. </w:t>
      </w:r>
      <w:r>
        <w:rPr>
          <w:i/>
        </w:rPr>
        <w:t>Group GLM partial coefficients for nlang and entropy on the three pre-specified FC outcomes, n = 51. Each row controls for the other predictor and for age, education, sex, and mean FD. None of the six tests survives Bonferroni correction across the three outcomes.</w:t>
      </w:r>
    </w:p>
    <w:p>
      <w:r>
        <w:t>Two covariates do reach uncorrected significance and merit comment.</w:t>
        <w:br/>
        <w:t>Sex (male = 1) is associated with lower mean network FC and lower IFG–STG</w:t>
        <w:br/>
        <w:t>coupling on both sides: β = -0.20, p = 0.002 on</w:t>
        <w:br/>
        <w:t>mean_lang_fc; β = -0.29, p = 0.001 on</w:t>
        <w:br/>
        <w:t>IFG_STG_left; β = -0.21, p = 0.012 on</w:t>
        <w:br/>
        <w:t>IFG_STG_right. Mean FD is positively associated with right-hemisphere</w:t>
        <w:br/>
        <w:t>IFG–STG coupling (β = +0.097, p = 0.023),</w:t>
        <w:br/>
        <w:t>in the expected direction (more head motion → spuriously higher</w:t>
        <w:br/>
        <w:t>correlation). The three FC models had R² of 0.29,</w:t>
        <w:br/>
        <w:t>0.32, and 0.30 respectively,</w:t>
        <w:br/>
        <w:t>with overall-F p-values of 0.017,</w:t>
        <w:br/>
        <w:t>0.008, and 0.011: the models</w:t>
        <w:br/>
        <w:t>explain real variance, but it comes from the nuisance covariates rather</w:t>
        <w:br/>
        <w:t>than the predictors of interest. Sex and motion are secondary findings</w:t>
        <w:br/>
        <w:t>(not pre-registered), and they validate the nuisance model — sex</w:t>
        <w:br/>
        <w:t>differences in resting coupling are well-known, and the motion–FC</w:t>
        <w:br/>
        <w:t>association reaffirms the importance of regressing FD as a covariate.</w:t>
      </w:r>
    </w:p>
    <w:p>
      <w:pPr>
        <w:pStyle w:val="Heading2"/>
      </w:pPr>
      <w:r>
        <w:t>5.3 No effect on white-matter microstructure either</w:t>
      </w:r>
    </w:p>
    <w:p>
      <w:r>
        <w:t>On the TBSS skeleton, the mean FA mask spans 101,510</w:t>
        <w:br/>
        <w:t>voxels covering the major language-relevant tracts. randomise/TFCE found</w:t>
        <w:br/>
        <w:t>no voxel exceeding the conventional FWE threshold (corrp &gt; 0.95) in any of</w:t>
        <w:br/>
        <w:t>the four contrasts. The strongest sub-threshold trend was for "+nlang"</w:t>
        <w:br/>
        <w:t>(max corrp = 0.59; raw t in</w:t>
        <w:br/>
        <w:t>[-1.59, +2.29]),</w:t>
        <w:br/>
        <w:t>i.e., still ≈ 0.36 below the FWE threshold of 0.95. The full picture is</w:t>
        <w:br/>
        <w:t>in Figure 8 and Table 3.</w:t>
      </w:r>
    </w:p>
    <w:p>
      <w:pPr>
        <w:jc w:val="center"/>
      </w:pPr>
      <w:r>
        <w:rPr>
          <w:b/>
        </w:rPr>
        <w:t xml:space="preserve">Figure 8. </w:t>
      </w:r>
      <w:r>
        <w:rPr>
          <w:i/>
        </w:rPr>
        <w:t>TBSS results across the four contrasts. No skeleton voxel survives FWE p &lt; 0.05 (corrp &gt; 0.95 dashed line). Maximum corrp values are well below the threshold for both predictors and both directions.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02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b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27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984"/>
          </w:tcPr>
          <w:p>
            <w:r>
              <w:rPr>
                <w:b/>
                <w:color w:val="FFFFFF"/>
              </w:rPr>
              <w:t>Contrast</w:t>
            </w:r>
          </w:p>
        </w:tc>
        <w:tc>
          <w:tcPr>
            <w:tcW w:type="dxa" w:w="1728"/>
            <w:shd w:val="clear" w:color="auto" w:fill="2E5984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1728"/>
            <w:shd w:val="clear" w:color="auto" w:fill="2E5984"/>
          </w:tcPr>
          <w:p>
            <w:r>
              <w:rPr>
                <w:b/>
                <w:color w:val="FFFFFF"/>
              </w:rPr>
              <w:t>Raw t range</w:t>
            </w:r>
          </w:p>
        </w:tc>
        <w:tc>
          <w:tcPr>
            <w:tcW w:type="dxa" w:w="1728"/>
            <w:shd w:val="clear" w:color="auto" w:fill="2E5984"/>
          </w:tcPr>
          <w:p>
            <w:r>
              <w:rPr>
                <w:b/>
                <w:color w:val="FFFFFF"/>
              </w:rPr>
              <w:t>Max corrp</w:t>
            </w:r>
          </w:p>
        </w:tc>
        <w:tc>
          <w:tcPr>
            <w:tcW w:type="dxa" w:w="1728"/>
            <w:shd w:val="clear" w:color="auto" w:fill="2E5984"/>
          </w:tcPr>
          <w:p>
            <w:r>
              <w:rPr>
                <w:b/>
                <w:color w:val="FFFFFF"/>
              </w:rPr>
              <w:t>Voxels FWE-sig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+nlang</w:t>
            </w:r>
          </w:p>
        </w:tc>
        <w:tc>
          <w:tcPr>
            <w:tcW w:type="dxa" w:w="1728"/>
          </w:tcPr>
          <w:p>
            <w:r>
              <w:t>[-1.59, +2.29]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−nlang</w:t>
            </w:r>
          </w:p>
        </w:tc>
        <w:tc>
          <w:tcPr>
            <w:tcW w:type="dxa" w:w="1728"/>
          </w:tcPr>
          <w:p>
            <w:r>
              <w:t>[-2.29, +1.59]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+entropy</w:t>
            </w:r>
          </w:p>
        </w:tc>
        <w:tc>
          <w:tcPr>
            <w:tcW w:type="dxa" w:w="1728"/>
          </w:tcPr>
          <w:p>
            <w:r>
              <w:t>[-1.29, +2.12]</w:t>
            </w:r>
          </w:p>
        </w:tc>
        <w:tc>
          <w:tcPr>
            <w:tcW w:type="dxa" w:w="1728"/>
          </w:tcPr>
          <w:p>
            <w:r>
              <w:t>0.57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−entropy</w:t>
            </w:r>
          </w:p>
        </w:tc>
        <w:tc>
          <w:tcPr>
            <w:tcW w:type="dxa" w:w="1728"/>
          </w:tcPr>
          <w:p>
            <w:r>
              <w:t>[-2.12, +1.29]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jc w:val="center"/>
      </w:pPr>
      <w:r>
        <w:rPr>
          <w:b/>
        </w:rPr>
        <w:t xml:space="preserve">Table 3. </w:t>
      </w:r>
      <w:r>
        <w:rPr>
          <w:i/>
        </w:rPr>
        <w:t>TBSS randomise/TFCE results, 5,000 permutations, skeleton mask = 101,510 voxels. No voxel survives the conventional FWE threshold (corrp &gt; 0.95) in any contrast.</w:t>
      </w:r>
    </w:p>
    <w:p>
      <w:pPr>
        <w:pStyle w:val="Heading2"/>
      </w:pPr>
      <w:r>
        <w:t>5.4 Where the variance went</w:t>
      </w:r>
    </w:p>
    <w:p>
      <w:r>
        <w:t>Although the questionnaire-derived predictors carried no significant</w:t>
        <w:br/>
        <w:t>variance for either modality, the FC models were not empty. Across the</w:t>
        <w:br/>
        <w:t>three FC outcomes, R² ranged from 0.29 to 0.32 and</w:t>
        <w:br/>
        <w:t>overall-F p-values from 0.008 to 0.017 — the models do</w:t>
        <w:br/>
        <w:t>explain variance, just from sex and (for one outcome) motion rather</w:t>
        <w:br/>
        <w:t>than from multilingual experience. The TBSS contrasts, by contrast,</w:t>
        <w:br/>
        <w:t>look essentially flat: max corrp values across the four contrasts are</w:t>
        <w:br/>
        <w:t>0.59, 0.37,</w:t>
        <w:br/>
        <w:t>0.57, and 0.36 — a long way</w:t>
        <w:br/>
        <w:t>from the FWE threshold of 0.95.</w:t>
      </w:r>
    </w:p>
    <w:p>
      <w:pPr>
        <w:pStyle w:val="Heading1"/>
      </w:pPr>
      <w:r>
        <w:t>6. Discussion</w:t>
      </w:r>
    </w:p>
    <w:p>
      <w:r>
        <w:t>We did not detect an association between two complementary measures of</w:t>
        <w:br/>
        <w:t>multilingual experience and either resting-state functional connectivity</w:t>
        <w:br/>
        <w:t>in a six-region language network or fractional anisotropy on the TBSS</w:t>
        <w:br/>
        <w:t>white-matter skeleton, at the pre-specified inferential thresholds. This</w:t>
        <w:br/>
        <w:t>mirrors a number of recent reports in the multilingualism literature in</w:t>
        <w:br/>
        <w:t>which large effects of language experience on brain structure or function</w:t>
        <w:br/>
        <w:t>have been difficult to replicate at conventional sample sizes.</w:t>
      </w:r>
    </w:p>
    <w:p>
      <w:r>
        <w:t>Several non-exclusive factors plausibly contribute. First, the population</w:t>
        <w:br/>
        <w:t>effect sizes that link self-reported language experience to seed-based FC or</w:t>
        <w:br/>
        <w:t>skeletonised FA may be small. With n = 51, an analysis is reasonably</w:t>
        <w:br/>
        <w:t>powered to detect medium-to-large standardised partial coefficients but</w:t>
        <w:br/>
        <w:t>not the small (|β| &lt; 0.1) effects that are most often reported in the</w:t>
        <w:br/>
        <w:t>literature. Second, the two predictors are correlated (r = 0.43):</w:t>
        <w:br/>
        <w:t>unique-variance partial coefficients are by construction smaller than</w:t>
        <w:br/>
        <w:t>their bivariate counterparts, and any shared signal cannot be partitioned</w:t>
        <w:br/>
        <w:t>between *nlang* and *entropy*. Third, our cohort is highly educated (mean</w:t>
        <w:br/>
        <w:t>education = 16 years) — the range of multilingual experience is</w:t>
        <w:br/>
        <w:t>rich (1–10 languages) but other dimensions, including the age of L2</w:t>
        <w:br/>
        <w:t>acquisition and proficiency, are constrained. Fourth, FA on a TBSS</w:t>
        <w:br/>
        <w:t>skeleton summarises microstructure with a single tensor model; multi-shell</w:t>
        <w:br/>
        <w:t>metrics such as NODDI or fixel-based analyses, which are feasible with</w:t>
        <w:br/>
        <w:t>the b = 700/1000/2800 acquisition that is already on disk, may be more</w:t>
        <w:br/>
        <w:t>sensitive to specific microstructural variations.</w:t>
      </w:r>
    </w:p>
    <w:p>
      <w:r>
        <w:t>Two sets of secondary observations strengthen confidence in the negative</w:t>
        <w:br/>
        <w:t>primary results. The bilateral language-network FC is recovered cleanly</w:t>
        <w:br/>
        <w:t>(Figure 6), so the FC pipeline behaves as designed. Sex and motion explain</w:t>
        <w:br/>
        <w:t>appreciable variance in the FC outcomes, in the expected directions and</w:t>
        <w:br/>
        <w:t>magnitudes — which is exactly the kind of pattern that reassures us the</w:t>
        <w:br/>
        <w:t>regression is sensitive to non-trivial effects when they exist.</w:t>
      </w:r>
    </w:p>
    <w:p>
      <w:r>
        <w:t>Finally, an absence of evidence is not evidence of absence. Null findings</w:t>
        <w:br/>
        <w:t>bound the magnitude of linear, questionnaire-driven effects that are</w:t>
        <w:br/>
        <w:t>detectable in this subsample with this analytic recipe. Three concrete</w:t>
        <w:br/>
        <w:t>extensions are well-positioned to push further: (i) using subject-specific</w:t>
        <w:br/>
        <w:t>language ROIs from the Alice in Wonderland localiser (already preprocessed</w:t>
        <w:br/>
        <w:t>with SPM but not used for second-level here) instead of fixed MNI seeds;</w:t>
        <w:br/>
        <w:t>(ii) re-analysing diffusion data with NODDI or fixel-based metrics; and</w:t>
        <w:br/>
        <w:t>(iii) adding network-level (ICA / dictionary-learning) FC summaries that</w:t>
        <w:br/>
        <w:t>do not commit to a small set of edges a priori.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Cross-sectional, observational design — no causal inference is possible.</w:t>
      </w:r>
    </w:p>
    <w:p>
      <w:pPr>
        <w:pStyle w:val="ListBullet"/>
      </w:pPr>
      <w:r>
        <w:t>n = 51 bounds power to detect small effects (post-hoc power &lt; 80% for r ≈ 0.2, see Figure 9).</w:t>
      </w:r>
    </w:p>
    <w:p>
      <w:pPr>
        <w:pStyle w:val="ListBullet"/>
      </w:pPr>
      <w:r>
        <w:t>Six a priori MNI seeds do not cover the whole language network or the multiple-demand control system.</w:t>
      </w:r>
    </w:p>
    <w:p>
      <w:pPr>
        <w:pStyle w:val="ListBullet"/>
      </w:pPr>
      <w:r>
        <w:t>Single-shell FA was the only diffusion summary; multi-shell models (NODDI, fixel-based) were not used despite the multi-shell acquisition being available.</w:t>
      </w:r>
    </w:p>
    <w:p>
      <w:pPr>
        <w:pStyle w:val="ListBullet"/>
      </w:pPr>
      <w:r>
        <w:t>No fMRIPrep / aCompCor / ICA-AROMA: motion is partially controlled via six realignment parameters and a mean-FD covariate, but residual motion artefact is possible.</w:t>
      </w:r>
    </w:p>
    <w:p>
      <w:pPr>
        <w:pStyle w:val="ListBullet"/>
      </w:pPr>
      <w:r>
        <w:t>No fieldmap-based EPI distortion correction.</w:t>
      </w:r>
    </w:p>
    <w:p>
      <w:pPr>
        <w:pStyle w:val="ListBullet"/>
      </w:pPr>
      <w:r>
        <w:t>Highly educated cohort (mean ≈ 16 years); generalisability to lower-education populations is limited.</w:t>
      </w:r>
    </w:p>
    <w:p>
      <w:pPr>
        <w:pStyle w:val="ListBullet"/>
      </w:pPr>
      <w:r>
        <w:t>Self-reported exposure proportions inherit the standard limitations of questionnaires (LEAP-Q; Marian et al., 2007).</w:t>
      </w:r>
    </w:p>
    <w:p>
      <w:pPr>
        <w:jc w:val="center"/>
      </w:pPr>
      <w:r>
        <w:rPr>
          <w:b/>
        </w:rPr>
        <w:t xml:space="preserve">Figure 9. </w:t>
      </w:r>
      <w:r>
        <w:rPr>
          <w:i/>
        </w:rPr>
        <w:t>Post-hoc power for partial Pearson r effects at α = 0.05 (two-tailed). With n = 51, power to detect r = 0.20 is far below 80%.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5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o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Conclusion</w:t>
      </w:r>
    </w:p>
    <w:p>
      <w:r>
        <w:t>Across n = 51 multilingual adults from NEBULA101, neither the number of</w:t>
        <w:br/>
        <w:t>languages spoken nor the Shannon entropy of daily exposure was associated</w:t>
        <w:br/>
        <w:t>with seed-based resting-state functional connectivity in a six-region</w:t>
        <w:br/>
        <w:t>language network or with white-matter fractional anisotropy on the TBSS</w:t>
        <w:br/>
        <w:t>skeleton, at pre-specified FWE / Bonferroni thresholds. The null inferential</w:t>
        <w:br/>
        <w:t>result is bracketed by a recovered language network on FC, sensible nuisance</w:t>
        <w:br/>
        <w:t>effects (sex and motion), and a clean diffusion pipeline — all of which</w:t>
        <w:br/>
        <w:t>argue that the methodology is sound and the bound on the effect size is</w:t>
        <w:br/>
        <w:t>the substantive contribution of this work. Future analyses are well placed</w:t>
        <w:br/>
        <w:t>to look in the directions where this study could not: subject-specific ROIs,</w:t>
        <w:br/>
        <w:t>multi-shell diffusion modelling, and network-level FC summaries.</w:t>
      </w:r>
    </w:p>
    <w:p>
      <w:pPr>
        <w:pStyle w:val="Heading1"/>
      </w:pPr>
      <w:r>
        <w:t>References (selected)</w:t>
      </w:r>
    </w:p>
    <w:p>
      <w:pPr>
        <w:pStyle w:val="ListNumber"/>
      </w:pPr>
      <w:r>
        <w:t>Ashburner, J., &amp; Friston, K. J. (2005). Unified segmentation. NeuroImage, 26, 839–851.</w:t>
      </w:r>
    </w:p>
    <w:p>
      <w:pPr>
        <w:pStyle w:val="ListNumber"/>
      </w:pPr>
      <w:r>
        <w:t>Bialystok, E. (2017). The bilingual adaptation. Psychological Bulletin, 143(3), 233–262.</w:t>
      </w:r>
    </w:p>
    <w:p>
      <w:pPr>
        <w:pStyle w:val="ListNumber"/>
      </w:pPr>
      <w:r>
        <w:t>Costa, A., &amp; Sebastián-Gallés, N. (2014). How does the bilingual experience sculpt the brain? Nature Reviews Neuroscience, 15(5), 336–345.</w:t>
      </w:r>
    </w:p>
    <w:p>
      <w:pPr>
        <w:pStyle w:val="ListNumber"/>
      </w:pPr>
      <w:r>
        <w:t>Marian, V., Blumenfeld, H. K., &amp; Kaushanskaya, M. (2007). The LEAP-Q. JSLHR, 50(4), 940–967.</w:t>
      </w:r>
    </w:p>
    <w:p>
      <w:pPr>
        <w:pStyle w:val="ListNumber"/>
      </w:pPr>
      <w:r>
        <w:t>Pliatsikas, C., et al. (2024). NEBULA101: a multimodal dataset of multilingual experience. OpenNeuro ds005613.</w:t>
      </w:r>
    </w:p>
    <w:p>
      <w:pPr>
        <w:pStyle w:val="ListNumber"/>
      </w:pPr>
      <w:r>
        <w:t>Power, J. D., et al. (2012). Spurious but systematic correlations in functional connectivity MRI networks arise from subject motion. NeuroImage, 59, 2142–2154.</w:t>
      </w:r>
    </w:p>
    <w:p>
      <w:pPr>
        <w:pStyle w:val="ListNumber"/>
      </w:pPr>
      <w:r>
        <w:t>Smith, S. M., et al. (2006). Tract-based spatial statistics. NeuroImage, 31, 1487–1505.</w:t>
      </w:r>
    </w:p>
    <w:p>
      <w:pPr>
        <w:pStyle w:val="ListNumber"/>
      </w:pPr>
      <w:r>
        <w:t>Smith, S. M., &amp; Nichols, T. E. (2009). Threshold-free cluster enhancement. NeuroImage, 44, 83–98.</w:t>
      </w:r>
    </w:p>
    <w:p>
      <w:pPr>
        <w:pStyle w:val="Heading1"/>
      </w:pPr>
      <w:r>
        <w:t>Appendix A. Authoritative source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984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2E5984"/>
          </w:tcPr>
          <w:p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Subject list (51 IDs, alphabetical)</w:t>
            </w:r>
          </w:p>
        </w:tc>
        <w:tc>
          <w:tcPr>
            <w:tcW w:type="dxa" w:w="4320"/>
          </w:tcPr>
          <w:p>
            <w:r>
              <w:t>subset_50_participants.txt</w:t>
            </w:r>
          </w:p>
        </w:tc>
      </w:tr>
      <w:tr>
        <w:tc>
          <w:tcPr>
            <w:tcW w:type="dxa" w:w="4320"/>
          </w:tcPr>
          <w:p>
            <w:r>
              <w:t>Design matrix (z-scored predictors)</w:t>
            </w:r>
          </w:p>
        </w:tc>
        <w:tc>
          <w:tcPr>
            <w:tcW w:type="dxa" w:w="4320"/>
          </w:tcPr>
          <w:p>
            <w:r>
              <w:t>shared_design_matrix.csv</w:t>
            </w:r>
          </w:p>
        </w:tc>
      </w:tr>
      <w:tr>
        <w:tc>
          <w:tcPr>
            <w:tcW w:type="dxa" w:w="4320"/>
          </w:tcPr>
          <w:p>
            <w:r>
              <w:t>Per-subject Fisher-z FC matrices</w:t>
            </w:r>
          </w:p>
        </w:tc>
        <w:tc>
          <w:tcPr>
            <w:tcW w:type="dxa" w:w="4320"/>
          </w:tcPr>
          <w:p>
            <w:r>
              <w:t>derivatives/nilearn_fc_motion/sub-*_fc_matrix.npy</w:t>
            </w:r>
          </w:p>
        </w:tc>
      </w:tr>
      <w:tr>
        <w:tc>
          <w:tcPr>
            <w:tcW w:type="dxa" w:w="4320"/>
          </w:tcPr>
          <w:p>
            <w:r>
              <w:t>FC subject-level outcomes + mean FD</w:t>
            </w:r>
          </w:p>
        </w:tc>
        <w:tc>
          <w:tcPr>
            <w:tcW w:type="dxa" w:w="4320"/>
          </w:tcPr>
          <w:p>
            <w:r>
              <w:t>derivatives/nilearn_fc_motion/fc_outcomes_motion.csv</w:t>
            </w:r>
          </w:p>
        </w:tc>
      </w:tr>
      <w:tr>
        <w:tc>
          <w:tcPr>
            <w:tcW w:type="dxa" w:w="4320"/>
          </w:tcPr>
          <w:p>
            <w:r>
              <w:t>FC group GLM results (used in Table 2)</w:t>
            </w:r>
          </w:p>
        </w:tc>
        <w:tc>
          <w:tcPr>
            <w:tcW w:type="dxa" w:w="4320"/>
          </w:tcPr>
          <w:p>
            <w:r>
              <w:t>derivatives/nilearn_fc_motion/fc_glm_motion_results.csv</w:t>
            </w:r>
          </w:p>
        </w:tc>
      </w:tr>
      <w:tr>
        <w:tc>
          <w:tcPr>
            <w:tcW w:type="dxa" w:w="4320"/>
          </w:tcPr>
          <w:p>
            <w:r>
              <w:t>TBSS 4-D skeletonised FA</w:t>
            </w:r>
          </w:p>
        </w:tc>
        <w:tc>
          <w:tcPr>
            <w:tcW w:type="dxa" w:w="4320"/>
          </w:tcPr>
          <w:p>
            <w:r>
              <w:t>derivatives/dwi_processed/tbss/stats/all_FA_skeletonised.nii.gz</w:t>
            </w:r>
          </w:p>
        </w:tc>
      </w:tr>
      <w:tr>
        <w:tc>
          <w:tcPr>
            <w:tcW w:type="dxa" w:w="4320"/>
          </w:tcPr>
          <w:p>
            <w:r>
              <w:t>TBSS design files</w:t>
            </w:r>
          </w:p>
        </w:tc>
        <w:tc>
          <w:tcPr>
            <w:tcW w:type="dxa" w:w="4320"/>
          </w:tcPr>
          <w:p>
            <w:r>
              <w:t>derivatives/dwi_processed/tbss/stats/design.{mat,con}</w:t>
            </w:r>
          </w:p>
        </w:tc>
      </w:tr>
      <w:tr>
        <w:tc>
          <w:tcPr>
            <w:tcW w:type="dxa" w:w="4320"/>
          </w:tcPr>
          <w:p>
            <w:r>
              <w:t>randomise TFCE corrp maps</w:t>
            </w:r>
          </w:p>
        </w:tc>
        <w:tc>
          <w:tcPr>
            <w:tcW w:type="dxa" w:w="4320"/>
          </w:tcPr>
          <w:p>
            <w:r>
              <w:t>derivatives/dwi_processed/tbss/stats/tbss_results_tfce_corrp_tstat{1..4}.nii.gz</w:t>
            </w:r>
          </w:p>
        </w:tc>
      </w:tr>
      <w:tr>
        <w:tc>
          <w:tcPr>
            <w:tcW w:type="dxa" w:w="4320"/>
          </w:tcPr>
          <w:p>
            <w:r>
              <w:t>randomise log</w:t>
            </w:r>
          </w:p>
        </w:tc>
        <w:tc>
          <w:tcPr>
            <w:tcW w:type="dxa" w:w="4320"/>
          </w:tcPr>
          <w:p>
            <w:r>
              <w:t>derivatives/randomise_log.txt</w:t>
            </w:r>
          </w:p>
        </w:tc>
      </w:tr>
      <w:tr>
        <w:tc>
          <w:tcPr>
            <w:tcW w:type="dxa" w:w="4320"/>
          </w:tcPr>
          <w:p>
            <w:r>
              <w:t>Automated TBSS inspection (used in Table 3)</w:t>
            </w:r>
          </w:p>
        </w:tc>
        <w:tc>
          <w:tcPr>
            <w:tcW w:type="dxa" w:w="4320"/>
          </w:tcPr>
          <w:p>
            <w:r>
              <w:t>derivatives/tbss_inspection_report.txt</w:t>
            </w:r>
          </w:p>
        </w:tc>
      </w:tr>
      <w:tr>
        <w:tc>
          <w:tcPr>
            <w:tcW w:type="dxa" w:w="4320"/>
          </w:tcPr>
          <w:p>
            <w:r>
              <w:t>Stats archive (29 Apr 2026)</w:t>
            </w:r>
          </w:p>
        </w:tc>
        <w:tc>
          <w:tcPr>
            <w:tcW w:type="dxa" w:w="4320"/>
          </w:tcPr>
          <w:p>
            <w:r>
              <w:t>derivatives/tbss_randomise_archive_20260429_153849/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