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87EAB"/>
          <w:sz w:val="32"/>
        </w:rPr>
        <w:t>LEARNUP</w:t>
      </w:r>
    </w:p>
    <w:p>
      <w:pPr>
        <w:pStyle w:val="Title"/>
        <w:jc w:val="center"/>
      </w:pPr>
      <w:r>
        <w:t>Skill-Gap Analysis &amp; Course-Matching Platforms</w:t>
      </w:r>
    </w:p>
    <w:p>
      <w:pPr>
        <w:jc w:val="center"/>
      </w:pPr>
      <w:r>
        <w:rPr>
          <w:i/>
          <w:color w:val="5A646E"/>
          <w:sz w:val="26"/>
        </w:rPr>
        <w:t>Competitor Research, Limitations, and Differentiation Opportunities</w:t>
      </w:r>
    </w:p>
    <w:p/>
    <w:p>
      <w:pPr>
        <w:jc w:val="center"/>
      </w:pPr>
      <w:r>
        <w:rPr>
          <w:sz w:val="20"/>
        </w:rPr>
        <w:t>Prepared from the LearnUP USP document and publicly available platform information</w:t>
      </w:r>
    </w:p>
    <w:p>
      <w:r>
        <w:br w:type="page"/>
      </w:r>
    </w:p>
    <w:p>
      <w:pPr>
        <w:pStyle w:val="Heading1"/>
      </w:pPr>
      <w:r>
        <w:t>1. Executive Summary</w:t>
      </w:r>
    </w:p>
    <w:p>
      <w:r>
        <w:t>LearnUP is proposed as an AI-powered career-growth platform that connects skill-gap diagnosis, personalized learning, practical assessment, evidence-backed skill verification, and job matching. The competitor research below focuses on five platforms with overlapping skill-gap or course-matching capabilities: Koenig Career Compass, UDEN, LinkedIn Learning, Evelyn Learning Career Pathways AI, and Pantech eLearning Skill Assessment.</w:t>
      </w:r>
    </w:p>
    <w:p>
      <w:r>
        <w:t>The central research question is not whether these platforms have useful features; several clearly do. It is whether a platform can continuously connect (1) identifying a gap, (2) choosing relevant learning, (3) testing practical mastery, and (4) updating a learner's career-readiness profile based on evidence.</w:t>
      </w:r>
    </w:p>
    <w:p>
      <w:r>
        <w:t>Important qualification: many limitations in this report are evidence gaps or hypotheses for product testing, not proven defects. Public marketing pages do not fully reveal algorithms, assessment validity, catalog coverage, or real-world outcomes. These should be verified through hands-on testing and independent evidence.</w:t>
      </w:r>
    </w:p>
    <w:p>
      <w:pPr>
        <w:pStyle w:val="Heading1"/>
      </w:pPr>
      <w:r>
        <w:t>2. LearnUP Context and Research Scope</w:t>
      </w:r>
    </w:p>
    <w:p>
      <w:r>
        <w:t>The LearnUP USP document describes a workflow that begins with resume-based skill extraction, compares the learner's profile with a target role, creates a personalized roadmap, recommends learning resources, requires assignments for progression, updates a Skill Passport, and uses verified evidence to inform job matching.</w:t>
      </w:r>
    </w:p>
    <w:p>
      <w:r>
        <w:t>This analysis concentrates on the following dimensions:</w:t>
      </w:r>
    </w:p>
    <w:p>
      <w:pPr>
        <w:pStyle w:val="ListBullet"/>
        <w:spacing w:after="60"/>
      </w:pPr>
      <w:r>
        <w:t>Input quality: resumes, self-assessments, quizzes, work samples, projects, and job descriptions.</w:t>
      </w:r>
    </w:p>
    <w:p>
      <w:pPr>
        <w:pStyle w:val="ListBullet"/>
        <w:spacing w:after="60"/>
      </w:pPr>
      <w:r>
        <w:t>Skill-gap identification: how current capability is compared with role requirements.</w:t>
      </w:r>
    </w:p>
    <w:p>
      <w:pPr>
        <w:pStyle w:val="ListBullet"/>
        <w:spacing w:after="60"/>
      </w:pPr>
      <w:r>
        <w:t>Course matching: how specific gaps map to lessons, courses, or learning paths.</w:t>
      </w:r>
    </w:p>
    <w:p>
      <w:pPr>
        <w:pStyle w:val="ListBullet"/>
        <w:spacing w:after="60"/>
      </w:pPr>
      <w:r>
        <w:t>Verification: whether learning outcomes are checked through practical evidence.</w:t>
      </w:r>
    </w:p>
    <w:p>
      <w:pPr>
        <w:pStyle w:val="ListBullet"/>
        <w:spacing w:after="60"/>
      </w:pPr>
      <w:r>
        <w:t>Feedback loop: whether results update the roadmap and job-readiness profile.</w:t>
      </w:r>
    </w:p>
    <w:p>
      <w:pPr>
        <w:pStyle w:val="ListBullet"/>
        <w:spacing w:after="60"/>
      </w:pPr>
      <w:r>
        <w:t>Transparency and validation: whether scores, recommendations, and outcome claims can be independently checked.</w:t>
      </w:r>
    </w:p>
    <w:p>
      <w:pPr>
        <w:pStyle w:val="Heading1"/>
      </w:pPr>
      <w:r>
        <w:t>3. Competitor Analysis and Limitations</w:t>
      </w:r>
    </w:p>
    <w:p>
      <w:pPr>
        <w:pStyle w:val="Heading2"/>
      </w:pPr>
      <w:r>
        <w:t>3.1 Koenig Career Compass</w:t>
      </w:r>
    </w:p>
    <w:p>
      <w:r>
        <w:t>What the platform describes: The provider describes a CV-to-job comparison workflow, missing-skill identification, personalized or generated courses, interview practice, and completion certificates.</w:t>
      </w:r>
    </w:p>
    <w:p>
      <w:pPr>
        <w:pStyle w:val="Heading3"/>
      </w:pPr>
      <w:r>
        <w:t>Limitations or evidence gaps to investigate</w:t>
      </w:r>
    </w:p>
    <w:p>
      <w:pPr>
        <w:pStyle w:val="ListBullet"/>
        <w:spacing w:after="60"/>
      </w:pPr>
      <w:r>
        <w:rPr>
          <w:b/>
        </w:rPr>
        <w:t xml:space="preserve">CV evidence dependence: </w:t>
      </w:r>
      <w:r>
        <w:t>A CV may omit skills a learner has or list skills without demonstrating competence. The effect on actual extraction accuracy needs testing.</w:t>
      </w:r>
    </w:p>
    <w:p>
      <w:pPr>
        <w:pStyle w:val="ListBullet"/>
        <w:spacing w:after="60"/>
      </w:pPr>
      <w:r>
        <w:rPr>
          <w:b/>
        </w:rPr>
        <w:t xml:space="preserve">Course completion versus mastery: </w:t>
      </w:r>
      <w:r>
        <w:t>Public descriptions do not establish that every course requires an independently verified, realistic work task before a skill is considered mastered. This is a documentation gap, not proof that practical assessment is absent.</w:t>
      </w:r>
    </w:p>
    <w:p>
      <w:pPr>
        <w:pStyle w:val="ListBullet"/>
        <w:spacing w:after="60"/>
      </w:pPr>
      <w:r>
        <w:rPr>
          <w:b/>
        </w:rPr>
        <w:t xml:space="preserve">Generated-course quality: </w:t>
      </w:r>
      <w:r>
        <w:t>Generated content should be checked for technical accuracy, depth, currency, and consistency. Independent evidence that generated courses reliably close skill gaps was not established in the sources reviewed.</w:t>
      </w:r>
    </w:p>
    <w:p>
      <w:pPr>
        <w:pStyle w:val="ListBullet"/>
        <w:spacing w:after="60"/>
      </w:pPr>
      <w:r>
        <w:rPr>
          <w:b/>
        </w:rPr>
        <w:t xml:space="preserve">Ongoing competency tracking: </w:t>
      </w:r>
      <w:r>
        <w:t>Public materials do not clearly establish how practical performance is reassessed over time, how old evidence is handled, or how mastery changes after work experience.</w:t>
      </w:r>
    </w:p>
    <w:p>
      <w:r>
        <w:rPr>
          <w:b/>
        </w:rPr>
        <w:t xml:space="preserve">Opportunity for LearnUP: </w:t>
      </w:r>
      <w:r>
        <w:t>Make critical skills evidence-based through practical tasks; retain assessment history; adapt learning based on performance rather than completion alone.</w:t>
      </w:r>
    </w:p>
    <w:p>
      <w:r>
        <w:rPr>
          <w:b/>
        </w:rPr>
        <w:t xml:space="preserve">Official source(s): </w:t>
      </w:r>
      <w:r>
        <w:t>https://academy.koenig-solutions.com/career | https://academy.koenig-solutions.com/press/on-demand-course-generation</w:t>
      </w:r>
    </w:p>
    <w:p>
      <w:pPr>
        <w:pStyle w:val="Heading2"/>
      </w:pPr>
      <w:r>
        <w:t>3.2 UDEN</w:t>
      </w:r>
    </w:p>
    <w:p>
      <w:r>
        <w:t>What the platform describes: UDEN publicly describes skill assessments, personalized learning paths, job-fit analysis, resume tools, interview preparation, and college placement analytics. Its public materials describe a 10-question multiple-choice assessment.</w:t>
      </w:r>
    </w:p>
    <w:p>
      <w:pPr>
        <w:pStyle w:val="Heading3"/>
      </w:pPr>
      <w:r>
        <w:t>Limitations or evidence gaps to investigate</w:t>
      </w:r>
    </w:p>
    <w:p>
      <w:pPr>
        <w:pStyle w:val="ListBullet"/>
        <w:spacing w:after="60"/>
      </w:pPr>
      <w:r>
        <w:rPr>
          <w:b/>
        </w:rPr>
        <w:t xml:space="preserve">Assessment depth: </w:t>
      </w:r>
      <w:r>
        <w:t>A short MCQ assessment can test selected knowledge but cannot by itself show whether a learner can complete complex tasks, build projects, or troubleshoot realistic problems.</w:t>
      </w:r>
    </w:p>
    <w:p>
      <w:pPr>
        <w:pStyle w:val="ListBullet"/>
        <w:spacing w:after="60"/>
      </w:pPr>
      <w:r>
        <w:rPr>
          <w:b/>
        </w:rPr>
        <w:t xml:space="preserve">Job-fit score validity: </w:t>
      </w:r>
      <w:r>
        <w:t>The reviewed public information does not establish the predictive accuracy of job-fit scores against independent practical assessments or subsequent job performance. A percentage should not automatically be interpreted as a hiring probability.</w:t>
      </w:r>
    </w:p>
    <w:p>
      <w:pPr>
        <w:pStyle w:val="ListBullet"/>
        <w:spacing w:after="60"/>
      </w:pPr>
      <w:r>
        <w:rPr>
          <w:b/>
        </w:rPr>
        <w:t xml:space="preserve">Proof that learning closes the gap: </w:t>
      </w:r>
      <w:r>
        <w:t>The public materials do not establish how consistently each competency is reassessed after learning or whether practical mastery is required to unlock the next topic.</w:t>
      </w:r>
    </w:p>
    <w:p>
      <w:pPr>
        <w:pStyle w:val="ListBullet"/>
        <w:spacing w:after="60"/>
      </w:pPr>
      <w:r>
        <w:rPr>
          <w:b/>
        </w:rPr>
        <w:t xml:space="preserve">Recommendation transparency: </w:t>
      </w:r>
      <w:r>
        <w:t>The reviewed page does not sufficiently establish course-catalog coverage, course-quality evaluation, free-resource consideration, or how recommendations change after a new assessment.</w:t>
      </w:r>
    </w:p>
    <w:p>
      <w:r>
        <w:rPr>
          <w:b/>
        </w:rPr>
        <w:t xml:space="preserve">Opportunity for LearnUP: </w:t>
      </w:r>
      <w:r>
        <w:t>Combine quizzes with practical exercises and project submissions; explain scores; reassess learners after learning and show evidence behind readiness estimates.</w:t>
      </w:r>
    </w:p>
    <w:p>
      <w:r>
        <w:rPr>
          <w:b/>
        </w:rPr>
        <w:t xml:space="preserve">Official source(s): </w:t>
      </w:r>
      <w:r>
        <w:t>https://www.uden.tech/</w:t>
      </w:r>
    </w:p>
    <w:p>
      <w:pPr>
        <w:pStyle w:val="Heading2"/>
      </w:pPr>
      <w:r>
        <w:t>3.3 LinkedIn Learning</w:t>
      </w:r>
    </w:p>
    <w:p>
      <w:r>
        <w:t>What the platform describes: LinkedIn Learning provides courses, learning paths, skill evaluations, and role-oriented learning resources. LinkedIn Learning skill evaluations are designed to guide learning; their results are not publicly shared with employers.</w:t>
      </w:r>
    </w:p>
    <w:p>
      <w:pPr>
        <w:pStyle w:val="Heading3"/>
      </w:pPr>
      <w:r>
        <w:t>Limitations or evidence gaps to investigate</w:t>
      </w:r>
    </w:p>
    <w:p>
      <w:pPr>
        <w:pStyle w:val="ListBullet"/>
        <w:spacing w:after="60"/>
      </w:pPr>
      <w:r>
        <w:rPr>
          <w:b/>
        </w:rPr>
        <w:t xml:space="preserve">Learning is not competency verification: </w:t>
      </w:r>
      <w:r>
        <w:t>Course participation and completion do not independently establish that a learner can perform a real workplace task.</w:t>
      </w:r>
    </w:p>
    <w:p>
      <w:pPr>
        <w:pStyle w:val="ListBullet"/>
        <w:spacing w:after="60"/>
      </w:pPr>
      <w:r>
        <w:rPr>
          <w:b/>
        </w:rPr>
        <w:t xml:space="preserve">Assessment purpose differs from employer evidence: </w:t>
      </w:r>
      <w:r>
        <w:t>Learning evaluations intended to guide learning should not be treated as equivalent to a publicly verifiable record of practical performance.</w:t>
      </w:r>
    </w:p>
    <w:p>
      <w:pPr>
        <w:pStyle w:val="ListBullet"/>
        <w:spacing w:after="60"/>
      </w:pPr>
      <w:r>
        <w:rPr>
          <w:b/>
        </w:rPr>
        <w:t xml:space="preserve">Learning and recruitment evidence are not interchangeable: </w:t>
      </w:r>
      <w:r>
        <w:t>A completed learning path does not automatically establish mastery or independent employer verification of the corresponding skills.</w:t>
      </w:r>
    </w:p>
    <w:p>
      <w:r>
        <w:rPr>
          <w:b/>
        </w:rPr>
        <w:t xml:space="preserve">Opportunity for LearnUP: </w:t>
      </w:r>
      <w:r>
        <w:t>Maintain a distinct, shareable competency record with practical assessment results, project evidence, criteria, and dates; use it alongside course-completion data for job matching.</w:t>
      </w:r>
    </w:p>
    <w:p>
      <w:r>
        <w:rPr>
          <w:b/>
        </w:rPr>
        <w:t xml:space="preserve">Official source(s): </w:t>
      </w:r>
      <w:r>
        <w:t>https://www.linkedin.com/learning/ | https://www.linkedin.com/help/learning/answer/a1406059</w:t>
      </w:r>
    </w:p>
    <w:p>
      <w:pPr>
        <w:pStyle w:val="Heading2"/>
      </w:pPr>
      <w:r>
        <w:t>3.4 Evelyn Learning Career Pathways AI</w:t>
      </w:r>
    </w:p>
    <w:p>
      <w:r>
        <w:t>What the platform describes: Evelyn Learning describes skill-gap analysis, career matching, job-market insights, personalized learning paths, and progress tracking. Its product page describes using inputs such as self-assessments, transcripts, work samples, and behavioral data.</w:t>
      </w:r>
    </w:p>
    <w:p>
      <w:pPr>
        <w:pStyle w:val="Heading3"/>
      </w:pPr>
      <w:r>
        <w:t>Limitations or evidence gaps to investigate</w:t>
      </w:r>
    </w:p>
    <w:p>
      <w:pPr>
        <w:pStyle w:val="ListBullet"/>
        <w:spacing w:after="60"/>
      </w:pPr>
      <w:r>
        <w:rPr>
          <w:b/>
        </w:rPr>
        <w:t xml:space="preserve">Data and market coverage: </w:t>
      </w:r>
      <w:r>
        <w:t>The quality of a gap report depends on job requirements, competency frameworks, and labor-market data. Public claims do not independently establish coverage for every industry, occupation, or Indian region.</w:t>
      </w:r>
    </w:p>
    <w:p>
      <w:pPr>
        <w:pStyle w:val="ListBullet"/>
        <w:spacing w:after="60"/>
      </w:pPr>
      <w:r>
        <w:rPr>
          <w:b/>
        </w:rPr>
        <w:t xml:space="preserve">Course-catalog dependency: </w:t>
      </w:r>
      <w:r>
        <w:t>The reviewed public page does not fully establish catalog coverage, comparative course-quality scoring, or how the system handles gaps for which no suitable course exists.</w:t>
      </w:r>
    </w:p>
    <w:p>
      <w:pPr>
        <w:pStyle w:val="ListBullet"/>
        <w:spacing w:after="60"/>
      </w:pPr>
      <w:r>
        <w:rPr>
          <w:b/>
        </w:rPr>
        <w:t xml:space="preserve">Outcome claims need validation: </w:t>
      </w:r>
      <w:r>
        <w:t>Advertised placement or career-clarity metrics should be evaluated against the study design, sample size, comparison group, and measurement period before being treated as evidence of effectiveness.</w:t>
      </w:r>
    </w:p>
    <w:p>
      <w:pPr>
        <w:pStyle w:val="ListBullet"/>
        <w:spacing w:after="60"/>
      </w:pPr>
      <w:r>
        <w:rPr>
          <w:b/>
        </w:rPr>
        <w:t xml:space="preserve">Progress tracking versus mastery: </w:t>
      </w:r>
      <w:r>
        <w:t>The public page does not establish whether progress is measured through independent practical assessments, course completion, self-reports, or a combination.</w:t>
      </w:r>
    </w:p>
    <w:p>
      <w:r>
        <w:rPr>
          <w:b/>
        </w:rPr>
        <w:t xml:space="preserve">Opportunity for LearnUP: </w:t>
      </w:r>
      <w:r>
        <w:t>Use locally relevant labor-market information; disclose sources for role requirements; distinguish activity-based progress from demonstrated improvement; validate outcomes independently.</w:t>
      </w:r>
    </w:p>
    <w:p>
      <w:r>
        <w:rPr>
          <w:b/>
        </w:rPr>
        <w:t xml:space="preserve">Official source(s): </w:t>
      </w:r>
      <w:r>
        <w:t>https://www.evelynlearning.com/products/career-pathways</w:t>
      </w:r>
    </w:p>
    <w:p>
      <w:pPr>
        <w:pStyle w:val="Heading2"/>
      </w:pPr>
      <w:r>
        <w:t>3.5 Pantech eLearning Skill Assessment</w:t>
      </w:r>
    </w:p>
    <w:p>
      <w:r>
        <w:t>What the platform describes: Pantech describes a 15-question, 15-minute assessment, with technical-domain questions and personalized course or career-oriented learning recommendations.</w:t>
      </w:r>
    </w:p>
    <w:p>
      <w:pPr>
        <w:pStyle w:val="Heading3"/>
      </w:pPr>
      <w:r>
        <w:t>Limitations or evidence gaps to investigate</w:t>
      </w:r>
    </w:p>
    <w:p>
      <w:pPr>
        <w:pStyle w:val="ListBullet"/>
        <w:spacing w:after="60"/>
      </w:pPr>
      <w:r>
        <w:rPr>
          <w:b/>
        </w:rPr>
        <w:t xml:space="preserve">Short assessment depth: </w:t>
      </w:r>
      <w:r>
        <w:t>Fifteen questions may be useful for initial screening but cannot alone establish proficiency across a broad domain such as software engineering or data science.</w:t>
      </w:r>
    </w:p>
    <w:p>
      <w:pPr>
        <w:pStyle w:val="ListBullet"/>
        <w:spacing w:after="60"/>
      </w:pPr>
      <w:r>
        <w:rPr>
          <w:b/>
        </w:rPr>
        <w:t xml:space="preserve">Breadth versus subskill depth: </w:t>
      </w:r>
      <w:r>
        <w:t>A broad score may not show which specific subskills a learner can apply in a realistic project.</w:t>
      </w:r>
    </w:p>
    <w:p>
      <w:pPr>
        <w:pStyle w:val="ListBullet"/>
        <w:spacing w:after="60"/>
      </w:pPr>
      <w:r>
        <w:rPr>
          <w:b/>
        </w:rPr>
        <w:t xml:space="preserve">Recommendation accuracy not independently established: </w:t>
      </w:r>
      <w:r>
        <w:t>The public page describes recommendations, but the sources reviewed do not establish independent testing of recommendation accuracy or resulting competency improvement.</w:t>
      </w:r>
    </w:p>
    <w:p>
      <w:pPr>
        <w:pStyle w:val="ListBullet"/>
        <w:spacing w:after="60"/>
      </w:pPr>
      <w:r>
        <w:rPr>
          <w:b/>
        </w:rPr>
        <w:t xml:space="preserve">Reassessment cycle needs verification: </w:t>
      </w:r>
      <w:r>
        <w:t>The published workflow emphasizes an initial assessment and learning path; it does not establish whether practical mastery is subsequently assessed and the roadmap updated automatically.</w:t>
      </w:r>
    </w:p>
    <w:p>
      <w:r>
        <w:rPr>
          <w:b/>
        </w:rPr>
        <w:t xml:space="preserve">Opportunity for LearnUP: </w:t>
      </w:r>
      <w:r>
        <w:t>Use short quizzes for diagnosis, then progressively harder assignments and projects; reassess after learning and update the learner's skill profile.</w:t>
      </w:r>
    </w:p>
    <w:p>
      <w:r>
        <w:rPr>
          <w:b/>
        </w:rPr>
        <w:t xml:space="preserve">Official source(s): </w:t>
      </w:r>
      <w:r>
        <w:t>https://www.pantechelearning.com/skill-assessment/</w:t>
      </w:r>
    </w:p>
    <w:p>
      <w:pPr>
        <w:pStyle w:val="Heading1"/>
      </w:pPr>
      <w:r>
        <w:t>4. Comparative Summary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365D"/>
          </w:tcPr>
          <w:p>
            <w:pPr>
              <w:spacing w:after="40"/>
            </w:pPr>
            <w:r/>
            <w:r>
              <w:rPr>
                <w:rFonts w:ascii="Aptos" w:hAnsi="Aptos"/>
                <w:b/>
                <w:color w:val="FFFFFF"/>
                <w:sz w:val="18"/>
              </w:rPr>
              <w:t>Platform</w:t>
            </w:r>
          </w:p>
        </w:tc>
        <w:tc>
          <w:tcPr>
            <w:tcW w:type="dxa" w:w="3312"/>
            <w:vAlign w:val="center"/>
            <w:shd w:fill="17365D"/>
          </w:tcPr>
          <w:p>
            <w:pPr>
              <w:spacing w:after="40"/>
            </w:pPr>
            <w:r/>
            <w:r>
              <w:rPr>
                <w:rFonts w:ascii="Aptos" w:hAnsi="Aptos"/>
                <w:b/>
                <w:color w:val="FFFFFF"/>
                <w:sz w:val="18"/>
              </w:rPr>
              <w:t>Main limitation to investigate</w:t>
            </w:r>
          </w:p>
        </w:tc>
        <w:tc>
          <w:tcPr>
            <w:tcW w:type="dxa" w:w="3312"/>
            <w:vAlign w:val="center"/>
            <w:shd w:fill="17365D"/>
          </w:tcPr>
          <w:p>
            <w:pPr>
              <w:spacing w:after="40"/>
            </w:pPr>
            <w:r/>
            <w:r>
              <w:rPr>
                <w:rFonts w:ascii="Aptos" w:hAnsi="Aptos"/>
                <w:b/>
                <w:color w:val="FFFFFF"/>
                <w:sz w:val="18"/>
              </w:rPr>
              <w:t>Potential LearnUP advantage</w:t>
            </w:r>
          </w:p>
        </w:tc>
      </w:tr>
      <w:tr>
        <w:tc>
          <w:tcPr>
            <w:tcW w:type="dxa" w:w="3312"/>
            <w:vAlign w:val="center"/>
          </w:tcPr>
          <w:p>
            <w:pPr>
              <w:spacing w:after="40"/>
            </w:pPr>
            <w:r/>
            <w:r>
              <w:rPr>
                <w:rFonts w:ascii="Aptos" w:hAnsi="Aptos"/>
                <w:b w:val="0"/>
                <w:sz w:val="17"/>
              </w:rPr>
              <w:t>Koenig Career Compass</w:t>
            </w:r>
          </w:p>
        </w:tc>
        <w:tc>
          <w:tcPr>
            <w:tcW w:type="dxa" w:w="3312"/>
            <w:vAlign w:val="center"/>
          </w:tcPr>
          <w:p>
            <w:pPr>
              <w:spacing w:after="40"/>
            </w:pPr>
            <w:r/>
            <w:r>
              <w:rPr>
                <w:rFonts w:ascii="Aptos" w:hAnsi="Aptos"/>
                <w:b w:val="0"/>
                <w:sz w:val="17"/>
              </w:rPr>
              <w:t>CV-based gap identification and proof of practical mastery</w:t>
            </w:r>
          </w:p>
        </w:tc>
        <w:tc>
          <w:tcPr>
            <w:tcW w:type="dxa" w:w="3312"/>
            <w:vAlign w:val="center"/>
          </w:tcPr>
          <w:p>
            <w:pPr>
              <w:spacing w:after="40"/>
            </w:pPr>
            <w:r/>
            <w:r>
              <w:rPr>
                <w:rFonts w:ascii="Aptos" w:hAnsi="Aptos"/>
                <w:b w:val="0"/>
                <w:sz w:val="17"/>
              </w:rPr>
              <w:t>Practical evidence and assessment history</w:t>
            </w:r>
          </w:p>
        </w:tc>
      </w:tr>
      <w:tr>
        <w:tc>
          <w:tcPr>
            <w:tcW w:type="dxa" w:w="3312"/>
            <w:vAlign w:val="center"/>
          </w:tcPr>
          <w:p>
            <w:pPr>
              <w:spacing w:after="40"/>
            </w:pPr>
            <w:r/>
            <w:r>
              <w:rPr>
                <w:rFonts w:ascii="Aptos" w:hAnsi="Aptos"/>
                <w:b w:val="0"/>
                <w:sz w:val="17"/>
              </w:rPr>
              <w:t>UDEN</w:t>
            </w:r>
          </w:p>
        </w:tc>
        <w:tc>
          <w:tcPr>
            <w:tcW w:type="dxa" w:w="3312"/>
            <w:vAlign w:val="center"/>
          </w:tcPr>
          <w:p>
            <w:pPr>
              <w:spacing w:after="40"/>
            </w:pPr>
            <w:r/>
            <w:r>
              <w:rPr>
                <w:rFonts w:ascii="Aptos" w:hAnsi="Aptos"/>
                <w:b w:val="0"/>
                <w:sz w:val="17"/>
              </w:rPr>
              <w:t>Assessment depth and validity of job-fit scores</w:t>
            </w:r>
          </w:p>
        </w:tc>
        <w:tc>
          <w:tcPr>
            <w:tcW w:type="dxa" w:w="3312"/>
            <w:vAlign w:val="center"/>
          </w:tcPr>
          <w:p>
            <w:pPr>
              <w:spacing w:after="40"/>
            </w:pPr>
            <w:r/>
            <w:r>
              <w:rPr>
                <w:rFonts w:ascii="Aptos" w:hAnsi="Aptos"/>
                <w:b w:val="0"/>
                <w:sz w:val="17"/>
              </w:rPr>
              <w:t>Multi-stage assessment and explainable scoring</w:t>
            </w:r>
          </w:p>
        </w:tc>
      </w:tr>
      <w:tr>
        <w:tc>
          <w:tcPr>
            <w:tcW w:type="dxa" w:w="3312"/>
            <w:vAlign w:val="center"/>
          </w:tcPr>
          <w:p>
            <w:pPr>
              <w:spacing w:after="40"/>
            </w:pPr>
            <w:r/>
            <w:r>
              <w:rPr>
                <w:rFonts w:ascii="Aptos" w:hAnsi="Aptos"/>
                <w:b w:val="0"/>
                <w:sz w:val="17"/>
              </w:rPr>
              <w:t>LinkedIn Learning</w:t>
            </w:r>
          </w:p>
        </w:tc>
        <w:tc>
          <w:tcPr>
            <w:tcW w:type="dxa" w:w="3312"/>
            <w:vAlign w:val="center"/>
          </w:tcPr>
          <w:p>
            <w:pPr>
              <w:spacing w:after="40"/>
            </w:pPr>
            <w:r/>
            <w:r>
              <w:rPr>
                <w:rFonts w:ascii="Aptos" w:hAnsi="Aptos"/>
                <w:b w:val="0"/>
                <w:sz w:val="17"/>
              </w:rPr>
              <w:t>Difference between course completion and employer-verifiable ability</w:t>
            </w:r>
          </w:p>
        </w:tc>
        <w:tc>
          <w:tcPr>
            <w:tcW w:type="dxa" w:w="3312"/>
            <w:vAlign w:val="center"/>
          </w:tcPr>
          <w:p>
            <w:pPr>
              <w:spacing w:after="40"/>
            </w:pPr>
            <w:r/>
            <w:r>
              <w:rPr>
                <w:rFonts w:ascii="Aptos" w:hAnsi="Aptos"/>
                <w:b w:val="0"/>
                <w:sz w:val="17"/>
              </w:rPr>
              <w:t>Shareable evidence connected to each skill</w:t>
            </w:r>
          </w:p>
        </w:tc>
      </w:tr>
      <w:tr>
        <w:tc>
          <w:tcPr>
            <w:tcW w:type="dxa" w:w="3312"/>
            <w:vAlign w:val="center"/>
          </w:tcPr>
          <w:p>
            <w:pPr>
              <w:spacing w:after="40"/>
            </w:pPr>
            <w:r/>
            <w:r>
              <w:rPr>
                <w:rFonts w:ascii="Aptos" w:hAnsi="Aptos"/>
                <w:b w:val="0"/>
                <w:sz w:val="17"/>
              </w:rPr>
              <w:t>Evelyn Learning</w:t>
            </w:r>
          </w:p>
        </w:tc>
        <w:tc>
          <w:tcPr>
            <w:tcW w:type="dxa" w:w="3312"/>
            <w:vAlign w:val="center"/>
          </w:tcPr>
          <w:p>
            <w:pPr>
              <w:spacing w:after="40"/>
            </w:pPr>
            <w:r/>
            <w:r>
              <w:rPr>
                <w:rFonts w:ascii="Aptos" w:hAnsi="Aptos"/>
                <w:b w:val="0"/>
                <w:sz w:val="17"/>
              </w:rPr>
              <w:t>Data coverage, recommendation quality, outcome validation</w:t>
            </w:r>
          </w:p>
        </w:tc>
        <w:tc>
          <w:tcPr>
            <w:tcW w:type="dxa" w:w="3312"/>
            <w:vAlign w:val="center"/>
          </w:tcPr>
          <w:p>
            <w:pPr>
              <w:spacing w:after="40"/>
            </w:pPr>
            <w:r/>
            <w:r>
              <w:rPr>
                <w:rFonts w:ascii="Aptos" w:hAnsi="Aptos"/>
                <w:b w:val="0"/>
                <w:sz w:val="17"/>
              </w:rPr>
              <w:t>Transparent skill mapping and locally validated recommendations</w:t>
            </w:r>
          </w:p>
        </w:tc>
      </w:tr>
      <w:tr>
        <w:tc>
          <w:tcPr>
            <w:tcW w:type="dxa" w:w="3312"/>
            <w:vAlign w:val="center"/>
          </w:tcPr>
          <w:p>
            <w:pPr>
              <w:spacing w:after="40"/>
            </w:pPr>
            <w:r/>
            <w:r>
              <w:rPr>
                <w:rFonts w:ascii="Aptos" w:hAnsi="Aptos"/>
                <w:b w:val="0"/>
                <w:sz w:val="17"/>
              </w:rPr>
              <w:t>Pantech eLearning</w:t>
            </w:r>
          </w:p>
        </w:tc>
        <w:tc>
          <w:tcPr>
            <w:tcW w:type="dxa" w:w="3312"/>
            <w:vAlign w:val="center"/>
          </w:tcPr>
          <w:p>
            <w:pPr>
              <w:spacing w:after="40"/>
            </w:pPr>
            <w:r/>
            <w:r>
              <w:rPr>
                <w:rFonts w:ascii="Aptos" w:hAnsi="Aptos"/>
                <w:b w:val="0"/>
                <w:sz w:val="17"/>
              </w:rPr>
              <w:t>Depth of short initial assessment</w:t>
            </w:r>
          </w:p>
        </w:tc>
        <w:tc>
          <w:tcPr>
            <w:tcW w:type="dxa" w:w="3312"/>
            <w:vAlign w:val="center"/>
          </w:tcPr>
          <w:p>
            <w:pPr>
              <w:spacing w:after="40"/>
            </w:pPr>
            <w:r/>
            <w:r>
              <w:rPr>
                <w:rFonts w:ascii="Aptos" w:hAnsi="Aptos"/>
                <w:b w:val="0"/>
                <w:sz w:val="17"/>
              </w:rPr>
              <w:t>Skill-specific assessment followed by reassessment</w:t>
            </w:r>
          </w:p>
        </w:tc>
      </w:tr>
    </w:tbl>
    <w:p>
      <w:r>
        <w:t>Interpretation: These are proposed differentiation opportunities, not verified claims that competitors lack these features. The public evidence reviewed is insufficient to make a comprehensive claim about every feature, subscription tier, or product update.</w:t>
      </w:r>
    </w:p>
    <w:p>
      <w:pPr>
        <w:pStyle w:val="Heading1"/>
      </w:pPr>
      <w:r>
        <w:t>5. Recommended LearnUP Differentiation</w:t>
      </w:r>
    </w:p>
    <w:p>
      <w:r>
        <w:t>The most promising differentiation is a continuous, evidence-based feedback loop connecting skill-gap diagnosis, course selection, practical mastery, and career readiness.</w:t>
      </w:r>
    </w:p>
    <w:p>
      <w:pPr>
        <w:pStyle w:val="ListNumber"/>
        <w:spacing w:after="60"/>
      </w:pPr>
      <w:r>
        <w:t>Diagnose: compare the learner's current evidence with a target role's requirements.</w:t>
      </w:r>
    </w:p>
    <w:p>
      <w:pPr>
        <w:pStyle w:val="ListNumber"/>
        <w:spacing w:after="60"/>
      </w:pPr>
      <w:r>
        <w:t>Match: recommend a course or resource for each missing skill and explain why it was selected.</w:t>
      </w:r>
    </w:p>
    <w:p>
      <w:pPr>
        <w:pStyle w:val="ListNumber"/>
        <w:spacing w:after="60"/>
      </w:pPr>
      <w:r>
        <w:t>Practice: assign a realistic task aligned with the target skill.</w:t>
      </w:r>
    </w:p>
    <w:p>
      <w:pPr>
        <w:pStyle w:val="ListNumber"/>
        <w:spacing w:after="60"/>
      </w:pPr>
      <w:r>
        <w:t>Verify: evaluate the task using a transparent rubric and preserve the evidence.</w:t>
      </w:r>
    </w:p>
    <w:p>
      <w:pPr>
        <w:pStyle w:val="ListNumber"/>
        <w:spacing w:after="60"/>
      </w:pPr>
      <w:r>
        <w:t>Update: revise the skill profile, roadmap, and job matches based on the result.</w:t>
      </w:r>
    </w:p>
    <w:p>
      <w:pPr>
        <w:pStyle w:val="ListNumber"/>
        <w:spacing w:after="60"/>
      </w:pPr>
      <w:r>
        <w:t>Reassess: periodically retest skills and identify when evidence is outdated.</w:t>
      </w:r>
    </w:p>
    <w:p>
      <w:pPr>
        <w:pStyle w:val="Heading1"/>
      </w:pPr>
      <w:r>
        <w:t>6. Suggested Validation Experiments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365D"/>
          </w:tcPr>
          <w:p>
            <w:pPr>
              <w:spacing w:after="40"/>
            </w:pPr>
            <w:r/>
            <w:r>
              <w:rPr>
                <w:rFonts w:ascii="Aptos" w:hAnsi="Aptos"/>
                <w:b/>
                <w:color w:val="FFFFFF"/>
                <w:sz w:val="18"/>
              </w:rPr>
              <w:t>Experiment</w:t>
            </w:r>
          </w:p>
        </w:tc>
        <w:tc>
          <w:tcPr>
            <w:tcW w:type="dxa" w:w="4968"/>
            <w:vAlign w:val="center"/>
            <w:shd w:fill="17365D"/>
          </w:tcPr>
          <w:p>
            <w:pPr>
              <w:spacing w:after="40"/>
            </w:pPr>
            <w:r/>
            <w:r>
              <w:rPr>
                <w:rFonts w:ascii="Aptos" w:hAnsi="Aptos"/>
                <w:b/>
                <w:color w:val="FFFFFF"/>
                <w:sz w:val="18"/>
              </w:rPr>
              <w:t>Measure</w:t>
            </w:r>
          </w:p>
        </w:tc>
      </w:tr>
      <w:tr>
        <w:tc>
          <w:tcPr>
            <w:tcW w:type="dxa" w:w="4968"/>
            <w:vAlign w:val="center"/>
          </w:tcPr>
          <w:p>
            <w:pPr>
              <w:spacing w:after="40"/>
            </w:pPr>
            <w:r/>
            <w:r>
              <w:rPr>
                <w:rFonts w:ascii="Aptos" w:hAnsi="Aptos"/>
                <w:b w:val="0"/>
                <w:sz w:val="18"/>
              </w:rPr>
              <w:t>Skill verification</w:t>
            </w:r>
          </w:p>
        </w:tc>
        <w:tc>
          <w:tcPr>
            <w:tcW w:type="dxa" w:w="4968"/>
            <w:vAlign w:val="center"/>
          </w:tcPr>
          <w:p>
            <w:pPr>
              <w:spacing w:after="40"/>
            </w:pPr>
            <w:r/>
            <w:r>
              <w:rPr>
                <w:rFonts w:ascii="Aptos" w:hAnsi="Aptos"/>
                <w:b w:val="0"/>
                <w:sz w:val="18"/>
              </w:rPr>
              <w:t>Agreement between LearnUP's assessment and independent expert evaluation.</w:t>
            </w:r>
          </w:p>
        </w:tc>
      </w:tr>
      <w:tr>
        <w:tc>
          <w:tcPr>
            <w:tcW w:type="dxa" w:w="4968"/>
            <w:vAlign w:val="center"/>
          </w:tcPr>
          <w:p>
            <w:pPr>
              <w:spacing w:after="40"/>
            </w:pPr>
            <w:r/>
            <w:r>
              <w:rPr>
                <w:rFonts w:ascii="Aptos" w:hAnsi="Aptos"/>
                <w:b w:val="0"/>
                <w:sz w:val="18"/>
              </w:rPr>
              <w:t>Assignment-gated learning</w:t>
            </w:r>
          </w:p>
        </w:tc>
        <w:tc>
          <w:tcPr>
            <w:tcW w:type="dxa" w:w="4968"/>
            <w:vAlign w:val="center"/>
          </w:tcPr>
          <w:p>
            <w:pPr>
              <w:spacing w:after="40"/>
            </w:pPr>
            <w:r/>
            <w:r>
              <w:rPr>
                <w:rFonts w:ascii="Aptos" w:hAnsi="Aptos"/>
                <w:b w:val="0"/>
                <w:sz w:val="18"/>
              </w:rPr>
              <w:t>Change between baseline and final practical assessment.</w:t>
            </w:r>
          </w:p>
        </w:tc>
      </w:tr>
      <w:tr>
        <w:tc>
          <w:tcPr>
            <w:tcW w:type="dxa" w:w="4968"/>
            <w:vAlign w:val="center"/>
          </w:tcPr>
          <w:p>
            <w:pPr>
              <w:spacing w:after="40"/>
            </w:pPr>
            <w:r/>
            <w:r>
              <w:rPr>
                <w:rFonts w:ascii="Aptos" w:hAnsi="Aptos"/>
                <w:b w:val="0"/>
                <w:sz w:val="18"/>
              </w:rPr>
              <w:t>Personalized roadmap</w:t>
            </w:r>
          </w:p>
        </w:tc>
        <w:tc>
          <w:tcPr>
            <w:tcW w:type="dxa" w:w="4968"/>
            <w:vAlign w:val="center"/>
          </w:tcPr>
          <w:p>
            <w:pPr>
              <w:spacing w:after="40"/>
            </w:pPr>
            <w:r/>
            <w:r>
              <w:rPr>
                <w:rFonts w:ascii="Aptos" w:hAnsi="Aptos"/>
                <w:b w:val="0"/>
                <w:sz w:val="18"/>
              </w:rPr>
              <w:t>Time and number of attempts needed to close a defined skill gap.</w:t>
            </w:r>
          </w:p>
        </w:tc>
      </w:tr>
      <w:tr>
        <w:tc>
          <w:tcPr>
            <w:tcW w:type="dxa" w:w="4968"/>
            <w:vAlign w:val="center"/>
          </w:tcPr>
          <w:p>
            <w:pPr>
              <w:spacing w:after="40"/>
            </w:pPr>
            <w:r/>
            <w:r>
              <w:rPr>
                <w:rFonts w:ascii="Aptos" w:hAnsi="Aptos"/>
                <w:b w:val="0"/>
                <w:sz w:val="18"/>
              </w:rPr>
              <w:t>Course matching</w:t>
            </w:r>
          </w:p>
        </w:tc>
        <w:tc>
          <w:tcPr>
            <w:tcW w:type="dxa" w:w="4968"/>
            <w:vAlign w:val="center"/>
          </w:tcPr>
          <w:p>
            <w:pPr>
              <w:spacing w:after="40"/>
            </w:pPr>
            <w:r/>
            <w:r>
              <w:rPr>
                <w:rFonts w:ascii="Aptos" w:hAnsi="Aptos"/>
                <w:b w:val="0"/>
                <w:sz w:val="18"/>
              </w:rPr>
              <w:t>Relevance and usefulness ratings from learners and subject-matter experts; performance after the course.</w:t>
            </w:r>
          </w:p>
        </w:tc>
      </w:tr>
      <w:tr>
        <w:tc>
          <w:tcPr>
            <w:tcW w:type="dxa" w:w="4968"/>
            <w:vAlign w:val="center"/>
          </w:tcPr>
          <w:p>
            <w:pPr>
              <w:spacing w:after="40"/>
            </w:pPr>
            <w:r/>
            <w:r>
              <w:rPr>
                <w:rFonts w:ascii="Aptos" w:hAnsi="Aptos"/>
                <w:b w:val="0"/>
                <w:sz w:val="18"/>
              </w:rPr>
              <w:t>Job matching</w:t>
            </w:r>
          </w:p>
        </w:tc>
        <w:tc>
          <w:tcPr>
            <w:tcW w:type="dxa" w:w="4968"/>
            <w:vAlign w:val="center"/>
          </w:tcPr>
          <w:p>
            <w:pPr>
              <w:spacing w:after="40"/>
            </w:pPr>
            <w:r/>
            <w:r>
              <w:rPr>
                <w:rFonts w:ascii="Aptos" w:hAnsi="Aptos"/>
                <w:b w:val="0"/>
                <w:sz w:val="18"/>
              </w:rPr>
              <w:t>Precision of recommendations and usefulness of missing-skill explanations.</w:t>
            </w:r>
          </w:p>
        </w:tc>
      </w:tr>
      <w:tr>
        <w:tc>
          <w:tcPr>
            <w:tcW w:type="dxa" w:w="4968"/>
            <w:vAlign w:val="center"/>
          </w:tcPr>
          <w:p>
            <w:pPr>
              <w:spacing w:after="40"/>
            </w:pPr>
            <w:r/>
            <w:r>
              <w:rPr>
                <w:rFonts w:ascii="Aptos" w:hAnsi="Aptos"/>
                <w:b w:val="0"/>
                <w:sz w:val="18"/>
              </w:rPr>
              <w:t>Skill Passport</w:t>
            </w:r>
          </w:p>
        </w:tc>
        <w:tc>
          <w:tcPr>
            <w:tcW w:type="dxa" w:w="4968"/>
            <w:vAlign w:val="center"/>
          </w:tcPr>
          <w:p>
            <w:pPr>
              <w:spacing w:after="40"/>
            </w:pPr>
            <w:r/>
            <w:r>
              <w:rPr>
                <w:rFonts w:ascii="Aptos" w:hAnsi="Aptos"/>
                <w:b w:val="0"/>
                <w:sz w:val="18"/>
              </w:rPr>
              <w:t>Whether employers correctly interpret the evidence and assessment criteria.</w:t>
            </w:r>
          </w:p>
        </w:tc>
      </w:tr>
      <w:tr>
        <w:tc>
          <w:tcPr>
            <w:tcW w:type="dxa" w:w="4968"/>
            <w:vAlign w:val="center"/>
          </w:tcPr>
          <w:p>
            <w:pPr>
              <w:spacing w:after="40"/>
            </w:pPr>
            <w:r/>
            <w:r>
              <w:rPr>
                <w:rFonts w:ascii="Aptos" w:hAnsi="Aptos"/>
                <w:b w:val="0"/>
                <w:sz w:val="18"/>
              </w:rPr>
              <w:t>Fairness</w:t>
            </w:r>
          </w:p>
        </w:tc>
        <w:tc>
          <w:tcPr>
            <w:tcW w:type="dxa" w:w="4968"/>
            <w:vAlign w:val="center"/>
          </w:tcPr>
          <w:p>
            <w:pPr>
              <w:spacing w:after="40"/>
            </w:pPr>
            <w:r/>
            <w:r>
              <w:rPr>
                <w:rFonts w:ascii="Aptos" w:hAnsi="Aptos"/>
                <w:b w:val="0"/>
                <w:sz w:val="18"/>
              </w:rPr>
              <w:t>Differences in assessment outcomes across language and learner groups.</w:t>
            </w:r>
          </w:p>
        </w:tc>
      </w:tr>
    </w:tbl>
    <w:p>
      <w:pPr>
        <w:pStyle w:val="Heading1"/>
      </w:pPr>
      <w:r>
        <w:t>7. Recommended MVP Scope</w:t>
      </w:r>
    </w:p>
    <w:p>
      <w:r>
        <w:t>Consistent with the original LearnUP USP document, begin with one target role—for example, Data Analyst—rather than attempting to implement every feature at once.</w:t>
      </w:r>
    </w:p>
    <w:p>
      <w:pPr>
        <w:pStyle w:val="ListBullet"/>
        <w:spacing w:after="60"/>
      </w:pPr>
      <w:r>
        <w:t>Resume and job-description analysis.</w:t>
      </w:r>
    </w:p>
    <w:p>
      <w:pPr>
        <w:pStyle w:val="ListBullet"/>
        <w:spacing w:after="60"/>
      </w:pPr>
      <w:r>
        <w:t>Initial assessment that separates self-reported skills from tested skills.</w:t>
      </w:r>
    </w:p>
    <w:p>
      <w:pPr>
        <w:pStyle w:val="ListBullet"/>
        <w:spacing w:after="60"/>
      </w:pPr>
      <w:r>
        <w:t>Personalized, assignment-gated roadmap with a test-out option.</w:t>
      </w:r>
    </w:p>
    <w:p>
      <w:pPr>
        <w:pStyle w:val="ListBullet"/>
        <w:spacing w:after="60"/>
      </w:pPr>
      <w:r>
        <w:t>One realistic task simulation, such as cleaning a dataset and writing SQL queries.</w:t>
      </w:r>
    </w:p>
    <w:p>
      <w:pPr>
        <w:pStyle w:val="ListBullet"/>
        <w:spacing w:after="60"/>
      </w:pPr>
      <w:r>
        <w:t>Skill Passport entry showing rubric, score, project evidence, and assessment date.</w:t>
      </w:r>
    </w:p>
    <w:p>
      <w:pPr>
        <w:pStyle w:val="ListBullet"/>
        <w:spacing w:after="60"/>
      </w:pPr>
      <w:r>
        <w:t>Explainable job matching showing matched requirements, missing skills, and recommended next actions.</w:t>
      </w:r>
    </w:p>
    <w:p>
      <w:pPr>
        <w:pStyle w:val="Heading1"/>
      </w:pPr>
      <w:r>
        <w:t>8. Research Conclusions</w:t>
      </w:r>
    </w:p>
    <w:p>
      <w:r>
        <w:t>Existing platforms already advertise overlapping capabilities. LearnUP should not claim to have invented personalized learning, AI interviews, resume analysis, or course recommendation. The defensible proposition is the quality and continuity of its evidence-based feedback loop.</w:t>
      </w:r>
    </w:p>
    <w:p>
      <w:r>
        <w:t>The most important question to test is: Can an existing platform identify a learner's skill gap, recommend suitable learning, verify real-world mastery after learning, and automatically update the learner's career-readiness profile? The answer must be established through hands-on product testing, documented evidence, and measurable learner outcomes.</w:t>
      </w:r>
    </w:p>
    <w:p>
      <w:pPr>
        <w:pStyle w:val="Heading1"/>
      </w:pPr>
      <w:r>
        <w:t>9. Sources and Further Reading</w:t>
      </w:r>
    </w:p>
    <w:p>
      <w:pPr>
        <w:pStyle w:val="ListBullet"/>
        <w:spacing w:after="60"/>
      </w:pPr>
      <w:r>
        <w:rPr>
          <w:b/>
        </w:rPr>
        <w:t xml:space="preserve">Koenig Career Compass: </w:t>
      </w:r>
      <w:r>
        <w:t>https://academy.koenig-solutions.com/career</w:t>
      </w:r>
    </w:p>
    <w:p>
      <w:pPr>
        <w:pStyle w:val="ListBullet"/>
        <w:spacing w:after="60"/>
      </w:pPr>
      <w:r>
        <w:rPr>
          <w:b/>
        </w:rPr>
        <w:t xml:space="preserve">Koenig course-generation announcement: </w:t>
      </w:r>
      <w:r>
        <w:t>https://academy.koenig-solutions.com/press/on-demand-course-generation</w:t>
      </w:r>
    </w:p>
    <w:p>
      <w:pPr>
        <w:pStyle w:val="ListBullet"/>
        <w:spacing w:after="60"/>
      </w:pPr>
      <w:r>
        <w:rPr>
          <w:b/>
        </w:rPr>
        <w:t xml:space="preserve">UDEN: </w:t>
      </w:r>
      <w:r>
        <w:t>https://www.uden.tech/</w:t>
      </w:r>
    </w:p>
    <w:p>
      <w:pPr>
        <w:pStyle w:val="ListBullet"/>
        <w:spacing w:after="60"/>
      </w:pPr>
      <w:r>
        <w:rPr>
          <w:b/>
        </w:rPr>
        <w:t xml:space="preserve">LinkedIn Learning: </w:t>
      </w:r>
      <w:r>
        <w:t>https://www.linkedin.com/learning/</w:t>
      </w:r>
    </w:p>
    <w:p>
      <w:pPr>
        <w:pStyle w:val="ListBullet"/>
        <w:spacing w:after="60"/>
      </w:pPr>
      <w:r>
        <w:rPr>
          <w:b/>
        </w:rPr>
        <w:t xml:space="preserve">LinkedIn Learning assessments help: </w:t>
      </w:r>
      <w:r>
        <w:t>https://www.linkedin.com/help/learning/answer/a1406059</w:t>
      </w:r>
    </w:p>
    <w:p>
      <w:pPr>
        <w:pStyle w:val="ListBullet"/>
        <w:spacing w:after="60"/>
      </w:pPr>
      <w:r>
        <w:rPr>
          <w:b/>
        </w:rPr>
        <w:t xml:space="preserve">Evelyn Learning Career Pathways AI: </w:t>
      </w:r>
      <w:r>
        <w:t>https://www.evelynlearning.com/products/career-pathways</w:t>
      </w:r>
    </w:p>
    <w:p>
      <w:pPr>
        <w:pStyle w:val="ListBullet"/>
        <w:spacing w:after="60"/>
      </w:pPr>
      <w:r>
        <w:rPr>
          <w:b/>
        </w:rPr>
        <w:t xml:space="preserve">Pantech eLearning Skill Assessment: </w:t>
      </w:r>
      <w:r>
        <w:t>https://www.pantechelearning.com/skill-assessment/</w:t>
      </w:r>
    </w:p>
    <w:p>
      <w:pPr>
        <w:pStyle w:val="ListBullet"/>
        <w:spacing w:after="60"/>
      </w:pPr>
      <w:r>
        <w:rPr>
          <w:b/>
        </w:rPr>
        <w:t xml:space="preserve">OECD — Anticipating Skill Needs and Adapting Higher Education (2026): </w:t>
      </w:r>
      <w:r>
        <w:t>https://www.oecd.org/en/publications/anticipating-skill-needs-and-adapting-higher-education_827b3ca4-en.html</w:t>
      </w:r>
    </w:p>
    <w:p>
      <w:pPr>
        <w:pStyle w:val="ListBullet"/>
        <w:spacing w:after="60"/>
      </w:pPr>
      <w:r>
        <w:rPr>
          <w:b/>
        </w:rPr>
        <w:t xml:space="preserve">World Economic Forum — Future of Jobs Report 2025: </w:t>
      </w:r>
      <w:r>
        <w:t>https://www.weforum.org/publications/the-future-of-jobs-report-2025/in-full/4-workforce-strategies/</w:t>
      </w:r>
    </w:p>
    <w:p>
      <w:pPr>
        <w:pStyle w:val="ListBullet"/>
        <w:spacing w:after="60"/>
      </w:pPr>
      <w:r>
        <w:rPr>
          <w:b/>
        </w:rPr>
        <w:t xml:space="preserve">UNESCO — Towards a Common Definition of Micro-Credentials: </w:t>
      </w:r>
      <w:r>
        <w:t>https://unesdoc.unesco.org/in/documentViewer.xhtml?ark=%2Fark%3A%2F48223%2Fpf0000&amp;file=%2Fin%2Frest%2FannotationSVC%2FDownloadWatermarkedAttachment%2Fattach_import_2da68a70-ba6a-4af4-8381-bbef7425253c%3F_%3D381668eng.pdf&amp;id=p%3A%3Ausmarcdef_0000381668&amp;locale=en&amp;multi=true&amp;v=2.1.196</w:t>
      </w:r>
    </w:p>
    <w:p>
      <w:r>
        <w:t>Research note: Product pages and public descriptions can change. Before using this analysis in a pitch, research paper, or judging presentation, re-check current product functionality, pricing and availability, and record the date of each test.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LearnUP Competitor Analysis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