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840" w:after="160" w:line="300" w:lineRule="auto"/>
      </w:pPr>
      <w:r>
        <w:rPr>
          <w:rFonts w:ascii="Calibri" w:hAnsi="Calibri"/>
          <w:b/>
          <w:i w:val="0"/>
          <w:color w:val="657D12"/>
          <w:sz w:val="18"/>
        </w:rPr>
        <w:t>SPESIFIKASI KEBUTUHAN PERANGKAT LUNAK</w:t>
      </w:r>
    </w:p>
    <w:p>
      <w:pPr>
        <w:keepNext w:val="0"/>
        <w:spacing w:before="0" w:after="80" w:line="300" w:lineRule="auto"/>
      </w:pPr>
      <w:r>
        <w:rPr>
          <w:rFonts w:ascii="Calibri" w:hAnsi="Calibri"/>
          <w:b/>
          <w:i w:val="0"/>
          <w:color w:val="171714"/>
          <w:sz w:val="60"/>
        </w:rPr>
        <w:t>VOBIA ERP</w:t>
      </w:r>
    </w:p>
    <w:p>
      <w:pPr>
        <w:keepNext w:val="0"/>
        <w:spacing w:before="0" w:after="520" w:line="300" w:lineRule="auto"/>
      </w:pPr>
      <w:r>
        <w:rPr>
          <w:rFonts w:ascii="Calibri" w:hAnsi="Calibri"/>
          <w:b w:val="0"/>
          <w:i w:val="0"/>
          <w:color w:val="6F716A"/>
          <w:sz w:val="30"/>
        </w:rPr>
        <w:t>Baseline kebutuhan bisnis, data, kontrol, dan acceptance</w:t>
      </w:r>
    </w:p>
    <w:tbl>
      <w:tblPr>
        <w:tblW w:type="dxa" w:w="9360"/>
        <w:tblLayout w:type="fixed"/>
        <w:tblLook w:firstColumn="1" w:firstRow="1" w:lastColumn="0" w:lastRow="0" w:noHBand="0" w:noVBand="1" w:val="04A0"/>
        <w:tblInd w:w="120" w:type="dxa"/>
      </w:tblPr>
      <w:tblGrid>
        <w:gridCol w:w="2500"/>
        <w:gridCol w:w="6860"/>
      </w:tblGrid>
      <w:tr>
        <w:trPr>
          <w:cantSplit/>
        </w:trPr>
        <w:tc>
          <w:tcPr>
            <w:tcW w:type="dxa" w:w="2500"/>
            <w:vAlign w:val="center"/>
            <w:shd w:fill="F5F4EF"/>
            <w:tcMar>
              <w:top w:w="80" w:type="dxa"/>
              <w:start w:w="120" w:type="dxa"/>
              <w:bottom w:w="80" w:type="dxa"/>
              <w:end w:w="120" w:type="dxa"/>
            </w:tcMar>
          </w:tcPr>
          <w:p>
            <w:pPr>
              <w:spacing w:before="0" w:after="0" w:line="269" w:lineRule="auto"/>
              <w:jc w:val="left"/>
            </w:pPr>
            <w:r/>
            <w:r>
              <w:rPr>
                <w:rFonts w:ascii="Calibri" w:hAnsi="Calibri"/>
                <w:b/>
                <w:color w:val="657D12"/>
                <w:sz w:val="18"/>
              </w:rPr>
              <w:t>Nomor dokumen</w:t>
            </w:r>
          </w:p>
        </w:tc>
        <w:tc>
          <w:tcPr>
            <w:tcW w:type="dxa" w:w="68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9"/>
              </w:rPr>
              <w:t>VOB-ERP-SKPL-001</w:t>
            </w:r>
          </w:p>
        </w:tc>
      </w:tr>
      <w:tr>
        <w:trPr>
          <w:cantSplit/>
        </w:trPr>
        <w:tc>
          <w:tcPr>
            <w:tcW w:type="dxa" w:w="2500"/>
            <w:vAlign w:val="center"/>
            <w:shd w:fill="F5F4EF"/>
            <w:tcMar>
              <w:top w:w="80" w:type="dxa"/>
              <w:start w:w="120" w:type="dxa"/>
              <w:bottom w:w="80" w:type="dxa"/>
              <w:end w:w="120" w:type="dxa"/>
            </w:tcMar>
          </w:tcPr>
          <w:p>
            <w:pPr>
              <w:spacing w:before="0" w:after="0" w:line="269" w:lineRule="auto"/>
              <w:jc w:val="left"/>
            </w:pPr>
            <w:r/>
            <w:r>
              <w:rPr>
                <w:rFonts w:ascii="Calibri" w:hAnsi="Calibri"/>
                <w:b/>
                <w:color w:val="657D12"/>
                <w:sz w:val="18"/>
              </w:rPr>
              <w:t>Versi</w:t>
            </w:r>
          </w:p>
        </w:tc>
        <w:tc>
          <w:tcPr>
            <w:tcW w:type="dxa" w:w="68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9"/>
              </w:rPr>
              <w:t>1.0</w:t>
            </w:r>
          </w:p>
        </w:tc>
      </w:tr>
      <w:tr>
        <w:trPr>
          <w:cantSplit/>
        </w:trPr>
        <w:tc>
          <w:tcPr>
            <w:tcW w:type="dxa" w:w="2500"/>
            <w:vAlign w:val="center"/>
            <w:shd w:fill="F5F4EF"/>
            <w:tcMar>
              <w:top w:w="80" w:type="dxa"/>
              <w:start w:w="120" w:type="dxa"/>
              <w:bottom w:w="80" w:type="dxa"/>
              <w:end w:w="120" w:type="dxa"/>
            </w:tcMar>
          </w:tcPr>
          <w:p>
            <w:pPr>
              <w:spacing w:before="0" w:after="0" w:line="269" w:lineRule="auto"/>
              <w:jc w:val="left"/>
            </w:pPr>
            <w:r/>
            <w:r>
              <w:rPr>
                <w:rFonts w:ascii="Calibri" w:hAnsi="Calibri"/>
                <w:b/>
                <w:color w:val="657D12"/>
                <w:sz w:val="18"/>
              </w:rPr>
              <w:t>Status</w:t>
            </w:r>
          </w:p>
        </w:tc>
        <w:tc>
          <w:tcPr>
            <w:tcW w:type="dxa" w:w="68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9"/>
              </w:rPr>
              <w:t>Baseline untuk review dan persetujuan Adit</w:t>
            </w:r>
          </w:p>
        </w:tc>
      </w:tr>
      <w:tr>
        <w:trPr>
          <w:cantSplit/>
        </w:trPr>
        <w:tc>
          <w:tcPr>
            <w:tcW w:type="dxa" w:w="2500"/>
            <w:vAlign w:val="center"/>
            <w:shd w:fill="F5F4EF"/>
            <w:tcMar>
              <w:top w:w="80" w:type="dxa"/>
              <w:start w:w="120" w:type="dxa"/>
              <w:bottom w:w="80" w:type="dxa"/>
              <w:end w:w="120" w:type="dxa"/>
            </w:tcMar>
          </w:tcPr>
          <w:p>
            <w:pPr>
              <w:spacing w:before="0" w:after="0" w:line="269" w:lineRule="auto"/>
              <w:jc w:val="left"/>
            </w:pPr>
            <w:r/>
            <w:r>
              <w:rPr>
                <w:rFonts w:ascii="Calibri" w:hAnsi="Calibri"/>
                <w:b/>
                <w:color w:val="657D12"/>
                <w:sz w:val="18"/>
              </w:rPr>
              <w:t>Tanggal</w:t>
            </w:r>
          </w:p>
        </w:tc>
        <w:tc>
          <w:tcPr>
            <w:tcW w:type="dxa" w:w="68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9"/>
              </w:rPr>
              <w:t>20 Agustus 2026</w:t>
            </w:r>
          </w:p>
        </w:tc>
      </w:tr>
      <w:tr>
        <w:trPr>
          <w:cantSplit/>
        </w:trPr>
        <w:tc>
          <w:tcPr>
            <w:tcW w:type="dxa" w:w="2500"/>
            <w:vAlign w:val="center"/>
            <w:shd w:fill="F5F4EF"/>
            <w:tcMar>
              <w:top w:w="80" w:type="dxa"/>
              <w:start w:w="120" w:type="dxa"/>
              <w:bottom w:w="80" w:type="dxa"/>
              <w:end w:w="120" w:type="dxa"/>
            </w:tcMar>
          </w:tcPr>
          <w:p>
            <w:pPr>
              <w:spacing w:before="0" w:after="0" w:line="269" w:lineRule="auto"/>
              <w:jc w:val="left"/>
            </w:pPr>
            <w:r/>
            <w:r>
              <w:rPr>
                <w:rFonts w:ascii="Calibri" w:hAnsi="Calibri"/>
                <w:b/>
                <w:color w:val="657D12"/>
                <w:sz w:val="18"/>
              </w:rPr>
              <w:t>Pemilik produk</w:t>
            </w:r>
          </w:p>
        </w:tc>
        <w:tc>
          <w:tcPr>
            <w:tcW w:type="dxa" w:w="68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9"/>
              </w:rPr>
              <w:t>Aditya (Adit)</w:t>
            </w:r>
          </w:p>
        </w:tc>
      </w:tr>
      <w:tr>
        <w:trPr>
          <w:cantSplit/>
        </w:trPr>
        <w:tc>
          <w:tcPr>
            <w:tcW w:type="dxa" w:w="2500"/>
            <w:vAlign w:val="center"/>
            <w:shd w:fill="F5F4EF"/>
            <w:tcMar>
              <w:top w:w="80" w:type="dxa"/>
              <w:start w:w="120" w:type="dxa"/>
              <w:bottom w:w="80" w:type="dxa"/>
              <w:end w:w="120" w:type="dxa"/>
            </w:tcMar>
          </w:tcPr>
          <w:p>
            <w:pPr>
              <w:spacing w:before="0" w:after="0" w:line="269" w:lineRule="auto"/>
              <w:jc w:val="left"/>
            </w:pPr>
            <w:r/>
            <w:r>
              <w:rPr>
                <w:rFonts w:ascii="Calibri" w:hAnsi="Calibri"/>
                <w:b/>
                <w:color w:val="657D12"/>
                <w:sz w:val="18"/>
              </w:rPr>
              <w:t>Penyusun</w:t>
            </w:r>
          </w:p>
        </w:tc>
        <w:tc>
          <w:tcPr>
            <w:tcW w:type="dxa" w:w="68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9"/>
              </w:rPr>
              <w:t>Samuel</w:t>
            </w:r>
          </w:p>
        </w:tc>
      </w:tr>
      <w:tr>
        <w:trPr>
          <w:cantSplit/>
        </w:trPr>
        <w:tc>
          <w:tcPr>
            <w:tcW w:type="dxa" w:w="2500"/>
            <w:vAlign w:val="center"/>
            <w:shd w:fill="F5F4EF"/>
            <w:tcMar>
              <w:top w:w="80" w:type="dxa"/>
              <w:start w:w="120" w:type="dxa"/>
              <w:bottom w:w="80" w:type="dxa"/>
              <w:end w:w="120" w:type="dxa"/>
            </w:tcMar>
          </w:tcPr>
          <w:p>
            <w:pPr>
              <w:spacing w:before="0" w:after="0" w:line="269" w:lineRule="auto"/>
              <w:jc w:val="left"/>
            </w:pPr>
            <w:r/>
            <w:r>
              <w:rPr>
                <w:rFonts w:ascii="Calibri" w:hAnsi="Calibri"/>
                <w:b/>
                <w:color w:val="657D12"/>
                <w:sz w:val="18"/>
              </w:rPr>
              <w:t>Klasifikasi</w:t>
            </w:r>
          </w:p>
        </w:tc>
        <w:tc>
          <w:tcPr>
            <w:tcW w:type="dxa" w:w="68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9"/>
              </w:rPr>
              <w:t>Internal Vobia</w:t>
            </w:r>
          </w:p>
        </w:tc>
      </w:tr>
    </w:tbl>
    <w:p>
      <w:pPr>
        <w:keepNext w:val="0"/>
        <w:spacing w:before="0" w:after="200" w:line="300" w:lineRule="auto"/>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start w:w="180" w:type="dxa"/>
              <w:bottom w:w="150" w:type="dxa"/>
              <w:end w:w="180" w:type="dxa"/>
            </w:tcMar>
            <w:shd w:fill="E9F6BE"/>
          </w:tcPr>
          <w:p>
            <w:pPr>
              <w:spacing w:after="40"/>
            </w:pPr>
            <w:r>
              <w:rPr>
                <w:rFonts w:ascii="Calibri" w:hAnsi="Calibri"/>
                <w:b/>
                <w:color w:val="657D12"/>
                <w:sz w:val="17"/>
              </w:rPr>
              <w:t>STATUS DOKUMEN</w:t>
            </w:r>
          </w:p>
          <w:p>
            <w:pPr>
              <w:spacing w:after="0" w:line="288" w:lineRule="auto"/>
            </w:pPr>
            <w:r>
              <w:rPr>
                <w:rFonts w:ascii="Calibri" w:hAnsi="Calibri"/>
                <w:color w:val="171714"/>
                <w:sz w:val="20"/>
              </w:rPr>
              <w:t>Dokumen ini mengonsolidasikan kebutuhan yang sudah teruji di Google Sheets dan ERP lokal. Label Implemented &amp; Verified bukan persetujuan cutover. Production deployment, supplier/warehouse master, backup, dan tujuh parallel-run cycle tetap membutuhkan keputusan terpisah.</w:t>
            </w:r>
          </w:p>
        </w:tc>
      </w:tr>
    </w:tbl>
    <w:p>
      <w:pPr>
        <w:keepNext w:val="0"/>
        <w:spacing w:before="0" w:after="80" w:line="300" w:lineRule="auto"/>
      </w:pPr>
    </w:p>
    <w:p>
      <w:pPr>
        <w:keepNext w:val="0"/>
        <w:spacing w:before="280" w:after="0" w:line="300" w:lineRule="auto"/>
      </w:pPr>
      <w:r>
        <w:rPr>
          <w:rFonts w:ascii="Calibri" w:hAnsi="Calibri"/>
          <w:b w:val="0"/>
          <w:i/>
          <w:color w:val="6F716A"/>
          <w:sz w:val="19"/>
        </w:rPr>
        <w:t>Dokumen ini bersifat living specification. Perubahan requirement wajib menaikkan versi/revisi dan menjaga traceability ke kode, database, serta test.</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Pr>
      <w:r>
        <w:t>Kontrol dokumen</w:t>
      </w:r>
    </w:p>
    <w:tbl>
      <w:tblPr>
        <w:tblW w:type="dxa" w:w="9360"/>
        <w:tblLayout w:type="fixed"/>
        <w:tblLook w:firstColumn="1" w:firstRow="1" w:lastColumn="0" w:lastRow="0" w:noHBand="0" w:noVBand="1" w:val="04A0"/>
        <w:tblInd w:w="120" w:type="dxa"/>
      </w:tblPr>
      <w:tblGrid>
        <w:gridCol w:w="900"/>
        <w:gridCol w:w="1500"/>
        <w:gridCol w:w="5360"/>
        <w:gridCol w:w="1600"/>
      </w:tblGrid>
      <w:tr>
        <w:trPr>
          <w:tblHeader w:val="true"/>
        </w:trPr>
        <w:tc>
          <w:tcPr>
            <w:tcW w:type="dxa" w:w="9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Versi</w:t>
            </w:r>
          </w:p>
        </w:tc>
        <w:tc>
          <w:tcPr>
            <w:tcW w:type="dxa" w:w="15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Tanggal</w:t>
            </w:r>
          </w:p>
        </w:tc>
        <w:tc>
          <w:tcPr>
            <w:tcW w:type="dxa" w:w="536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Perubahan</w:t>
            </w:r>
          </w:p>
        </w:tc>
        <w:tc>
          <w:tcPr>
            <w:tcW w:type="dxa" w:w="16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90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7"/>
              </w:rPr>
              <w:t>1.0</w:t>
            </w:r>
          </w:p>
        </w:tc>
        <w:tc>
          <w:tcPr>
            <w:tcW w:type="dxa" w:w="15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20 Agu 2026</w:t>
            </w:r>
          </w:p>
        </w:tc>
        <w:tc>
          <w:tcPr>
            <w:tcW w:type="dxa" w:w="53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Konsolidasi blueprint, source audit, knowledge bisnis, implementasi Sales, fondasi Operation, dan acceptance evidence.</w:t>
            </w:r>
          </w:p>
        </w:tc>
        <w:tc>
          <w:tcPr>
            <w:tcW w:type="dxa" w:w="16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Untuk review Adit</w:t>
            </w:r>
          </w:p>
        </w:tc>
      </w:tr>
    </w:tbl>
    <w:p>
      <w:pPr>
        <w:keepNext w:val="0"/>
        <w:spacing w:before="0" w:after="100" w:line="300" w:lineRule="auto"/>
      </w:pPr>
    </w:p>
    <w:p>
      <w:pPr>
        <w:pStyle w:val="Heading2"/>
        <w:keepNext/>
      </w:pPr>
      <w:r>
        <w:t>Persetujuan</w:t>
      </w:r>
    </w:p>
    <w:tbl>
      <w:tblPr>
        <w:tblW w:type="dxa" w:w="9360"/>
        <w:tblLayout w:type="fixed"/>
        <w:tblLook w:firstColumn="1" w:firstRow="1" w:lastColumn="0" w:lastRow="0" w:noHBand="0" w:noVBand="1" w:val="04A0"/>
        <w:tblInd w:w="120" w:type="dxa"/>
      </w:tblPr>
      <w:tblGrid>
        <w:gridCol w:w="1800"/>
        <w:gridCol w:w="1800"/>
        <w:gridCol w:w="3700"/>
        <w:gridCol w:w="2060"/>
      </w:tblGrid>
      <w:tr>
        <w:trPr>
          <w:tblHeader w:val="true"/>
        </w:trPr>
        <w:tc>
          <w:tcPr>
            <w:tcW w:type="dxa" w:w="18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Peran</w:t>
            </w:r>
          </w:p>
        </w:tc>
        <w:tc>
          <w:tcPr>
            <w:tcW w:type="dxa" w:w="18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Nama</w:t>
            </w:r>
          </w:p>
        </w:tc>
        <w:tc>
          <w:tcPr>
            <w:tcW w:type="dxa" w:w="37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Keputusan</w:t>
            </w:r>
          </w:p>
        </w:tc>
        <w:tc>
          <w:tcPr>
            <w:tcW w:type="dxa" w:w="206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Tanggal</w:t>
            </w:r>
          </w:p>
        </w:tc>
      </w:tr>
      <w:tr>
        <w:trPr>
          <w:cantSplit/>
        </w:trPr>
        <w:tc>
          <w:tcPr>
            <w:tcW w:type="dxa" w:w="180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7"/>
              </w:rPr>
              <w:t>Pemilik produk</w:t>
            </w:r>
          </w:p>
        </w:tc>
        <w:tc>
          <w:tcPr>
            <w:tcW w:type="dxa" w:w="18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Aditya</w:t>
            </w:r>
          </w:p>
        </w:tc>
        <w:tc>
          <w:tcPr>
            <w:tcW w:type="dxa" w:w="37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Belum diisi</w:t>
            </w:r>
          </w:p>
        </w:tc>
        <w:tc>
          <w:tcPr>
            <w:tcW w:type="dxa" w:w="20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w:t>
            </w:r>
          </w:p>
        </w:tc>
      </w:tr>
      <w:tr>
        <w:trPr>
          <w:cantSplit/>
        </w:trPr>
        <w:tc>
          <w:tcPr>
            <w:tcW w:type="dxa" w:w="180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7"/>
              </w:rPr>
              <w:t>Penyusun</w:t>
            </w:r>
          </w:p>
        </w:tc>
        <w:tc>
          <w:tcPr>
            <w:tcW w:type="dxa" w:w="18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Samuel</w:t>
            </w:r>
          </w:p>
        </w:tc>
        <w:tc>
          <w:tcPr>
            <w:tcW w:type="dxa" w:w="37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Prepared</w:t>
            </w:r>
          </w:p>
        </w:tc>
        <w:tc>
          <w:tcPr>
            <w:tcW w:type="dxa" w:w="20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20 Agu 2026</w:t>
            </w:r>
          </w:p>
        </w:tc>
      </w:tr>
    </w:tbl>
    <w:p>
      <w:pPr>
        <w:keepNext w:val="0"/>
        <w:spacing w:before="0" w:after="100" w:line="300" w:lineRule="auto"/>
      </w:pPr>
    </w:p>
    <w:p>
      <w:pPr>
        <w:pStyle w:val="Heading2"/>
        <w:keepNext/>
      </w:pPr>
      <w:r>
        <w:t>Cara membaca status</w:t>
      </w:r>
    </w:p>
    <w:tbl>
      <w:tblPr>
        <w:tblW w:type="dxa" w:w="9360"/>
        <w:tblLayout w:type="fixed"/>
        <w:tblLook w:firstColumn="1" w:firstRow="1" w:lastColumn="0" w:lastRow="0" w:noHBand="0" w:noVBand="1" w:val="04A0"/>
        <w:tblInd w:w="120" w:type="dxa"/>
      </w:tblPr>
      <w:tblGrid>
        <w:gridCol w:w="900"/>
        <w:gridCol w:w="2200"/>
        <w:gridCol w:w="6260"/>
      </w:tblGrid>
      <w:tr>
        <w:trPr>
          <w:tblHeader w:val="true"/>
        </w:trPr>
        <w:tc>
          <w:tcPr>
            <w:tcW w:type="dxa" w:w="9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Kode</w:t>
            </w:r>
          </w:p>
        </w:tc>
        <w:tc>
          <w:tcPr>
            <w:tcW w:type="dxa" w:w="2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Arti</w:t>
            </w:r>
          </w:p>
        </w:tc>
        <w:tc>
          <w:tcPr>
            <w:tcW w:type="dxa" w:w="626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Implikasi</w:t>
            </w:r>
          </w:p>
        </w:tc>
      </w:tr>
      <w:tr>
        <w:trPr>
          <w:cantSplit/>
        </w:trPr>
        <w:tc>
          <w:tcPr>
            <w:tcW w:type="dxa" w:w="90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7"/>
              </w:rPr>
              <w:t>IV</w:t>
            </w:r>
          </w:p>
        </w:tc>
        <w:tc>
          <w:tcPr>
            <w:tcW w:type="dxa" w:w="2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Implemented &amp; Verified</w:t>
            </w:r>
          </w:p>
        </w:tc>
        <w:tc>
          <w:tcPr>
            <w:tcW w:type="dxa" w:w="62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Sudah ada dan memiliki bukti test/UAT/data reconciliation yang relevan.</w:t>
            </w:r>
          </w:p>
        </w:tc>
      </w:tr>
      <w:tr>
        <w:trPr>
          <w:cantSplit/>
        </w:trPr>
        <w:tc>
          <w:tcPr>
            <w:tcW w:type="dxa" w:w="90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7"/>
              </w:rPr>
              <w:t>IF</w:t>
            </w:r>
          </w:p>
        </w:tc>
        <w:tc>
          <w:tcPr>
            <w:tcW w:type="dxa" w:w="2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Implemented Foundation</w:t>
            </w:r>
          </w:p>
        </w:tc>
        <w:tc>
          <w:tcPr>
            <w:tcW w:type="dxa" w:w="62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Fondasi kode/data ada; masih perlu business UAT, konfigurasi, atau acceptance source nyata.</w:t>
            </w:r>
          </w:p>
        </w:tc>
      </w:tr>
      <w:tr>
        <w:trPr>
          <w:cantSplit/>
        </w:trPr>
        <w:tc>
          <w:tcPr>
            <w:tcW w:type="dxa" w:w="90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7"/>
              </w:rPr>
              <w:t>PL</w:t>
            </w:r>
          </w:p>
        </w:tc>
        <w:tc>
          <w:tcPr>
            <w:tcW w:type="dxa" w:w="2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Planned</w:t>
            </w:r>
          </w:p>
        </w:tc>
        <w:tc>
          <w:tcPr>
            <w:tcW w:type="dxa" w:w="62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Sudah masuk scope/roadmap tetapi belum diaktifkan sebagai proses operasional.</w:t>
            </w:r>
          </w:p>
        </w:tc>
      </w:tr>
      <w:tr>
        <w:trPr>
          <w:cantSplit/>
        </w:trPr>
        <w:tc>
          <w:tcPr>
            <w:tcW w:type="dxa" w:w="90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7"/>
              </w:rPr>
              <w:t>OD</w:t>
            </w:r>
          </w:p>
        </w:tc>
        <w:tc>
          <w:tcPr>
            <w:tcW w:type="dxa" w:w="2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Open Decision</w:t>
            </w:r>
          </w:p>
        </w:tc>
        <w:tc>
          <w:tcPr>
            <w:tcW w:type="dxa" w:w="62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Belum boleh diasumsikan; memerlukan keputusan Adit atau evidence tambahan.</w:t>
            </w:r>
          </w:p>
        </w:tc>
      </w:tr>
    </w:tbl>
    <w:p>
      <w:pPr>
        <w:keepNext w:val="0"/>
        <w:spacing w:before="0" w:after="100" w:line="300" w:lineRule="auto"/>
      </w:pPr>
    </w:p>
    <w:p>
      <w:pPr>
        <w:keepNext w:val="0"/>
        <w:spacing w:before="0" w:after="120" w:line="300" w:lineRule="auto"/>
      </w:pPr>
      <w:r>
        <w:rPr>
          <w:rFonts w:ascii="Calibri" w:hAnsi="Calibri"/>
          <w:b w:val="0"/>
          <w:i w:val="0"/>
          <w:color w:val="171714"/>
          <w:sz w:val="20"/>
        </w:rPr>
        <w:t>Prioritas memakai Must, Should, dan Could. Must adalah kebutuhan yang tidak boleh dilewati untuk scope/cutover terkait; Should meningkatkan kontrol/usability; Could berada pada roadmap berikutnya.</w:t>
      </w:r>
    </w:p>
    <w:p>
      <w:pPr>
        <w:pStyle w:val="Heading2"/>
        <w:keepNext/>
      </w:pPr>
      <w:r>
        <w:t>Daftar bagian</w:t>
      </w:r>
    </w:p>
    <w:p>
      <w:pPr>
        <w:spacing w:after="80" w:line="300" w:lineRule="auto"/>
        <w:numPr>
          <w:ilvl w:val="0"/>
          <w:numId w:val="10"/>
        </w:numPr>
      </w:pPr>
      <w:r>
        <w:rPr>
          <w:rFonts w:ascii="Calibri" w:hAnsi="Calibri"/>
          <w:color w:val="171714"/>
          <w:sz w:val="21"/>
        </w:rPr>
        <w:t>Ringkasan eksekutif dan tujuan produk</w:t>
      </w:r>
    </w:p>
    <w:p>
      <w:pPr>
        <w:spacing w:after="80" w:line="300" w:lineRule="auto"/>
        <w:numPr>
          <w:ilvl w:val="0"/>
          <w:numId w:val="10"/>
        </w:numPr>
      </w:pPr>
      <w:r>
        <w:rPr>
          <w:rFonts w:ascii="Calibri" w:hAnsi="Calibri"/>
          <w:color w:val="171714"/>
          <w:sz w:val="21"/>
        </w:rPr>
        <w:t>Ruang lingkup, batasan, dan sumber kebenaran</w:t>
      </w:r>
    </w:p>
    <w:p>
      <w:pPr>
        <w:spacing w:after="80" w:line="300" w:lineRule="auto"/>
        <w:numPr>
          <w:ilvl w:val="0"/>
          <w:numId w:val="10"/>
        </w:numPr>
      </w:pPr>
      <w:r>
        <w:rPr>
          <w:rFonts w:ascii="Calibri" w:hAnsi="Calibri"/>
          <w:color w:val="171714"/>
          <w:sz w:val="21"/>
        </w:rPr>
        <w:t>Konteks sistem, user, serta alur end-to-end</w:t>
      </w:r>
    </w:p>
    <w:p>
      <w:pPr>
        <w:spacing w:after="80" w:line="300" w:lineRule="auto"/>
        <w:numPr>
          <w:ilvl w:val="0"/>
          <w:numId w:val="10"/>
        </w:numPr>
      </w:pPr>
      <w:r>
        <w:rPr>
          <w:rFonts w:ascii="Calibri" w:hAnsi="Calibri"/>
          <w:color w:val="171714"/>
          <w:sz w:val="21"/>
        </w:rPr>
        <w:t>Katalog kebutuhan fungsional</w:t>
      </w:r>
    </w:p>
    <w:p>
      <w:pPr>
        <w:spacing w:after="80" w:line="300" w:lineRule="auto"/>
        <w:numPr>
          <w:ilvl w:val="0"/>
          <w:numId w:val="10"/>
        </w:numPr>
      </w:pPr>
      <w:r>
        <w:rPr>
          <w:rFonts w:ascii="Calibri" w:hAnsi="Calibri"/>
          <w:color w:val="171714"/>
          <w:sz w:val="21"/>
        </w:rPr>
        <w:t>Kebutuhan data dan aturan bisnis lintas modul</w:t>
      </w:r>
    </w:p>
    <w:p>
      <w:pPr>
        <w:spacing w:after="80" w:line="300" w:lineRule="auto"/>
        <w:numPr>
          <w:ilvl w:val="0"/>
          <w:numId w:val="10"/>
        </w:numPr>
      </w:pPr>
      <w:r>
        <w:rPr>
          <w:rFonts w:ascii="Calibri" w:hAnsi="Calibri"/>
          <w:color w:val="171714"/>
          <w:sz w:val="21"/>
        </w:rPr>
        <w:t>Kebutuhan non-fungsional, keamanan, dan deployment</w:t>
      </w:r>
    </w:p>
    <w:p>
      <w:pPr>
        <w:spacing w:after="80" w:line="300" w:lineRule="auto"/>
        <w:numPr>
          <w:ilvl w:val="0"/>
          <w:numId w:val="10"/>
        </w:numPr>
      </w:pPr>
      <w:r>
        <w:rPr>
          <w:rFonts w:ascii="Calibri" w:hAnsi="Calibri"/>
          <w:color w:val="171714"/>
          <w:sz w:val="21"/>
        </w:rPr>
        <w:t>Migration, reconciliation, UAT, dan cutover</w:t>
      </w:r>
    </w:p>
    <w:p>
      <w:pPr>
        <w:spacing w:after="80" w:line="300" w:lineRule="auto"/>
        <w:numPr>
          <w:ilvl w:val="0"/>
          <w:numId w:val="10"/>
        </w:numPr>
      </w:pPr>
      <w:r>
        <w:rPr>
          <w:rFonts w:ascii="Calibri" w:hAnsi="Calibri"/>
          <w:color w:val="171714"/>
          <w:sz w:val="21"/>
        </w:rPr>
        <w:t>Traceability, baseline terverifikasi, open decisions, dan change control</w:t>
      </w:r>
    </w:p>
    <w:p>
      <w:pPr>
        <w:pStyle w:val="Heading1"/>
        <w:keepNext/>
      </w:pPr>
      <w:r>
        <w:t>1. Ringkasan eksekutif</w:t>
      </w:r>
    </w:p>
    <w:p>
      <w:pPr>
        <w:keepNext w:val="0"/>
        <w:spacing w:before="0" w:after="120" w:line="300" w:lineRule="auto"/>
      </w:pPr>
      <w:r>
        <w:rPr>
          <w:rFonts w:ascii="Calibri" w:hAnsi="Calibri"/>
          <w:b w:val="0"/>
          <w:i w:val="0"/>
          <w:color w:val="171714"/>
        </w:rPr>
        <w:t>Vobia ERP adalah aplikasi web private yang menerjemahkan proses bisnis Vobia yang telah terbukti di Google Sheets menjadi sistem transaksional yang traceable, auditable, dan siap dikembangkan bertahap. ERP tidak mengarang ulang proses operasional; setiap rule harus berasal dari evidence sumber, keputusan Adit, atau acceptance yang dapat diuji.</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start w:w="180" w:type="dxa"/>
              <w:bottom w:w="150" w:type="dxa"/>
              <w:end w:w="180" w:type="dxa"/>
            </w:tcMar>
            <w:shd w:fill="F5F4EF"/>
          </w:tcPr>
          <w:p>
            <w:pPr>
              <w:spacing w:after="40"/>
            </w:pPr>
            <w:r>
              <w:rPr>
                <w:rFonts w:ascii="Calibri" w:hAnsi="Calibri"/>
                <w:b/>
                <w:color w:val="657D12"/>
                <w:sz w:val="17"/>
              </w:rPr>
              <w:t>KEPUTUSAN INTI</w:t>
            </w:r>
          </w:p>
          <w:p>
            <w:pPr>
              <w:spacing w:after="0" w:line="288" w:lineRule="auto"/>
            </w:pPr>
            <w:r>
              <w:rPr>
                <w:rFonts w:ascii="Calibri" w:hAnsi="Calibri"/>
                <w:color w:val="171714"/>
                <w:sz w:val="20"/>
              </w:rPr>
              <w:t>Sales adalah baseline implemented &amp; verified saat ini. Operation memiliki fondasi end-to-end tetapi masih membutuhkan business UAT dan keputusan master/migration sebelum cutover. RnD, Marketing, Finance, dan Human Resource tetap planned/Segera hadir.</w:t>
            </w:r>
          </w:p>
        </w:tc>
      </w:tr>
    </w:tbl>
    <w:p>
      <w:pPr>
        <w:keepNext w:val="0"/>
        <w:spacing w:before="0" w:after="80" w:line="300" w:lineRule="auto"/>
      </w:pPr>
    </w:p>
    <w:p>
      <w:pPr>
        <w:pStyle w:val="Heading2"/>
        <w:keepNext/>
      </w:pPr>
      <w:r>
        <w:t>1.1 Tujuan produk</w:t>
      </w:r>
    </w:p>
    <w:p>
      <w:pPr>
        <w:spacing w:after="80" w:line="300" w:lineRule="auto"/>
        <w:numPr>
          <w:ilvl w:val="0"/>
          <w:numId w:val="10"/>
        </w:numPr>
      </w:pPr>
      <w:r>
        <w:rPr>
          <w:rFonts w:ascii="Calibri" w:hAnsi="Calibri"/>
          <w:color w:val="171714"/>
          <w:sz w:val="21"/>
        </w:rPr>
        <w:t>Menyatukan master, Sales, Traffic, planning, PPIC, PO, QC, inbound, inventory/FIFO, return, aging, dan reconciliation dalam satu audit trail.</w:t>
      </w:r>
    </w:p>
    <w:p>
      <w:pPr>
        <w:spacing w:after="80" w:line="300" w:lineRule="auto"/>
        <w:numPr>
          <w:ilvl w:val="0"/>
          <w:numId w:val="10"/>
        </w:numPr>
      </w:pPr>
      <w:r>
        <w:rPr>
          <w:rFonts w:ascii="Calibri" w:hAnsi="Calibri"/>
          <w:color w:val="171714"/>
          <w:sz w:val="21"/>
        </w:rPr>
        <w:t>Menjaga historical transaction dan cost snapshot immutable.</w:t>
      </w:r>
    </w:p>
    <w:p>
      <w:pPr>
        <w:spacing w:after="80" w:line="300" w:lineRule="auto"/>
        <w:numPr>
          <w:ilvl w:val="0"/>
          <w:numId w:val="10"/>
        </w:numPr>
      </w:pPr>
      <w:r>
        <w:rPr>
          <w:rFonts w:ascii="Calibri" w:hAnsi="Calibri"/>
          <w:color w:val="171714"/>
          <w:sz w:val="21"/>
        </w:rPr>
        <w:t>Membuat seluruh movement inventory dapat ditelusuri ke dokumen sumber.</w:t>
      </w:r>
    </w:p>
    <w:p>
      <w:pPr>
        <w:spacing w:after="80" w:line="300" w:lineRule="auto"/>
        <w:numPr>
          <w:ilvl w:val="0"/>
          <w:numId w:val="10"/>
        </w:numPr>
      </w:pPr>
      <w:r>
        <w:rPr>
          <w:rFonts w:ascii="Calibri" w:hAnsi="Calibri"/>
          <w:color w:val="171714"/>
          <w:sz w:val="21"/>
        </w:rPr>
        <w:t>Memberi Adit dashboard dan exception yang dapat dipahami tanpa membuka database atau terminal.</w:t>
      </w:r>
    </w:p>
    <w:p>
      <w:pPr>
        <w:spacing w:after="80" w:line="300" w:lineRule="auto"/>
        <w:numPr>
          <w:ilvl w:val="0"/>
          <w:numId w:val="10"/>
        </w:numPr>
      </w:pPr>
      <w:r>
        <w:rPr>
          <w:rFonts w:ascii="Calibri" w:hAnsi="Calibri"/>
          <w:color w:val="171714"/>
          <w:sz w:val="21"/>
        </w:rPr>
        <w:t>Menjalankan parallel run dengan Google Sheets sampai cutover lulus acceptance.</w:t>
      </w:r>
    </w:p>
    <w:p>
      <w:pPr>
        <w:pStyle w:val="Heading2"/>
        <w:keepNext/>
      </w:pPr>
      <w:r>
        <w:t>1.2 Sasaran SKPL</w:t>
      </w:r>
    </w:p>
    <w:p>
      <w:pPr>
        <w:keepNext w:val="0"/>
        <w:spacing w:before="0" w:after="120" w:line="300" w:lineRule="auto"/>
      </w:pPr>
      <w:r>
        <w:rPr>
          <w:rFonts w:ascii="Calibri" w:hAnsi="Calibri"/>
          <w:b w:val="0"/>
          <w:i w:val="0"/>
          <w:color w:val="171714"/>
        </w:rPr>
        <w:t>SKPL ini menjadi kontrak kebutuhan antara keputusan bisnis, desain data, implementasi, pengujian, dan cutover. Dokumen tidak menggantikan SOP harian Sales Report/Operation; dokumen hanya mengambil proses tersebut sebagai requirement ERP ketika relevan.</w:t>
      </w:r>
    </w:p>
    <w:p>
      <w:pPr>
        <w:pStyle w:val="Heading1"/>
        <w:keepNext/>
      </w:pPr>
      <w:r>
        <w:t>2. Ruang lingkup dan batasan</w:t>
      </w:r>
    </w:p>
    <w:p>
      <w:pPr>
        <w:pStyle w:val="Heading2"/>
        <w:keepNext/>
      </w:pPr>
      <w:r>
        <w:t>2.1 In scope v1.0</w:t>
      </w:r>
    </w:p>
    <w:p>
      <w:pPr>
        <w:keepNext w:val="0"/>
        <w:spacing w:before="0" w:after="120" w:line="300" w:lineRule="auto"/>
      </w:pPr>
      <w:r>
        <w:rPr>
          <w:rFonts w:ascii="Calibri" w:hAnsi="Calibri"/>
          <w:b w:val="0"/>
          <w:i w:val="0"/>
          <w:color w:val="171714"/>
        </w:rPr>
        <w:t>Scope target end-to-end: Master → Sales/Traffic → Merchandising → Incoming → PPIC → PO → QC → Inbound → Inventory/FIFO → Return → PO Aging → Reconciliation/Audit. Implementasi dilakukan per slice; status tiap requirement ada pada katalog.</w:t>
      </w:r>
    </w:p>
    <w:p>
      <w:pPr>
        <w:pStyle w:val="Heading2"/>
        <w:keepNext/>
      </w:pPr>
      <w:r>
        <w:t>2.2 Out of scope / belum diotorisasi</w:t>
      </w:r>
    </w:p>
    <w:p>
      <w:pPr>
        <w:spacing w:after="80" w:line="300" w:lineRule="auto"/>
        <w:numPr>
          <w:ilvl w:val="0"/>
          <w:numId w:val="10"/>
        </w:numPr>
      </w:pPr>
      <w:r>
        <w:rPr>
          <w:rFonts w:ascii="Calibri" w:hAnsi="Calibri"/>
          <w:color w:val="171714"/>
          <w:sz w:val="21"/>
        </w:rPr>
        <w:t>Menghentikan atau mengubah Google Sheets live tanpa task dan izin terpisah.</w:t>
      </w:r>
    </w:p>
    <w:p>
      <w:pPr>
        <w:spacing w:after="80" w:line="300" w:lineRule="auto"/>
        <w:numPr>
          <w:ilvl w:val="0"/>
          <w:numId w:val="10"/>
        </w:numPr>
      </w:pPr>
      <w:r>
        <w:rPr>
          <w:rFonts w:ascii="Calibri" w:hAnsi="Calibri"/>
          <w:color w:val="171714"/>
          <w:sz w:val="21"/>
        </w:rPr>
        <w:t>Membuka 2026 Projection Vobia tanpa izin eksplisit Adit.</w:t>
      </w:r>
    </w:p>
    <w:p>
      <w:pPr>
        <w:spacing w:after="80" w:line="300" w:lineRule="auto"/>
        <w:numPr>
          <w:ilvl w:val="0"/>
          <w:numId w:val="10"/>
        </w:numPr>
      </w:pPr>
      <w:r>
        <w:rPr>
          <w:rFonts w:ascii="Calibri" w:hAnsi="Calibri"/>
          <w:color w:val="171714"/>
          <w:sz w:val="21"/>
        </w:rPr>
        <w:t>Membuka Shared Drive selain ADITYA.</w:t>
      </w:r>
    </w:p>
    <w:p>
      <w:pPr>
        <w:spacing w:after="80" w:line="300" w:lineRule="auto"/>
        <w:numPr>
          <w:ilvl w:val="0"/>
          <w:numId w:val="10"/>
        </w:numPr>
      </w:pPr>
      <w:r>
        <w:rPr>
          <w:rFonts w:ascii="Calibri" w:hAnsi="Calibri"/>
          <w:color w:val="171714"/>
          <w:sz w:val="21"/>
        </w:rPr>
        <w:t>Production deployment, domain/DNS, vendor cloud, dan cutover sebelum approval.</w:t>
      </w:r>
    </w:p>
    <w:p>
      <w:pPr>
        <w:spacing w:after="80" w:line="300" w:lineRule="auto"/>
        <w:numPr>
          <w:ilvl w:val="0"/>
          <w:numId w:val="10"/>
        </w:numPr>
      </w:pPr>
      <w:r>
        <w:rPr>
          <w:rFonts w:ascii="Calibri" w:hAnsi="Calibri"/>
          <w:color w:val="171714"/>
          <w:sz w:val="21"/>
        </w:rPr>
        <w:t>Accounting posting, payroll, atau HR sensitive data sebelum requirement modul terkait disetujui.</w:t>
      </w:r>
    </w:p>
    <w:p>
      <w:pPr>
        <w:spacing w:after="80" w:line="300" w:lineRule="auto"/>
        <w:numPr>
          <w:ilvl w:val="0"/>
          <w:numId w:val="10"/>
        </w:numPr>
      </w:pPr>
      <w:r>
        <w:rPr>
          <w:rFonts w:ascii="Calibri" w:hAnsi="Calibri"/>
          <w:color w:val="171714"/>
          <w:sz w:val="21"/>
        </w:rPr>
        <w:t>Microservices; MVP menggunakan modular monolith.</w:t>
      </w:r>
    </w:p>
    <w:p>
      <w:pPr>
        <w:pStyle w:val="Heading2"/>
        <w:keepNext/>
      </w:pPr>
      <w:r>
        <w:t>2.3 Sumber kebenaran dan referensi</w:t>
      </w:r>
    </w:p>
    <w:tbl>
      <w:tblPr>
        <w:tblW w:type="dxa" w:w="9360"/>
        <w:tblLayout w:type="fixed"/>
        <w:tblLook w:firstColumn="1" w:firstRow="1" w:lastColumn="0" w:lastRow="0" w:noHBand="0" w:noVBand="1" w:val="04A0"/>
        <w:tblInd w:w="120" w:type="dxa"/>
      </w:tblPr>
      <w:tblGrid>
        <w:gridCol w:w="2400"/>
        <w:gridCol w:w="3880"/>
        <w:gridCol w:w="3080"/>
      </w:tblGrid>
      <w:tr>
        <w:trPr>
          <w:tblHeader w:val="true"/>
        </w:trPr>
        <w:tc>
          <w:tcPr>
            <w:tcW w:type="dxa" w:w="24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Sumber</w:t>
            </w:r>
          </w:p>
        </w:tc>
        <w:tc>
          <w:tcPr>
            <w:tcW w:type="dxa" w:w="388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Peran</w:t>
            </w:r>
          </w:p>
        </w:tc>
        <w:tc>
          <w:tcPr>
            <w:tcW w:type="dxa" w:w="308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Aturan akses</w:t>
            </w:r>
          </w:p>
        </w:tc>
      </w:tr>
      <w:tr>
        <w:trPr>
          <w:cantSplit/>
        </w:trPr>
        <w:tc>
          <w:tcPr>
            <w:tcW w:type="dxa" w:w="240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7"/>
              </w:rPr>
              <w:t>Bank Data Vobia</w:t>
            </w:r>
          </w:p>
        </w:tc>
        <w:tc>
          <w:tcPr>
            <w:tcW w:type="dxa" w:w="388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Canonical Product/SKU master</w:t>
            </w:r>
          </w:p>
        </w:tc>
        <w:tc>
          <w:tcPr>
            <w:tcW w:type="dxa" w:w="308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Export oleh Adit; import via stage/approve.</w:t>
            </w:r>
          </w:p>
        </w:tc>
      </w:tr>
      <w:tr>
        <w:trPr>
          <w:cantSplit/>
        </w:trPr>
        <w:tc>
          <w:tcPr>
            <w:tcW w:type="dxa" w:w="240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7"/>
              </w:rPr>
              <w:t>Vobia Sales 2026</w:t>
            </w:r>
          </w:p>
        </w:tc>
        <w:tc>
          <w:tcPr>
            <w:tcW w:type="dxa" w:w="388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Pembanding Sales/Traffic dan proses proven</w:t>
            </w:r>
          </w:p>
        </w:tc>
        <w:tc>
          <w:tcPr>
            <w:tcW w:type="dxa" w:w="308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Operational parallel source; write hanya lewat task Sales Report.</w:t>
            </w:r>
          </w:p>
        </w:tc>
      </w:tr>
      <w:tr>
        <w:trPr>
          <w:cantSplit/>
        </w:trPr>
        <w:tc>
          <w:tcPr>
            <w:tcW w:type="dxa" w:w="240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7"/>
              </w:rPr>
              <w:t>Vobia MD 2026</w:t>
            </w:r>
          </w:p>
        </w:tc>
        <w:tc>
          <w:tcPr>
            <w:tcW w:type="dxa" w:w="388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Pembanding Operation, PPIC, PO, inventory/FIFO</w:t>
            </w:r>
          </w:p>
        </w:tc>
        <w:tc>
          <w:tcPr>
            <w:tcW w:type="dxa" w:w="308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Operational parallel source; write hanya lewat task Operation.</w:t>
            </w:r>
          </w:p>
        </w:tc>
      </w:tr>
      <w:tr>
        <w:trPr>
          <w:cantSplit/>
        </w:trPr>
        <w:tc>
          <w:tcPr>
            <w:tcW w:type="dxa" w:w="240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7"/>
              </w:rPr>
              <w:t>Raw Shopee/TikTok</w:t>
            </w:r>
          </w:p>
        </w:tc>
        <w:tc>
          <w:tcPr>
            <w:tcW w:type="dxa" w:w="388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Evidence status/transaksi/traffic terbaru</w:t>
            </w:r>
          </w:p>
        </w:tc>
        <w:tc>
          <w:tcPr>
            <w:tcW w:type="dxa" w:w="308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Original file disimpan private dan immutable.</w:t>
            </w:r>
          </w:p>
        </w:tc>
      </w:tr>
      <w:tr>
        <w:trPr>
          <w:cantSplit/>
        </w:trPr>
        <w:tc>
          <w:tcPr>
            <w:tcW w:type="dxa" w:w="240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7"/>
              </w:rPr>
              <w:t>VOBIA KNOWLEDGE</w:t>
            </w:r>
          </w:p>
        </w:tc>
        <w:tc>
          <w:tcPr>
            <w:tcW w:type="dxa" w:w="388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Aturan bisnis lintas task</w:t>
            </w:r>
          </w:p>
        </w:tc>
        <w:tc>
          <w:tcPr>
            <w:tcW w:type="dxa" w:w="308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Rule permanen diperbarui setelah disepakati dan diverifikasi.</w:t>
            </w:r>
          </w:p>
        </w:tc>
      </w:tr>
      <w:tr>
        <w:trPr>
          <w:cantSplit/>
        </w:trPr>
        <w:tc>
          <w:tcPr>
            <w:tcW w:type="dxa" w:w="240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7"/>
              </w:rPr>
              <w:t>Kode, migration, dan automated tests</w:t>
            </w:r>
          </w:p>
        </w:tc>
        <w:tc>
          <w:tcPr>
            <w:tcW w:type="dxa" w:w="388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Executable specification</w:t>
            </w:r>
          </w:p>
        </w:tc>
        <w:tc>
          <w:tcPr>
            <w:tcW w:type="dxa" w:w="308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Tidak boleh bertentangan dengan SKPL yang sudah approved.</w:t>
            </w:r>
          </w:p>
        </w:tc>
      </w:tr>
    </w:tbl>
    <w:p>
      <w:pPr>
        <w:keepNext w:val="0"/>
        <w:spacing w:before="0" w:after="100" w:line="300" w:lineRule="auto"/>
      </w:pPr>
    </w:p>
    <w:p>
      <w:pPr>
        <w:pStyle w:val="Heading1"/>
        <w:keepNext/>
      </w:pPr>
      <w:r>
        <w:t>3. Konteks sistem dan alur</w:t>
      </w:r>
    </w:p>
    <w:p>
      <w:pPr>
        <w:pStyle w:val="Heading2"/>
        <w:keepNext/>
      </w:pPr>
      <w:r>
        <w:t>3.1 User dan stakeholder</w:t>
      </w:r>
    </w:p>
    <w:tbl>
      <w:tblPr>
        <w:tblW w:type="dxa" w:w="9360"/>
        <w:tblLayout w:type="fixed"/>
        <w:tblLook w:firstColumn="1" w:firstRow="1" w:lastColumn="0" w:lastRow="0" w:noHBand="0" w:noVBand="1" w:val="04A0"/>
        <w:tblInd w:w="120" w:type="dxa"/>
      </w:tblPr>
      <w:tblGrid>
        <w:gridCol w:w="1900"/>
        <w:gridCol w:w="3150"/>
        <w:gridCol w:w="4310"/>
      </w:tblGrid>
      <w:tr>
        <w:trPr>
          <w:tblHeader w:val="true"/>
        </w:trPr>
        <w:tc>
          <w:tcPr>
            <w:tcW w:type="dxa" w:w="19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Pihak</w:t>
            </w:r>
          </w:p>
        </w:tc>
        <w:tc>
          <w:tcPr>
            <w:tcW w:type="dxa" w:w="31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Peran v1.0</w:t>
            </w:r>
          </w:p>
        </w:tc>
        <w:tc>
          <w:tcPr>
            <w:tcW w:type="dxa" w:w="431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 utama</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7"/>
              </w:rPr>
              <w:t>Aditya</w:t>
            </w:r>
          </w:p>
        </w:tc>
        <w:tc>
          <w:tcPr>
            <w:tcW w:type="dxa" w:w="315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Super admin / approver / user tunggal</w:t>
            </w:r>
          </w:p>
        </w:tc>
        <w:tc>
          <w:tcPr>
            <w:tcW w:type="dxa" w:w="431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Akses penuh, preview, approval, report, exception, audit, dan UAT.</w:t>
            </w:r>
          </w:p>
        </w:tc>
      </w:tr>
      <w:tr>
        <w:trPr>
          <w:cantSplit/>
        </w:trPr>
        <w:tc>
          <w:tcPr>
            <w:tcW w:type="dxa" w:w="190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7"/>
              </w:rPr>
              <w:t>Tim Sales</w:t>
            </w:r>
          </w:p>
        </w:tc>
        <w:tc>
          <w:tcPr>
            <w:tcW w:type="dxa" w:w="315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Sumber proses/data di luar ERP MVP login</w:t>
            </w:r>
          </w:p>
        </w:tc>
        <w:tc>
          <w:tcPr>
            <w:tcW w:type="dxa" w:w="431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Raw marketplace dan perubahan bisnis menjadi input requirement melalui Adit.</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7"/>
              </w:rPr>
              <w:t>Tim Operation</w:t>
            </w:r>
          </w:p>
        </w:tc>
        <w:tc>
          <w:tcPr>
            <w:tcW w:type="dxa" w:w="315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Owner Bank Data dan proses supply-chain</w:t>
            </w:r>
          </w:p>
        </w:tc>
        <w:tc>
          <w:tcPr>
            <w:tcW w:type="dxa" w:w="431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Canonical master serta evidence PPIC/PO/QC/inbound/FIFO untuk business UAT.</w:t>
            </w:r>
          </w:p>
        </w:tc>
      </w:tr>
      <w:tr>
        <w:trPr>
          <w:cantSplit/>
        </w:trPr>
        <w:tc>
          <w:tcPr>
            <w:tcW w:type="dxa" w:w="190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7"/>
              </w:rPr>
              <w:t>Samuel</w:t>
            </w:r>
          </w:p>
        </w:tc>
        <w:tc>
          <w:tcPr>
            <w:tcW w:type="dxa" w:w="315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Discovery, engineering, verification</w:t>
            </w:r>
          </w:p>
        </w:tc>
        <w:tc>
          <w:tcPr>
            <w:tcW w:type="dxa" w:w="431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Menerjemahkan rule terverifikasi menjadi code/test/documentation; bukan approver bisnis.</w:t>
            </w:r>
          </w:p>
        </w:tc>
      </w:tr>
    </w:tbl>
    <w:p>
      <w:pPr>
        <w:keepNext w:val="0"/>
        <w:spacing w:before="0" w:after="100" w:line="300" w:lineRule="auto"/>
      </w:pPr>
    </w:p>
    <w:p>
      <w:pPr>
        <w:pStyle w:val="Heading2"/>
        <w:keepNext/>
      </w:pPr>
      <w:r>
        <w:t>3.2 Alur end-to-end</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start w:w="180" w:type="dxa"/>
              <w:bottom w:w="150" w:type="dxa"/>
              <w:end w:w="180" w:type="dxa"/>
            </w:tcMar>
            <w:shd w:fill="F5F4EF"/>
          </w:tcPr>
          <w:p>
            <w:pPr>
              <w:spacing w:after="40"/>
            </w:pPr>
            <w:r>
              <w:rPr>
                <w:rFonts w:ascii="Calibri" w:hAnsi="Calibri"/>
                <w:b/>
                <w:color w:val="657D12"/>
                <w:sz w:val="17"/>
              </w:rPr>
              <w:t>ALUR CANONICAL</w:t>
            </w:r>
          </w:p>
          <w:p>
            <w:pPr>
              <w:spacing w:after="0" w:line="288" w:lineRule="auto"/>
            </w:pPr>
            <w:r>
              <w:rPr>
                <w:rFonts w:ascii="Calibri" w:hAnsi="Calibri"/>
                <w:color w:val="171714"/>
                <w:sz w:val="20"/>
              </w:rPr>
              <w:t>Raw File → Upload Record → Staging → Validation/Preview → Adit Approval → Atomic Commit → Canonical Data → Movement/FIFO/Report → Reconciliation/Audit</w:t>
            </w:r>
          </w:p>
        </w:tc>
      </w:tr>
    </w:tbl>
    <w:p>
      <w:pPr>
        <w:keepNext w:val="0"/>
        <w:spacing w:before="0" w:after="80" w:line="300" w:lineRule="auto"/>
      </w:pPr>
    </w:p>
    <w:p>
      <w:pPr>
        <w:keepNext w:val="0"/>
        <w:spacing w:before="0" w:after="120" w:line="300" w:lineRule="auto"/>
      </w:pPr>
      <w:r>
        <w:rPr>
          <w:rFonts w:ascii="Calibri" w:hAnsi="Calibri"/>
          <w:b w:val="0"/>
          <w:i w:val="0"/>
          <w:color w:val="171714"/>
        </w:rPr>
        <w:t>Planning dan actual wajib dipisahkan. Projection, Incoming draft, dan Review PO tidak boleh menambah stock. Actual inventory berubah hanya melalui movement ledger yang diposting dari Opening, Inbound, Sales Out, Return In, atau approved Adjustment.</w:t>
      </w:r>
    </w:p>
    <w:p>
      <w:pPr>
        <w:pStyle w:val="Heading2"/>
        <w:keepNext/>
      </w:pPr>
      <w:r>
        <w:t>3.3 Arsitektur constraint</w:t>
      </w:r>
    </w:p>
    <w:p>
      <w:pPr>
        <w:spacing w:after="80" w:line="300" w:lineRule="auto"/>
        <w:numPr>
          <w:ilvl w:val="0"/>
          <w:numId w:val="10"/>
        </w:numPr>
      </w:pPr>
      <w:r>
        <w:rPr>
          <w:rFonts w:ascii="Calibri" w:hAnsi="Calibri"/>
          <w:color w:val="171714"/>
          <w:sz w:val="21"/>
        </w:rPr>
        <w:t>Python + Django 5.2 LTS; PostgreSQL untuk staging/production; Django Templates/HTMX untuk UI; exact Decimal untuk money.</w:t>
      </w:r>
    </w:p>
    <w:p>
      <w:pPr>
        <w:spacing w:after="80" w:line="300" w:lineRule="auto"/>
        <w:numPr>
          <w:ilvl w:val="0"/>
          <w:numId w:val="10"/>
        </w:numPr>
      </w:pPr>
      <w:r>
        <w:rPr>
          <w:rFonts w:ascii="Calibri" w:hAnsi="Calibri"/>
          <w:color w:val="171714"/>
          <w:sz w:val="21"/>
        </w:rPr>
        <w:t>Satu deployable modular monolith dengan domain module yang jelas dan satu transactional database.</w:t>
      </w:r>
    </w:p>
    <w:p>
      <w:pPr>
        <w:spacing w:after="80" w:line="300" w:lineRule="auto"/>
        <w:numPr>
          <w:ilvl w:val="0"/>
          <w:numId w:val="10"/>
        </w:numPr>
      </w:pPr>
      <w:r>
        <w:rPr>
          <w:rFonts w:ascii="Calibri" w:hAnsi="Calibri"/>
          <w:color w:val="171714"/>
          <w:sz w:val="21"/>
        </w:rPr>
        <w:t>Raw uploads disimpan private; secrets tidak berada di source control.</w:t>
      </w:r>
    </w:p>
    <w:p>
      <w:pPr>
        <w:spacing w:after="80" w:line="300" w:lineRule="auto"/>
        <w:numPr>
          <w:ilvl w:val="0"/>
          <w:numId w:val="10"/>
        </w:numPr>
      </w:pPr>
      <w:r>
        <w:rPr>
          <w:rFonts w:ascii="Calibri" w:hAnsi="Calibri"/>
          <w:color w:val="171714"/>
          <w:sz w:val="21"/>
        </w:rPr>
        <w:t>Local development/UAT boleh memakai SQLite, tetapi bukan production source of truth.</w:t>
      </w:r>
    </w:p>
    <w:p>
      <w:pPr>
        <w:sectPr>
          <w:headerReference w:type="default" r:id="rId11"/>
          <w:footerReference w:type="default" r:id="rId12"/>
          <w:pgSz w:w="12240" w:h="15840"/>
          <w:pgMar w:top="1440" w:right="1440" w:bottom="1440" w:left="1440" w:header="708" w:footer="708" w:gutter="0"/>
          <w:cols w:space="720"/>
          <w:docGrid w:linePitch="360"/>
        </w:sectPr>
      </w:pPr>
    </w:p>
    <w:p>
      <w:pPr>
        <w:keepNext/>
        <w:spacing w:after="200"/>
      </w:pPr>
      <w:r>
        <w:rPr>
          <w:rFonts w:ascii="Calibri" w:hAnsi="Calibri"/>
          <w:b/>
          <w:color w:val="6F716A"/>
          <w:sz w:val="16"/>
        </w:rPr>
        <w:t>VOBIA  ·  SKPL v1.0  ·  KATALOG REQUIREMENT</w:t>
        <w:br/>
        <w:br/>
      </w:r>
      <w:r>
        <w:rPr>
          <w:rFonts w:ascii="Calibri" w:hAnsi="Calibri"/>
          <w:b/>
          <w:color w:val="657D12"/>
          <w:sz w:val="32"/>
        </w:rPr>
        <w:t>4. Katalog kebutuhan fungsional</w:t>
      </w:r>
    </w:p>
    <w:p>
      <w:pPr>
        <w:keepNext w:val="0"/>
        <w:spacing w:before="0" w:after="120" w:line="300" w:lineRule="auto"/>
      </w:pPr>
      <w:r>
        <w:rPr>
          <w:rFonts w:ascii="Calibri" w:hAnsi="Calibri"/>
          <w:b w:val="0"/>
          <w:i w:val="0"/>
          <w:color w:val="171714"/>
        </w:rPr>
        <w:t>Tabel berikut adalah baseline requirement. Acceptance criteria dibuat singkat dan testable; bukti detail berada pada automated tests, reconciliation output, import batch, audit event, dan UAT record.</w:t>
      </w:r>
    </w:p>
    <w:p>
      <w:pPr>
        <w:pStyle w:val="Heading2"/>
        <w:keepNext/>
      </w:pPr>
      <w:r>
        <w:t>4.1 Fondasi, navigasi, dan akun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GEN-001</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Setelah login, root ERP menampilkan hub enam modul: Sales, Operation, RnD, Marketing, Finance, dan Human Resource.</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Hub tampil; Sales dan Operation dapat dipilih; modul planned memberi notifikasi dan tidak membuka proses fiktif.</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GEN-002</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Sidebar hanya menampilkan menu modul aktif dan menu System bersama; kontrol Ganti Modul selalu kembali ke hub.</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Pilihan modul tersimpan pada session dan navigasi berubah konsisten tanpa kehilangan autentikasi.</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4.1 Fondasi, navigasi, dan akun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GEN-003</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MVP memakai satu user lokal vobiasuperadmin dengan akses penuh dan tanpa Google login.</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Password tersimpan sebagai hash; login, logout, ganti password, dan lockout bekerja.</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GEN-004</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Model data dan permission harus siap diperluas menjadi multi-user role-based access tanpa mengganti arsitektur inti.</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Role/permission dapat ditambahkan melalui modul accounts dan permission Django; aktivasi menunggu keputusan Adit.</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Should</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4.1 Fondasi, navigasi, dan akun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GEN-005</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Tindakan penting—login, import, approval, perubahan status, adjustment, dan posting—mencatat audit event append-only.</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Audit menyimpan actor, waktu, entity, action, dan metadata/before-after yang relevan.</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GEN-006</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Waktu bisnis ditampilkan dalam Asia/Jakarta dan angka memakai format Indonesia; nilai uang memakai prefix Rp.</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Tanggal, titik ribuan, koma desimal, persen, dan ID bisnis tampil tanpa merusak nilai numerik database.</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4.1 Fondasi, navigasi, dan akun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GEN-007</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Peringatan, blocker, dan special case ditampilkan sebagai notifikasi yang dapat dipahami user non-programmer.</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User mengetahui alasan record tidak dapat diposting atau mengapa sistem memakai exception rule.</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4.2 Master data</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MST-001</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Sumber canonical Product/SKU adalah Bank Data Vobia yang dikelola Operation; turunan IMPORTRANGE bukan master terpisah.</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Import menyimpan sumber, checksum, parser version, dan 746 SKU baseline tanpa duplicate SKU.</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MST-002</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Master minimal menyimpan SKU, parent/article, product, variant, size, status, category/subcategory, COGS, retail price, dan kode marketplace sebagai text.</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Kode TikTok tidak kehilangan digit; header sumber yang salah eja ditangani melalui alias terverifikasi.</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4.2 Master data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MST-003</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Master diimpor melalui Upload → Parse → Stage → Validate → Preview → Approve → Atomic Commit.</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Tidak ada canonical write sebelum approval; blocker membatalkan seluruh commit.</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MST-004</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Kode marketplace kosong diperbolehkan sebagai warning karena produk dapat belum dijual pada channel tersebut.</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Record tetap committed dan dapat dilengkapi kemudian melalui perubahan master yang diaudit.</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4.2 Master data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MST-005</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COGS/Retail Price kosong tidak menghapus SKU, tetapi SKU tersebut tidak boleh dipakai untuk posting finansial tanpa rule/evidence yang disetujui.</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Preview memberi warning; PO atau manual sale yang membutuhkan nilai finansial ditolak sampai valid.</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MST-006</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SKU yang sudah dipakai tidak boleh hard-delete; perubahan nilai master tidak menulis ulang snapshot historis.</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Historical Sales, PO, FIFO Opening, dan cost layer tetap sama setelah master berubah.</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4.2 Master data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MST-007</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Supplier, warehouse, dan hubungan product-supplier menjadi master terkelola sebelum Operation cutover.</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Field, initial records, owner, dan migration mapping disetujui Adit sebelum penggunaan production.</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DE3E1"/>
            <w:tcMar>
              <w:top w:w="80" w:type="dxa"/>
              <w:start w:w="120" w:type="dxa"/>
              <w:bottom w:w="80" w:type="dxa"/>
              <w:end w:w="120" w:type="dxa"/>
            </w:tcMar>
          </w:tcPr>
          <w:p>
            <w:pPr>
              <w:spacing w:before="0" w:after="0" w:line="269" w:lineRule="auto"/>
              <w:jc w:val="center"/>
            </w:pPr>
            <w:r/>
            <w:r>
              <w:rPr>
                <w:rFonts w:ascii="Calibri" w:hAnsi="Calibri"/>
                <w:b/>
                <w:color w:val="171714"/>
                <w:sz w:val="15"/>
              </w:rPr>
              <w:t>OD</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4.3 Import Sales dan Traffic</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IMP-001</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Adit mengunggah raw export asli Shopee/TikTok; parser membaca header terverifikasi, bukan posisi kolom tetap.</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File valid diparse; header unknown/ambiguous menjadi blocker dan tidak ditebak.</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IMP-002</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Raw file, checksum, filename, source, periode, waktu upload, uploader, parser version, issue, approval, dan commit result dipertahankan untuk audit.</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Batch dapat direproduksi dan duplicate file dikenali tanpa menggandakan canonical record.</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4.3 Import Sales dan Traffic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IMP-003</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Business key Sales adalah Source + No. Pesanan + SKU dan commit harus idempotent.</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Re-import yang sama tidak membuat duplicate line; status terbaru memperbarui order yang sama.</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IMP-004</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ERP menampilkan periode transaksi yang perlu diperbarui per Source berdasarkan transaksi nonfinal historis dan cutoff data baru sampai kemarin.</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Requirement memperlihatkan periode ringkas dan detail alasan/status/last import.</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4.3 Import Sales dan Traffic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IMP-005</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Selesai dan Retur dianggap final; status lainnya tetap masuk historical status audit dan re-import queue.</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Bulan lama yang masih nonfinal tidak tersembunyi oleh pergantian bulan/tahun.</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IMP-006</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File di luar periode requirement boleh diproses sebagai audit ulang selama source dan schema valid.</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Preview menunjukkan unchanged/status update/new/pure cancel sebelum approval.</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Should</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4.3 Import Sales dan Traffic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IMP-007</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Pure cancel baru tidak menjadi canonical Sales; order yang sebelumnya canonical lalu batal disimpan sebagai audit evidence not-counted.</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Pure cancel tidak masuk report dan tidak memiliki Sales Out/FIFO movement.</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IMP-008</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Traffic diimpor pada grain Source + month + marketplace product/parent code; variation row tidak boleh menggandakan page-level traffic.</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Duplicate product/variation mapping diblok; period completeness dan reopen diaudit.</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4.3 Import Sales dan Traffic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IMP-009</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Shopee yang diekspor per bulan dapat diunggah sebagai batch terpisah; TikTok multi-bulan boleh satu file bila schema valid.</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Setiap batch memiliki periode dan approval sendiri namun canonical result tetap idempotent.</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Should</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4.4 Sales reporting dan transaksi</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SAL-001</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Sales Dashboard default ke bulan data berjalan sampai tanggal transaksi terbaru dan mendukung filter tanggal bebas.</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Rentang contoh 1–10 Agustus menghitung seluruh KPI, status, source, dan daily trend hanya untuk tanggal tersebut.</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SAL-002</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KPI minimum: Gross Sales, Net Sales, GPM, GPM Rate, Discount, AOV, COGS, Qty, dan order unik.</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GPM = Net Sales − COGS; GPM Rate = GPM / Gross Sales; denominator tidak diganti diam-diam.</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4.4 Sales reporting dan transaksi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SAL-003</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Daily Gross Sales menampilkan setiap hari dalam rentang terpilih, termasuk hari tanpa transaksi.</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Bar memakai Gross Sales; nilai Rupiah dapat discroll ketika periode lebih panjang dari panel.</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SAL-004</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Monthly Gross Sales menampilkan maksimal 12 bulan rolling dan total Gross Sales dalam Rp miliar.</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Saat latest Februari 2027, periode rolling mulai Maret 2026; bulan kosong tetap memiliki posisi.</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4.4 Sales reporting dan transaksi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SAL-005</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MTD Gross Sales membandingkan cutoff hari terbaru yang sama untuk setiap bulan.</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Jika latest tanggal 19, seluruh batang menghitung hanya tanggal 1–19 pada bulan masing-masing.</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SAL-006</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Monthly dan MTD Gross Sales menampilkan growth antarbulan, divider, warna hijau untuk naik, merah untuk turun, dan dash bila denominator tidak tersedia.</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Growth = (bulan ini − bulan lalu) / bulan lalu; MTD memakai cutoff yang sama.</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Should</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4.4 Sales reporting dan transaksi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SAL-007</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Product Performance default ke 1 Januari tahun data terakhir sampai sales terbaru dan mendukung filter multi-select searchable.</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Source, Source Group, Category, dan Product dapat dipilih banyak; antar-dimensi memakai irisan.</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SAL-008</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Pareto Analysis mendukung periode Bulan, Quarter, Semester, dan Tahun; default adalah tahun data aktual terakhir.</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Qty, Net Sales, contribution, cumulative, dan kelas A/B/C berasal dari canonical counted Sales.</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4.4 Sales reporting dan transaksi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SAL-009</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Transaction menyediakan pencarian dan detail Source, order, status, SKU, qty, snapshot harga/COGS, Gross, Net, dan GPM.</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Nilai historis tidak mengikuti master current dan pure cancel not-counted tidak mencemari agregat.</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SAL-010</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Net unit price tidak boleh melebihi retail snapshot; special case kenaikan harga memakai retail snapshot minimal sama dengan Net dan wajib memberi notifikasi.</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Gross = Net dan discount tidak negatif hanya untuk special case terdeteksi; master historis tidak ditulis ulang.</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4.4 Sales reporting dan transaksi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SAL-011</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Transaksi non-marketplace dimasukkan manual dengan Source aktual dan Source Group Other.</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Invoice unik per Source, SKU, qty, net unit price, status, snapshot, audit, dan FIFO mengikuti alur canonical.</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SAL-012</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Semua historical transaction/cost snapshot immutable setelah commit; koreksi status tidak menulis ulang nilai finansial tanpa evidence dan workflow koreksi.</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Perubahan master atau report tidak mengubah Gross/Net/COGS/GPM historical line.</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4.5 Merchandising dan planning</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MER-001</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Projection bulan berjalan mempertahankan rule proven di Google Sheets dan memakai actual sampai latest cutoff.</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Recommendation dapat direkonsiliasi dengan rule lama untuk controlled SKU sample.</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MER-002</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Projection bulan berikutnya mendukung Increase %, Decrease %, dan Target Stock Ratio.</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User memilih method dan parameter, preview per SKU/Product, lalu approve whole-unit result.</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4.5 Merchandising dan planning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MER-003</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Filter projection: Product Status, Category, dan Product; Product boleh memiliki rule berbeda.</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Priority Product &gt; Category &gt; Product Status dan conflict memberi warning sebelum override.</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MER-004</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Draft, system recommendation, Adit adjustment, dan final approved projection disimpan terpisah dan versioned.</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Hanya final approved yang boleh mengalir ke Incoming/PPIC.</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4.5 Merchandising dan planning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MER-005</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Incoming menghitung Minimum Incoming dan recommendation target ratio tanpa mencampur planning dengan actual stock.</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Formula dan stock ratio yang dipakai tercatat; draft tidak membuat movement.</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4.6 PPIC dan Purchase Order</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PPC-001</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Final Approved Incoming membuat atau merevisi PPIC Requirement pada grain Need Month + SKU.</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Semua SKU tercakup tanpa fixed row boundary; revision history dipertahankan.</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PPC-002</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PPIC menampilkan required, ordered, adjustment, dan remaining qty; requirement tidak dihapus setelah PO dibuat.</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Alokasi requirement mencegah qty yang sama dipesan dua kali.</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4.6 PPIC dan Purchase Order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PO-001</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Review PO hanya membuat preview; Create PO dilakukan setelah validasi dan approval.</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Preview tidak membuat No. PO atau actual inventory record.</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PO-002</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Satu PO hanya memiliki satu Supplier dan satu Need Month, tetapi dapat memuat banyak SKU.</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Validation menolak campuran supplier/Need Month dalam satu header.</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4.6 PPIC dan Purchase Order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PO-003</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Format No. PO adalah PO-VOB-MM/YY-NNN dan sequence unik/concurrency-safe per bulan.</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Dua create bersamaan tidak menghasilkan duplicate number.</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PO-004</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COGS disnapshot saat PO dibuat/released; perubahan master tidak mengubah PO lama atau FIFO inbound layer.</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Historical PO COGS dan total tetap sama setelah master berubah.</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4.6 PPIC dan Purchase Order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PO-005</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PO manual untuk produk baru memakai source Manual – New Product dan SKU wajib sudah ada di master.</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PO tidak dapat dibuat untuk SKU tidak dikenal atau tanpa cost rule yang valid.</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PO-006</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Draft boleh diedit; Released tidak hard-delete dan koreksi memakai amendment/cancellation beralasan dengan audit trail.</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Downstream record tetap traceable ke version/status PO yang benar.</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4.6 PPIC dan Purchase Order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PO-007</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PO print, tracking, close/reopen, dan aging diturunkan dari canonical PO/QC/inbound/FIFO/return, bukan input total manual paralel.</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Tracking dan aging berubah konsisten setelah partial inbound, sale, return, dan close.</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Should</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4.7 QC, inbound, inventory, FIFO, dan return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QCI-001</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QC mendukung partial inspection dan menyimpan Inspected, Passed, Failed, serta disposition.</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Passed + Failed ≤ Inspected dan cumulative Inspected ≤ PO Qty.</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QCI-002</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QC Failed tidak menambah stock dan wajib memiliki disposition terkontrol.</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Failed qty tetap exception sampai decision; setiap treatment memiliki reason dan audit.</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4.7 QC, inbound, inventory, FIFO, dan return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QCI-003</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Inbound mendukung partial receipt per PO + SKU dan cumulative Received ≤ cumulative QC Passed.</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Over-inbound ditolak; actual valid receipt mencatat warehouse/receiver/date.</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INV-001</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Available Inventory berasal dari immutable movement ledger, bukan saldo yang diedit langsung.</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Saldo per SKU/warehouse dapat direkonstruksi dari Opening, Incoming, Sales Out, Return In, dan Adjustment.</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4.7 QC, inbound, inventory, FIFO, dan return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INV-002</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FIFO cutover adalah 1 Agustus 2026; Opening memakai frozen cost dan inbound memakai PO cost snapshot.</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Layer key unik, original/remaining qty, unit cost, dan source document dapat ditelusuri.</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INV-003</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Sales Out mengonsumsi FIFO layer tertua; shortage tidak menghapus actual Sales dan menghasilkan Negative Stock/FIFO Short exception.</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Sistem tidak membuat cost palsu atau clamp stock menjadi nol.</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4.7 QC, inbound, inventory, FIFO, dan return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INV-004</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Adjustment In/Out membutuhkan date, reason, evidence/reference, actor, dan approved cost bila relevan.</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Exception hanya closed melalui corrective record yang traceable.</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RET-001</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Status marketplace Retur membuat Expected Return tetapi tidak menambah inventory.</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Tidak ada Return In/FIFO restoration sebelum physical receipt Sellable.</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4.7 QC, inbound, inventory, FIFO, dan return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RET-002</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Physical Return menyimpan Source, order, SKU, qty, warehouse, receipt date, condition, dan notes; partial return diperbolehkan.</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Cumulative receipt tidak melebihi original Sales Out tanpa approved adjustment.</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RET-003</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Hanya kondisi Sellable yang memulihkan inventory dan FIFO allocation transaksi asal.</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Damaged/Defective/Missing/Wrong Item/Waiting Inspection tidak menambah available stock sebelum valid disposition.</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4.7 QC, inbound, inventory, FIFO, dan return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AGE-001</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PO close otomatis hanya bila seluruh PO qty inbound, semua PO layer habis, dan tidak ada return/exception terbuka.</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Sellable return pada PO closed otomatis membuat status Reopened.</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AGE-002</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PO Aging: 0–60 On Target, 61–90 Attention, &gt;90 Over Target; target maksimum 90 hari.</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Aging memakai PO Open Date/Created At dan menandai Closed Late bila sesuai.</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4.8 Reconciliation, migration, dan cutover</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REC-001</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Reconciliation membandingkan per-record dan total untuk transaction key, SKU, qty, movement, inventory, PO, QC, inbound, FIFO, dan close validity.</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Offsetting difference tidak boleh tersembunyi oleh grand total yang kebetulan sama.</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REC-002</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Key dan quantity harus cocok 100%; money memakai definisi/rounding sama dengan toleransi maksimal Rp1 yang dapat dijelaskan.</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Difference memiliki source value, ERP value, severity, explanation, status, dan resolution evidence.</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4.8 Reconciliation, migration, dan cutover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REC-003</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Google Sheets tetap berjalan paralel sampai cutover tervalidasi dan menjadi fallback selama stabilisasi.</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ERP tidak mengubah workbook live tanpa task/otorisasi terpisah.</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REC-004</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Cutover membutuhkan minimal tujuh daily parallel-run cycle berturut-turut yang pass.</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Tidak ada duplicate, missing movement, unexplained stock difference, atau unresolved critical exception.</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DCEAF7"/>
            <w:tcMar>
              <w:top w:w="80" w:type="dxa"/>
              <w:start w:w="120" w:type="dxa"/>
              <w:bottom w:w="80" w:type="dxa"/>
              <w:end w:w="120" w:type="dxa"/>
            </w:tcMar>
          </w:tcPr>
          <w:p>
            <w:pPr>
              <w:spacing w:before="0" w:after="0" w:line="269" w:lineRule="auto"/>
              <w:jc w:val="center"/>
            </w:pPr>
            <w:r/>
            <w:r>
              <w:rPr>
                <w:rFonts w:ascii="Calibri" w:hAnsi="Calibri"/>
                <w:b/>
                <w:color w:val="171714"/>
                <w:sz w:val="15"/>
              </w:rPr>
              <w:t>PL</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4.8 Reconciliation, migration, dan cutover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REC-005</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Migration dilakukan melalui staged import/approval dengan provenance; tidak boleh direct edit canonical table.</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Rehearsal, reconciliation evidence, rollback/fallback, dan explicit Adit approval tersedia sebelum production cutover.</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DCEAF7"/>
            <w:tcMar>
              <w:top w:w="80" w:type="dxa"/>
              <w:start w:w="120" w:type="dxa"/>
              <w:bottom w:w="80" w:type="dxa"/>
              <w:end w:w="120" w:type="dxa"/>
            </w:tcMar>
          </w:tcPr>
          <w:p>
            <w:pPr>
              <w:spacing w:before="0" w:after="0" w:line="269" w:lineRule="auto"/>
              <w:jc w:val="center"/>
            </w:pPr>
            <w:r/>
            <w:r>
              <w:rPr>
                <w:rFonts w:ascii="Calibri" w:hAnsi="Calibri"/>
                <w:b/>
                <w:color w:val="171714"/>
                <w:sz w:val="15"/>
              </w:rPr>
              <w:t>PL</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4.9 Modul planned</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MOD-001</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RnD akan mencakup product development, sampling, material, initial costing, dan lifecycle setelah discovery disetujui.</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Hub menampilkan Segera hadir; tidak ada data/proses fiktif sebelum SKPL revisi disetujui.</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Could</w:t>
            </w:r>
          </w:p>
        </w:tc>
        <w:tc>
          <w:tcPr>
            <w:tcW w:type="dxa" w:w="1000"/>
            <w:vAlign w:val="center"/>
            <w:shd w:fill="DCEAF7"/>
            <w:tcMar>
              <w:top w:w="80" w:type="dxa"/>
              <w:start w:w="120" w:type="dxa"/>
              <w:bottom w:w="80" w:type="dxa"/>
              <w:end w:w="120" w:type="dxa"/>
            </w:tcMar>
          </w:tcPr>
          <w:p>
            <w:pPr>
              <w:spacing w:before="0" w:after="0" w:line="269" w:lineRule="auto"/>
              <w:jc w:val="center"/>
            </w:pPr>
            <w:r/>
            <w:r>
              <w:rPr>
                <w:rFonts w:ascii="Calibri" w:hAnsi="Calibri"/>
                <w:b/>
                <w:color w:val="171714"/>
                <w:sz w:val="15"/>
              </w:rPr>
              <w:t>PL</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MOD-002</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Marketing akan mencakup campaign, content plan, performance marketing, dan launch calendar setelah discovery disetujui.</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Requirement dan source-of-truth ditambahkan melalui change control SKPL.</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Could</w:t>
            </w:r>
          </w:p>
        </w:tc>
        <w:tc>
          <w:tcPr>
            <w:tcW w:type="dxa" w:w="1000"/>
            <w:vAlign w:val="center"/>
            <w:shd w:fill="DCEAF7"/>
            <w:tcMar>
              <w:top w:w="80" w:type="dxa"/>
              <w:start w:w="120" w:type="dxa"/>
              <w:bottom w:w="80" w:type="dxa"/>
              <w:end w:w="120" w:type="dxa"/>
            </w:tcMar>
          </w:tcPr>
          <w:p>
            <w:pPr>
              <w:spacing w:before="0" w:after="0" w:line="269" w:lineRule="auto"/>
              <w:jc w:val="center"/>
            </w:pPr>
            <w:r/>
            <w:r>
              <w:rPr>
                <w:rFonts w:ascii="Calibri" w:hAnsi="Calibri"/>
                <w:b/>
                <w:color w:val="171714"/>
                <w:sz w:val="15"/>
              </w:rPr>
              <w:t>PL</w:t>
            </w:r>
          </w:p>
        </w:tc>
      </w:tr>
    </w:tbl>
    <w:p>
      <w:pPr>
        <w:keepNext w:val="0"/>
        <w:spacing w:before="0" w:after="100" w:line="300" w:lineRule="auto"/>
      </w:pPr>
    </w:p>
    <w:p>
      <w:pPr>
        <w:keepNext/>
        <w:pageBreakBefore/>
        <w:spacing w:after="140"/>
      </w:pPr>
      <w:r>
        <w:rPr>
          <w:rFonts w:ascii="Calibri" w:hAnsi="Calibri"/>
          <w:b/>
          <w:color w:val="6F716A"/>
          <w:sz w:val="16"/>
        </w:rPr>
        <w:t>VOBIA  ·  SKPL v1.0  ·  KATALOG REQUIREMENT</w:t>
        <w:br/>
        <w:br/>
      </w:r>
      <w:r>
        <w:rPr>
          <w:rFonts w:ascii="Calibri" w:hAnsi="Calibri"/>
          <w:b/>
          <w:color w:val="171714"/>
          <w:sz w:val="26"/>
        </w:rPr>
        <w:t>4.9 Modul planned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MOD-003</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Finance akan mencakup cash flow, payable, receivable, budgeting, dan financial reporting setelah accounting policy disetujui.</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Tidak ada posting accounting otomatis sebelum chart of accounts dan control disetujui.</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Could</w:t>
            </w:r>
          </w:p>
        </w:tc>
        <w:tc>
          <w:tcPr>
            <w:tcW w:type="dxa" w:w="1000"/>
            <w:vAlign w:val="center"/>
            <w:shd w:fill="DCEAF7"/>
            <w:tcMar>
              <w:top w:w="80" w:type="dxa"/>
              <w:start w:w="120" w:type="dxa"/>
              <w:bottom w:w="80" w:type="dxa"/>
              <w:end w:w="120" w:type="dxa"/>
            </w:tcMar>
          </w:tcPr>
          <w:p>
            <w:pPr>
              <w:spacing w:before="0" w:after="0" w:line="269" w:lineRule="auto"/>
              <w:jc w:val="center"/>
            </w:pPr>
            <w:r/>
            <w:r>
              <w:rPr>
                <w:rFonts w:ascii="Calibri" w:hAnsi="Calibri"/>
                <w:b/>
                <w:color w:val="171714"/>
                <w:sz w:val="15"/>
              </w:rPr>
              <w:t>PL</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MOD-004</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Human Resource akan mencakup employee data, attendance, payroll, performance, dan organization setelah privacy/role policy disetujui.</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Sensitive HR data tidak dikumpulkan sebelum access, retention, dan privacy requirement disetujui.</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Could</w:t>
            </w:r>
          </w:p>
        </w:tc>
        <w:tc>
          <w:tcPr>
            <w:tcW w:type="dxa" w:w="1000"/>
            <w:vAlign w:val="center"/>
            <w:shd w:fill="DCEAF7"/>
            <w:tcMar>
              <w:top w:w="80" w:type="dxa"/>
              <w:start w:w="120" w:type="dxa"/>
              <w:bottom w:w="80" w:type="dxa"/>
              <w:end w:w="120" w:type="dxa"/>
            </w:tcMar>
          </w:tcPr>
          <w:p>
            <w:pPr>
              <w:spacing w:before="0" w:after="0" w:line="269" w:lineRule="auto"/>
              <w:jc w:val="center"/>
            </w:pPr>
            <w:r/>
            <w:r>
              <w:rPr>
                <w:rFonts w:ascii="Calibri" w:hAnsi="Calibri"/>
                <w:b/>
                <w:color w:val="171714"/>
                <w:sz w:val="15"/>
              </w:rPr>
              <w:t>PL</w:t>
            </w:r>
          </w:p>
        </w:tc>
      </w:tr>
    </w:tbl>
    <w:p>
      <w:pPr>
        <w:keepNext w:val="0"/>
        <w:spacing w:before="0" w:after="100" w:line="300" w:lineRule="auto"/>
      </w:pPr>
    </w:p>
    <w:p>
      <w:pPr>
        <w:pStyle w:val="Heading1"/>
        <w:keepNext/>
      </w:pPr>
      <w:r>
        <w:t>5. Kebutuhan data</w:t>
      </w:r>
    </w:p>
    <w:p>
      <w:pPr>
        <w:pStyle w:val="Heading2"/>
        <w:keepNext/>
      </w:pPr>
      <w:r>
        <w:t>5.1 Prinsip data</w:t>
      </w:r>
    </w:p>
    <w:p>
      <w:pPr>
        <w:spacing w:after="80" w:line="300" w:lineRule="auto"/>
        <w:numPr>
          <w:ilvl w:val="0"/>
          <w:numId w:val="10"/>
        </w:numPr>
      </w:pPr>
      <w:r>
        <w:rPr>
          <w:rFonts w:ascii="Calibri" w:hAnsi="Calibri"/>
          <w:color w:val="171714"/>
          <w:sz w:val="21"/>
        </w:rPr>
        <w:t>SKU detail adalah transaction dan inventory key; product/parent code dipakai untuk traffic page-level mapping.</w:t>
      </w:r>
    </w:p>
    <w:p>
      <w:pPr>
        <w:spacing w:after="80" w:line="300" w:lineRule="auto"/>
        <w:numPr>
          <w:ilvl w:val="0"/>
          <w:numId w:val="10"/>
        </w:numPr>
      </w:pPr>
      <w:r>
        <w:rPr>
          <w:rFonts w:ascii="Calibri" w:hAnsi="Calibri"/>
          <w:color w:val="171714"/>
          <w:sz w:val="21"/>
        </w:rPr>
        <w:t>Internal primary key memakai UUID; business key tetap unik dan dapat dibaca manusia.</w:t>
      </w:r>
    </w:p>
    <w:p>
      <w:pPr>
        <w:spacing w:after="80" w:line="300" w:lineRule="auto"/>
        <w:numPr>
          <w:ilvl w:val="0"/>
          <w:numId w:val="10"/>
        </w:numPr>
      </w:pPr>
      <w:r>
        <w:rPr>
          <w:rFonts w:ascii="Calibri" w:hAnsi="Calibri"/>
          <w:color w:val="171714"/>
          <w:sz w:val="21"/>
        </w:rPr>
        <w:t>Posted record menggunakan amendment, reversal, cancellation, atau compensating adjustment—bukan silent delete/edit.</w:t>
      </w:r>
    </w:p>
    <w:p>
      <w:pPr>
        <w:spacing w:after="80" w:line="300" w:lineRule="auto"/>
        <w:numPr>
          <w:ilvl w:val="0"/>
          <w:numId w:val="10"/>
        </w:numPr>
      </w:pPr>
      <w:r>
        <w:rPr>
          <w:rFonts w:ascii="Calibri" w:hAnsi="Calibri"/>
          <w:color w:val="171714"/>
          <w:sz w:val="21"/>
        </w:rPr>
        <w:t>Month disimpan sebagai year-month nyata; label seperti Agu hanya presentation.</w:t>
      </w:r>
    </w:p>
    <w:p>
      <w:pPr>
        <w:spacing w:after="80" w:line="300" w:lineRule="auto"/>
        <w:numPr>
          <w:ilvl w:val="0"/>
          <w:numId w:val="10"/>
        </w:numPr>
      </w:pPr>
      <w:r>
        <w:rPr>
          <w:rFonts w:ascii="Calibri" w:hAnsi="Calibri"/>
          <w:color w:val="171714"/>
          <w:sz w:val="21"/>
        </w:rPr>
        <w:t>Snapshot finansial transaction/PO/opening/FIFO tidak berubah ketika current master berubah.</w:t>
      </w:r>
    </w:p>
    <w:p>
      <w:pPr>
        <w:pStyle w:val="Heading2"/>
        <w:keepNext/>
      </w:pPr>
      <w:r>
        <w:t>5.2 Domain entity minimum</w:t>
      </w:r>
    </w:p>
    <w:tbl>
      <w:tblPr>
        <w:tblW w:type="dxa" w:w="9360"/>
        <w:tblLayout w:type="fixed"/>
        <w:tblLook w:firstColumn="1" w:firstRow="1" w:lastColumn="0" w:lastRow="0" w:noHBand="0" w:noVBand="1" w:val="04A0"/>
        <w:tblInd w:w="120" w:type="dxa"/>
      </w:tblPr>
      <w:tblGrid>
        <w:gridCol w:w="1650"/>
        <w:gridCol w:w="4250"/>
        <w:gridCol w:w="3460"/>
      </w:tblGrid>
      <w:tr>
        <w:trPr>
          <w:tblHeader w:val="true"/>
        </w:trPr>
        <w:tc>
          <w:tcPr>
            <w:tcW w:type="dxa" w:w="16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Domain</w:t>
            </w:r>
          </w:p>
        </w:tc>
        <w:tc>
          <w:tcPr>
            <w:tcW w:type="dxa" w:w="42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Entity minimum</w:t>
            </w:r>
          </w:p>
        </w:tc>
        <w:tc>
          <w:tcPr>
            <w:tcW w:type="dxa" w:w="346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Integrity boundary</w:t>
            </w:r>
          </w:p>
        </w:tc>
      </w:tr>
      <w:tr>
        <w:trPr>
          <w:cantSplit/>
        </w:trPr>
        <w:tc>
          <w:tcPr>
            <w:tcW w:type="dxa" w:w="165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6"/>
              </w:rPr>
              <w:t>Accounts/Audit</w:t>
            </w:r>
          </w:p>
        </w:tc>
        <w:tc>
          <w:tcPr>
            <w:tcW w:type="dxa" w:w="425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User, audit event, lockout</w:t>
            </w:r>
          </w:p>
        </w:tc>
        <w:tc>
          <w:tcPr>
            <w:tcW w:type="dxa" w:w="34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Actor dan waktu selalu tersedia untuk controlled action.</w:t>
            </w:r>
          </w:p>
        </w:tc>
      </w:tr>
      <w:tr>
        <w:trPr>
          <w:cantSplit/>
        </w:trPr>
        <w:tc>
          <w:tcPr>
            <w:tcW w:type="dxa" w:w="165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6"/>
              </w:rPr>
              <w:t>Master</w:t>
            </w:r>
          </w:p>
        </w:tc>
        <w:tc>
          <w:tcPr>
            <w:tcW w:type="dxa" w:w="425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Status, category, product, variant, SKU, value history, mapping</w:t>
            </w:r>
          </w:p>
        </w:tc>
        <w:tc>
          <w:tcPr>
            <w:tcW w:type="dxa" w:w="34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SKU unik; used SKU tidak hard-delete.</w:t>
            </w:r>
          </w:p>
        </w:tc>
      </w:tr>
      <w:tr>
        <w:trPr>
          <w:cantSplit/>
        </w:trPr>
        <w:tc>
          <w:tcPr>
            <w:tcW w:type="dxa" w:w="165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6"/>
              </w:rPr>
              <w:t>Import</w:t>
            </w:r>
          </w:p>
        </w:tc>
        <w:tc>
          <w:tcPr>
            <w:tcW w:type="dxa" w:w="425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Raw file, batch, staged rows, validation issue, requirement</w:t>
            </w:r>
          </w:p>
        </w:tc>
        <w:tc>
          <w:tcPr>
            <w:tcW w:type="dxa" w:w="34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Stage tidak dihitung canonical; commit atomic.</w:t>
            </w:r>
          </w:p>
        </w:tc>
      </w:tr>
      <w:tr>
        <w:trPr>
          <w:cantSplit/>
        </w:trPr>
        <w:tc>
          <w:tcPr>
            <w:tcW w:type="dxa" w:w="165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6"/>
              </w:rPr>
              <w:t>Sales/Traffic</w:t>
            </w:r>
          </w:p>
        </w:tc>
        <w:tc>
          <w:tcPr>
            <w:tcW w:type="dxa" w:w="425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Order, order line, status history, traffic metric</w:t>
            </w:r>
          </w:p>
        </w:tc>
        <w:tc>
          <w:tcPr>
            <w:tcW w:type="dxa" w:w="34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Source + order + SKU unik; traffic page grain unik.</w:t>
            </w:r>
          </w:p>
        </w:tc>
      </w:tr>
      <w:tr>
        <w:trPr>
          <w:cantSplit/>
        </w:trPr>
        <w:tc>
          <w:tcPr>
            <w:tcW w:type="dxa" w:w="165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6"/>
              </w:rPr>
              <w:t>Planning</w:t>
            </w:r>
          </w:p>
        </w:tc>
        <w:tc>
          <w:tcPr>
            <w:tcW w:type="dxa" w:w="425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Scenario, rule, projection, incoming</w:t>
            </w:r>
          </w:p>
        </w:tc>
        <w:tc>
          <w:tcPr>
            <w:tcW w:type="dxa" w:w="34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Draft/recommendation/adjustment/final terpisah.</w:t>
            </w:r>
          </w:p>
        </w:tc>
      </w:tr>
      <w:tr>
        <w:trPr>
          <w:cantSplit/>
        </w:trPr>
        <w:tc>
          <w:tcPr>
            <w:tcW w:type="dxa" w:w="165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6"/>
              </w:rPr>
              <w:t>PPIC/PO</w:t>
            </w:r>
          </w:p>
        </w:tc>
        <w:tc>
          <w:tcPr>
            <w:tcW w:type="dxa" w:w="425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Requirement, PO, PO line, allocation, amendment/history</w:t>
            </w:r>
          </w:p>
        </w:tc>
        <w:tc>
          <w:tcPr>
            <w:tcW w:type="dxa" w:w="34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Need Month + SKU; one supplier/month per PO.</w:t>
            </w:r>
          </w:p>
        </w:tc>
      </w:tr>
      <w:tr>
        <w:trPr>
          <w:cantSplit/>
        </w:trPr>
        <w:tc>
          <w:tcPr>
            <w:tcW w:type="dxa" w:w="165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6"/>
              </w:rPr>
              <w:t>QC/Inbound</w:t>
            </w:r>
          </w:p>
        </w:tc>
        <w:tc>
          <w:tcPr>
            <w:tcW w:type="dxa" w:w="425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Inspection, failure disposition, receipt</w:t>
            </w:r>
          </w:p>
        </w:tc>
        <w:tc>
          <w:tcPr>
            <w:tcW w:type="dxa" w:w="34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Cumulative checks melindungi PO/QC limit.</w:t>
            </w:r>
          </w:p>
        </w:tc>
      </w:tr>
      <w:tr>
        <w:trPr>
          <w:cantSplit/>
        </w:trPr>
        <w:tc>
          <w:tcPr>
            <w:tcW w:type="dxa" w:w="165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6"/>
              </w:rPr>
              <w:t>Inventory/FIFO</w:t>
            </w:r>
          </w:p>
        </w:tc>
        <w:tc>
          <w:tcPr>
            <w:tcW w:type="dxa" w:w="425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Movement, layer, allocation, adjustment, exception</w:t>
            </w:r>
          </w:p>
        </w:tc>
        <w:tc>
          <w:tcPr>
            <w:tcW w:type="dxa" w:w="34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Immutable ledger; cost berasal dari valid snapshot.</w:t>
            </w:r>
          </w:p>
        </w:tc>
      </w:tr>
      <w:tr>
        <w:trPr>
          <w:cantSplit/>
        </w:trPr>
        <w:tc>
          <w:tcPr>
            <w:tcW w:type="dxa" w:w="165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6"/>
              </w:rPr>
              <w:t>Return/Aging</w:t>
            </w:r>
          </w:p>
        </w:tc>
        <w:tc>
          <w:tcPr>
            <w:tcW w:type="dxa" w:w="425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Expected return, receipt, restoration, close state</w:t>
            </w:r>
          </w:p>
        </w:tc>
        <w:tc>
          <w:tcPr>
            <w:tcW w:type="dxa" w:w="34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Physical sellable receipt saja yang memulihkan stock.</w:t>
            </w:r>
          </w:p>
        </w:tc>
      </w:tr>
      <w:tr>
        <w:trPr>
          <w:cantSplit/>
        </w:trPr>
        <w:tc>
          <w:tcPr>
            <w:tcW w:type="dxa" w:w="165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6"/>
              </w:rPr>
              <w:t>Reconciliation</w:t>
            </w:r>
          </w:p>
        </w:tc>
        <w:tc>
          <w:tcPr>
            <w:tcW w:type="dxa" w:w="425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Run, difference, parallel cycle, cutover approval</w:t>
            </w:r>
          </w:p>
        </w:tc>
        <w:tc>
          <w:tcPr>
            <w:tcW w:type="dxa" w:w="34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Per-record evidence dan resolution status.</w:t>
            </w:r>
          </w:p>
        </w:tc>
      </w:tr>
    </w:tbl>
    <w:p>
      <w:pPr>
        <w:keepNext w:val="0"/>
        <w:spacing w:before="0" w:after="100" w:line="300" w:lineRule="auto"/>
      </w:pPr>
    </w:p>
    <w:p>
      <w:pPr>
        <w:pStyle w:val="Heading2"/>
        <w:keepNext/>
      </w:pPr>
      <w:r>
        <w:t>5.3 Core constraints</w:t>
      </w:r>
    </w:p>
    <w:p>
      <w:pPr>
        <w:spacing w:after="80" w:line="300" w:lineRule="auto"/>
        <w:numPr>
          <w:ilvl w:val="0"/>
          <w:numId w:val="10"/>
        </w:numPr>
      </w:pPr>
      <w:r>
        <w:rPr>
          <w:rFonts w:ascii="Calibri" w:hAnsi="Calibri"/>
          <w:color w:val="171714"/>
          <w:sz w:val="21"/>
        </w:rPr>
        <w:t>Unique SKU; unique Source + No. Pesanan + SKU; unique No. PO; unique movement key/source-line key.</w:t>
      </w:r>
    </w:p>
    <w:p>
      <w:pPr>
        <w:spacing w:after="80" w:line="300" w:lineRule="auto"/>
        <w:numPr>
          <w:ilvl w:val="0"/>
          <w:numId w:val="10"/>
        </w:numPr>
      </w:pPr>
      <w:r>
        <w:rPr>
          <w:rFonts w:ascii="Calibri" w:hAnsi="Calibri"/>
          <w:color w:val="171714"/>
          <w:sz w:val="21"/>
        </w:rPr>
        <w:t>Positive controlled quantities; Passed + Failed ≤ Inspected; inspected ≤ PO; received ≤ QC Passed.</w:t>
      </w:r>
    </w:p>
    <w:p>
      <w:pPr>
        <w:spacing w:after="80" w:line="300" w:lineRule="auto"/>
        <w:numPr>
          <w:ilvl w:val="0"/>
          <w:numId w:val="10"/>
        </w:numPr>
      </w:pPr>
      <w:r>
        <w:rPr>
          <w:rFonts w:ascii="Calibri" w:hAnsi="Calibri"/>
          <w:color w:val="171714"/>
          <w:sz w:val="21"/>
        </w:rPr>
        <w:t>Requirement allocation tidak boleh melebihi remaining; physical return tidak boleh melebihi original Sales Out tanpa adjustment.</w:t>
      </w:r>
    </w:p>
    <w:p>
      <w:pPr>
        <w:spacing w:after="80" w:line="300" w:lineRule="auto"/>
        <w:numPr>
          <w:ilvl w:val="0"/>
          <w:numId w:val="10"/>
        </w:numPr>
      </w:pPr>
      <w:r>
        <w:rPr>
          <w:rFonts w:ascii="Calibri" w:hAnsi="Calibri"/>
          <w:color w:val="171714"/>
          <w:sz w:val="21"/>
        </w:rPr>
        <w:t>Net unit price ≤ retail snapshot; special case diangkat dengan notification dan Gross = Net.</w:t>
      </w:r>
    </w:p>
    <w:p>
      <w:pPr>
        <w:spacing w:after="80" w:line="300" w:lineRule="auto"/>
        <w:numPr>
          <w:ilvl w:val="0"/>
          <w:numId w:val="10"/>
        </w:numPr>
      </w:pPr>
      <w:r>
        <w:rPr>
          <w:rFonts w:ascii="Calibri" w:hAnsi="Calibri"/>
          <w:color w:val="171714"/>
          <w:sz w:val="21"/>
        </w:rPr>
        <w:t>Movement dan FIFO allocation tidak dapat diubah/dihapus melalui normal application permission.</w:t>
      </w:r>
    </w:p>
    <w:p>
      <w:pPr>
        <w:pStyle w:val="Heading1"/>
        <w:keepNext/>
      </w:pPr>
      <w:r>
        <w:t>6. Aturan bisnis lintas modul</w:t>
      </w:r>
    </w:p>
    <w:tbl>
      <w:tblPr>
        <w:tblW w:type="dxa" w:w="9360"/>
        <w:tblLayout w:type="fixed"/>
        <w:tblLook w:firstColumn="1" w:firstRow="1" w:lastColumn="0" w:lastRow="0" w:noHBand="0" w:noVBand="1" w:val="04A0"/>
        <w:tblInd w:w="120" w:type="dxa"/>
      </w:tblPr>
      <w:tblGrid>
        <w:gridCol w:w="1100"/>
        <w:gridCol w:w="8260"/>
      </w:tblGrid>
      <w:tr>
        <w:trPr>
          <w:tblHeader w:val="true"/>
        </w:trPr>
        <w:tc>
          <w:tcPr>
            <w:tcW w:type="dxa" w:w="11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Kode</w:t>
            </w:r>
          </w:p>
        </w:tc>
        <w:tc>
          <w:tcPr>
            <w:tcW w:type="dxa" w:w="826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Aturan</w:t>
            </w:r>
          </w:p>
        </w:tc>
      </w:tr>
      <w:tr>
        <w:trPr>
          <w:cantSplit/>
        </w:trPr>
        <w:tc>
          <w:tcPr>
            <w:tcW w:type="dxa" w:w="11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BR-001</w:t>
            </w:r>
          </w:p>
        </w:tc>
        <w:tc>
          <w:tcPr>
            <w:tcW w:type="dxa" w:w="82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Historical transaction dan COGS snapshot immutable.</w:t>
            </w:r>
          </w:p>
        </w:tc>
      </w:tr>
      <w:tr>
        <w:trPr>
          <w:cantSplit/>
        </w:trPr>
        <w:tc>
          <w:tcPr>
            <w:tcW w:type="dxa" w:w="11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BR-002</w:t>
            </w:r>
          </w:p>
        </w:tc>
        <w:tc>
          <w:tcPr>
            <w:tcW w:type="dxa" w:w="82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GPM = Net Sales − COGS; GPM Rate = GPM / Gross Sales.</w:t>
            </w:r>
          </w:p>
        </w:tc>
      </w:tr>
      <w:tr>
        <w:trPr>
          <w:cantSplit/>
        </w:trPr>
        <w:tc>
          <w:tcPr>
            <w:tcW w:type="dxa" w:w="11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BR-003</w:t>
            </w:r>
          </w:p>
        </w:tc>
        <w:tc>
          <w:tcPr>
            <w:tcW w:type="dxa" w:w="82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Semua stock movement traceable dan auditable.</w:t>
            </w:r>
          </w:p>
        </w:tc>
      </w:tr>
      <w:tr>
        <w:trPr>
          <w:cantSplit/>
        </w:trPr>
        <w:tc>
          <w:tcPr>
            <w:tcW w:type="dxa" w:w="11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BR-004</w:t>
            </w:r>
          </w:p>
        </w:tc>
        <w:tc>
          <w:tcPr>
            <w:tcW w:type="dxa" w:w="82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Planning tidak menjadi actual stock.</w:t>
            </w:r>
          </w:p>
        </w:tc>
      </w:tr>
      <w:tr>
        <w:trPr>
          <w:cantSplit/>
        </w:trPr>
        <w:tc>
          <w:tcPr>
            <w:tcW w:type="dxa" w:w="11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BR-005</w:t>
            </w:r>
          </w:p>
        </w:tc>
        <w:tc>
          <w:tcPr>
            <w:tcW w:type="dxa" w:w="82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Actual Sales tidak hilang karena stock shortage; shortage menjadi visible exception.</w:t>
            </w:r>
          </w:p>
        </w:tc>
      </w:tr>
      <w:tr>
        <w:trPr>
          <w:cantSplit/>
        </w:trPr>
        <w:tc>
          <w:tcPr>
            <w:tcW w:type="dxa" w:w="11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BR-006</w:t>
            </w:r>
          </w:p>
        </w:tc>
        <w:tc>
          <w:tcPr>
            <w:tcW w:type="dxa" w:w="82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FIFO memakai oldest eligible layer dan tidak menciptakan cost palsu.</w:t>
            </w:r>
          </w:p>
        </w:tc>
      </w:tr>
      <w:tr>
        <w:trPr>
          <w:cantSplit/>
        </w:trPr>
        <w:tc>
          <w:tcPr>
            <w:tcW w:type="dxa" w:w="11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BR-007</w:t>
            </w:r>
          </w:p>
        </w:tc>
        <w:tc>
          <w:tcPr>
            <w:tcW w:type="dxa" w:w="82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Return status ≠ physical receipt; Sellable physical receipt saja yang memulihkan stock/cost.</w:t>
            </w:r>
          </w:p>
        </w:tc>
      </w:tr>
      <w:tr>
        <w:trPr>
          <w:cantSplit/>
        </w:trPr>
        <w:tc>
          <w:tcPr>
            <w:tcW w:type="dxa" w:w="11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BR-008</w:t>
            </w:r>
          </w:p>
        </w:tc>
        <w:tc>
          <w:tcPr>
            <w:tcW w:type="dxa" w:w="82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One Supplier + One Need Month per PO.</w:t>
            </w:r>
          </w:p>
        </w:tc>
      </w:tr>
      <w:tr>
        <w:trPr>
          <w:cantSplit/>
        </w:trPr>
        <w:tc>
          <w:tcPr>
            <w:tcW w:type="dxa" w:w="11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BR-009</w:t>
            </w:r>
          </w:p>
        </w:tc>
        <w:tc>
          <w:tcPr>
            <w:tcW w:type="dxa" w:w="82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PO/QC Passed tidak menambah inventory; actual Inbound yang menambah.</w:t>
            </w:r>
          </w:p>
        </w:tc>
      </w:tr>
      <w:tr>
        <w:trPr>
          <w:cantSplit/>
        </w:trPr>
        <w:tc>
          <w:tcPr>
            <w:tcW w:type="dxa" w:w="11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BR-010</w:t>
            </w:r>
          </w:p>
        </w:tc>
        <w:tc>
          <w:tcPr>
            <w:tcW w:type="dxa" w:w="82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Google Sheets tetap operational parallel source sampai cutover approval.</w:t>
            </w:r>
          </w:p>
        </w:tc>
      </w:tr>
      <w:tr>
        <w:trPr>
          <w:cantSplit/>
        </w:trPr>
        <w:tc>
          <w:tcPr>
            <w:tcW w:type="dxa" w:w="11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BR-011</w:t>
            </w:r>
          </w:p>
        </w:tc>
        <w:tc>
          <w:tcPr>
            <w:tcW w:type="dxa" w:w="82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Perubahan rule permanen masuk knowledge bersama dan revisi SKPL setelah verification.</w:t>
            </w:r>
          </w:p>
        </w:tc>
      </w:tr>
    </w:tbl>
    <w:p>
      <w:pPr>
        <w:keepNext w:val="0"/>
        <w:spacing w:before="0" w:after="100" w:line="300" w:lineRule="auto"/>
      </w:pPr>
    </w:p>
    <w:p>
      <w:pPr>
        <w:sectPr>
          <w:headerReference w:type="default" r:id="rId13"/>
          <w:footerReference w:type="default" r:id="rId14"/>
          <w:pgSz w:w="12240" w:h="15840"/>
          <w:pgMar w:top="1440" w:right="1440" w:bottom="1440" w:left="1440" w:header="708" w:footer="708" w:gutter="0"/>
          <w:cols w:space="720"/>
          <w:docGrid w:linePitch="360"/>
        </w:sectPr>
      </w:pPr>
    </w:p>
    <w:p>
      <w:pPr>
        <w:pStyle w:val="Heading1"/>
        <w:keepNext/>
      </w:pPr>
      <w:r>
        <w:t>7. Kebutuhan non-fungsional</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NFR-001</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Keamanan transport</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Production wajib HTTPS, secure cookies, CSRF, SSL redirect, dan HSTS setelah domain scope disetujui.</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NFR-002</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Autentikasi</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Password memakai supported hash; raw password tidak disimpan; lima kegagalan memicu lockout 15 menit.</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NFR-003</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Otorisasi</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Single-user MVP full access; future RBAC menerapkan least privilege per module/action.</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NFR-004</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Database</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PostgreSQL adalah source of truth staging/production; SQLite hanya local development/UAT.</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NFR-005</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Integritas transaksi</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Business posting memakai atomic transaction; preview tidak menahan database transaction terbuka.</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NFR-006</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Presisi</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Money/qty/cost memakai exact decimal/integer; floating point dilarang untuk nilai finansial canonical.</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NFR-007</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Auditability</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Posted record, movement, layer, allocation, raw evidence, dan audit event tidak dapat silent edit/delete.</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NFR-008</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Usability</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Adit dapat menyelesaikan critical flow melalui browser tanpa terminal/admin/database access.</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NFR-009</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Responsiveness</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Critical Sales dan module hub usable di desktop dan mobile tanpa horizontal overflow; dense operation table boleh scroll terkontrol.</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Should</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NFR-010</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Maintainability</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Aplikasi memakai modular monolith dan core rule berada di service/domain layer, bukan template/UI.</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FF0C9"/>
            <w:tcMar>
              <w:top w:w="80" w:type="dxa"/>
              <w:start w:w="120" w:type="dxa"/>
              <w:bottom w:w="80" w:type="dxa"/>
              <w:end w:w="120" w:type="dxa"/>
            </w:tcMar>
          </w:tcPr>
          <w:p>
            <w:pPr>
              <w:spacing w:before="0" w:after="0" w:line="269" w:lineRule="auto"/>
              <w:jc w:val="center"/>
            </w:pPr>
            <w:r/>
            <w:r>
              <w:rPr>
                <w:rFonts w:ascii="Calibri" w:hAnsi="Calibri"/>
                <w:b/>
                <w:color w:val="171714"/>
                <w:sz w:val="15"/>
              </w:rPr>
              <w:t>IF</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NFR-011</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Testability</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Formula, constraint, import, FIFO, workflow, reconciliation, dan critical page memiliki automated test yang dapat diulang.</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NFR-012</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Observability</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Production memonitor 5xx, login lockout, import failure, storage, database, dan reconciliation critical issue.</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DCEAF7"/>
            <w:tcMar>
              <w:top w:w="80" w:type="dxa"/>
              <w:start w:w="120" w:type="dxa"/>
              <w:bottom w:w="80" w:type="dxa"/>
              <w:end w:w="120" w:type="dxa"/>
            </w:tcMar>
          </w:tcPr>
          <w:p>
            <w:pPr>
              <w:spacing w:before="0" w:after="0" w:line="269" w:lineRule="auto"/>
              <w:jc w:val="center"/>
            </w:pPr>
            <w:r/>
            <w:r>
              <w:rPr>
                <w:rFonts w:ascii="Calibri" w:hAnsi="Calibri"/>
                <w:b/>
                <w:color w:val="171714"/>
                <w:sz w:val="15"/>
              </w:rPr>
              <w:t>PL</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NFR-013</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Backup/restore</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Database/raw storage memiliki encrypted backup, retention, owner, dan restore test.</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DE3E1"/>
            <w:tcMar>
              <w:top w:w="80" w:type="dxa"/>
              <w:start w:w="120" w:type="dxa"/>
              <w:bottom w:w="80" w:type="dxa"/>
              <w:end w:w="120" w:type="dxa"/>
            </w:tcMar>
          </w:tcPr>
          <w:p>
            <w:pPr>
              <w:spacing w:before="0" w:after="0" w:line="269" w:lineRule="auto"/>
              <w:jc w:val="center"/>
            </w:pPr>
            <w:r/>
            <w:r>
              <w:rPr>
                <w:rFonts w:ascii="Calibri" w:hAnsi="Calibri"/>
                <w:b/>
                <w:color w:val="171714"/>
                <w:sz w:val="15"/>
              </w:rPr>
              <w:t>OD</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NFR-014</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Recovery objective</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RTO/RPO dan rollback procedure disetujui sebelum production.</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FDE3E1"/>
            <w:tcMar>
              <w:top w:w="80" w:type="dxa"/>
              <w:start w:w="120" w:type="dxa"/>
              <w:bottom w:w="80" w:type="dxa"/>
              <w:end w:w="120" w:type="dxa"/>
            </w:tcMar>
          </w:tcPr>
          <w:p>
            <w:pPr>
              <w:spacing w:before="0" w:after="0" w:line="269" w:lineRule="auto"/>
              <w:jc w:val="center"/>
            </w:pPr>
            <w:r/>
            <w:r>
              <w:rPr>
                <w:rFonts w:ascii="Calibri" w:hAnsi="Calibri"/>
                <w:b/>
                <w:color w:val="171714"/>
                <w:sz w:val="15"/>
              </w:rPr>
              <w:t>OD</w:t>
            </w:r>
          </w:p>
        </w:tc>
      </w:tr>
    </w:tbl>
    <w:p>
      <w:pPr>
        <w:keepNext w:val="0"/>
        <w:spacing w:before="0" w:after="100" w:line="300" w:lineRule="auto"/>
      </w:pPr>
    </w:p>
    <w:p>
      <w:pPr>
        <w:pStyle w:val="Heading1"/>
        <w:keepNext/>
        <w:pageBreakBefore/>
      </w:pPr>
      <w:r>
        <w:t>7. Kebutuhan non-fungsional (lanjutan)</w:t>
      </w:r>
    </w:p>
    <w:tbl>
      <w:tblPr>
        <w:tblW w:type="dxa" w:w="9360"/>
        <w:tblLayout w:type="fixed"/>
        <w:tblLook w:firstColumn="1" w:firstRow="1" w:lastColumn="0" w:lastRow="0" w:noHBand="0" w:noVBand="1" w:val="04A0"/>
        <w:tblInd w:w="120" w:type="dxa"/>
      </w:tblPr>
      <w:tblGrid>
        <w:gridCol w:w="1050"/>
        <w:gridCol w:w="3200"/>
        <w:gridCol w:w="3390"/>
        <w:gridCol w:w="720"/>
        <w:gridCol w:w="1000"/>
      </w:tblGrid>
      <w:tr>
        <w:trPr>
          <w:tblHeader w:val="true"/>
        </w:trPr>
        <w:tc>
          <w:tcPr>
            <w:tcW w:type="dxa" w:w="10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3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Kebutuhan</w:t>
            </w:r>
          </w:p>
        </w:tc>
        <w:tc>
          <w:tcPr>
            <w:tcW w:type="dxa" w:w="339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Acceptance criteria</w:t>
            </w:r>
          </w:p>
        </w:tc>
        <w:tc>
          <w:tcPr>
            <w:tcW w:type="dxa" w:w="72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Pri</w:t>
            </w:r>
          </w:p>
        </w:tc>
        <w:tc>
          <w:tcPr>
            <w:tcW w:type="dxa" w:w="10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r>
      <w:tr>
        <w:trPr>
          <w:cantSplit/>
        </w:trPr>
        <w:tc>
          <w:tcPr>
            <w:tcW w:type="dxa" w:w="1050"/>
            <w:vAlign w:val="center"/>
            <w:tcMar>
              <w:top w:w="80" w:type="dxa"/>
              <w:start w:w="120" w:type="dxa"/>
              <w:bottom w:w="80" w:type="dxa"/>
              <w:end w:w="120" w:type="dxa"/>
            </w:tcMar>
          </w:tcPr>
          <w:p>
            <w:pPr>
              <w:spacing w:before="0" w:after="0" w:line="269" w:lineRule="auto"/>
              <w:jc w:val="left"/>
            </w:pPr>
            <w:r/>
            <w:r>
              <w:rPr>
                <w:rFonts w:ascii="Calibri" w:hAnsi="Calibri"/>
                <w:b/>
                <w:color w:val="657D12"/>
                <w:sz w:val="16"/>
              </w:rPr>
              <w:t>NFR-015</w:t>
            </w:r>
          </w:p>
        </w:tc>
        <w:tc>
          <w:tcPr>
            <w:tcW w:type="dxa" w:w="3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Performance</w:t>
            </w:r>
          </w:p>
        </w:tc>
        <w:tc>
          <w:tcPr>
            <w:tcW w:type="dxa" w:w="339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6"/>
              </w:rPr>
              <w:t>Current actual file volume harus dapat diproses tanpa request timeout; SLA final ditetapkan setelah profiling staging.</w:t>
            </w:r>
          </w:p>
        </w:tc>
        <w:tc>
          <w:tcPr>
            <w:tcW w:type="dxa" w:w="720"/>
            <w:vAlign w:val="center"/>
            <w:tcMar>
              <w:top w:w="80" w:type="dxa"/>
              <w:start w:w="120" w:type="dxa"/>
              <w:bottom w:w="80" w:type="dxa"/>
              <w:end w:w="120" w:type="dxa"/>
            </w:tcMar>
          </w:tcPr>
          <w:p>
            <w:pPr>
              <w:spacing w:before="0" w:after="0" w:line="269" w:lineRule="auto"/>
              <w:jc w:val="center"/>
            </w:pPr>
            <w:r/>
            <w:r>
              <w:rPr>
                <w:rFonts w:ascii="Calibri" w:hAnsi="Calibri"/>
                <w:b/>
                <w:color w:val="171714"/>
                <w:sz w:val="15"/>
              </w:rPr>
              <w:t>Should</w:t>
            </w:r>
          </w:p>
        </w:tc>
        <w:tc>
          <w:tcPr>
            <w:tcW w:type="dxa" w:w="1000"/>
            <w:vAlign w:val="center"/>
            <w:shd w:fill="FDE3E1"/>
            <w:tcMar>
              <w:top w:w="80" w:type="dxa"/>
              <w:start w:w="120" w:type="dxa"/>
              <w:bottom w:w="80" w:type="dxa"/>
              <w:end w:w="120" w:type="dxa"/>
            </w:tcMar>
          </w:tcPr>
          <w:p>
            <w:pPr>
              <w:spacing w:before="0" w:after="0" w:line="269" w:lineRule="auto"/>
              <w:jc w:val="center"/>
            </w:pPr>
            <w:r/>
            <w:r>
              <w:rPr>
                <w:rFonts w:ascii="Calibri" w:hAnsi="Calibri"/>
                <w:b/>
                <w:color w:val="171714"/>
                <w:sz w:val="15"/>
              </w:rPr>
              <w:t>OD</w:t>
            </w:r>
          </w:p>
        </w:tc>
      </w:tr>
      <w:tr>
        <w:trPr>
          <w:cantSplit/>
        </w:trPr>
        <w:tc>
          <w:tcPr>
            <w:tcW w:type="dxa" w:w="1050"/>
            <w:vAlign w:val="center"/>
            <w:shd w:fill="FAFAF7"/>
            <w:tcMar>
              <w:top w:w="80" w:type="dxa"/>
              <w:start w:w="120" w:type="dxa"/>
              <w:bottom w:w="80" w:type="dxa"/>
              <w:end w:w="120" w:type="dxa"/>
            </w:tcMar>
          </w:tcPr>
          <w:p>
            <w:pPr>
              <w:spacing w:before="0" w:after="0" w:line="269" w:lineRule="auto"/>
              <w:jc w:val="left"/>
            </w:pPr>
            <w:r/>
            <w:r>
              <w:rPr>
                <w:rFonts w:ascii="Calibri" w:hAnsi="Calibri"/>
                <w:b/>
                <w:color w:val="657D12"/>
                <w:sz w:val="16"/>
              </w:rPr>
              <w:t>NFR-016</w:t>
            </w:r>
          </w:p>
        </w:tc>
        <w:tc>
          <w:tcPr>
            <w:tcW w:type="dxa" w:w="3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Privacy</w:t>
            </w:r>
          </w:p>
        </w:tc>
        <w:tc>
          <w:tcPr>
            <w:tcW w:type="dxa" w:w="339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6"/>
              </w:rPr>
              <w:t>Akses data dibatasi pada aset Vobia yang diotorisasi; Shared Drive selain ADITYA dan 2026 Projection Vobia tidak boleh dibuka tanpa izin eksplisit.</w:t>
            </w:r>
          </w:p>
        </w:tc>
        <w:tc>
          <w:tcPr>
            <w:tcW w:type="dxa" w:w="720"/>
            <w:vAlign w:val="center"/>
            <w:shd w:fill="FAFAF7"/>
            <w:tcMar>
              <w:top w:w="80" w:type="dxa"/>
              <w:start w:w="120" w:type="dxa"/>
              <w:bottom w:w="80" w:type="dxa"/>
              <w:end w:w="120" w:type="dxa"/>
            </w:tcMar>
          </w:tcPr>
          <w:p>
            <w:pPr>
              <w:spacing w:before="0" w:after="0" w:line="269" w:lineRule="auto"/>
              <w:jc w:val="center"/>
            </w:pPr>
            <w:r/>
            <w:r>
              <w:rPr>
                <w:rFonts w:ascii="Calibri" w:hAnsi="Calibri"/>
                <w:b/>
                <w:color w:val="171714"/>
                <w:sz w:val="15"/>
              </w:rPr>
              <w:t>Must</w:t>
            </w:r>
          </w:p>
        </w:tc>
        <w:tc>
          <w:tcPr>
            <w:tcW w:type="dxa" w:w="1000"/>
            <w:vAlign w:val="center"/>
            <w:shd w:fill="E9F6BE"/>
            <w:tcMar>
              <w:top w:w="80" w:type="dxa"/>
              <w:start w:w="120" w:type="dxa"/>
              <w:bottom w:w="80" w:type="dxa"/>
              <w:end w:w="120" w:type="dxa"/>
            </w:tcMar>
          </w:tcPr>
          <w:p>
            <w:pPr>
              <w:spacing w:before="0" w:after="0" w:line="269" w:lineRule="auto"/>
              <w:jc w:val="center"/>
            </w:pPr>
            <w:r/>
            <w:r>
              <w:rPr>
                <w:rFonts w:ascii="Calibri" w:hAnsi="Calibri"/>
                <w:b/>
                <w:color w:val="171714"/>
                <w:sz w:val="15"/>
              </w:rPr>
              <w:t>IV</w:t>
            </w:r>
          </w:p>
        </w:tc>
      </w:tr>
    </w:tbl>
    <w:p>
      <w:pPr>
        <w:keepNext w:val="0"/>
        <w:spacing w:before="0" w:after="100" w:line="300" w:lineRule="auto"/>
      </w:pPr>
    </w:p>
    <w:p>
      <w:pPr>
        <w:pStyle w:val="Heading1"/>
        <w:keepNext/>
      </w:pPr>
      <w:r>
        <w:t>8. Keamanan dan akses</w:t>
      </w:r>
    </w:p>
    <w:p>
      <w:pPr>
        <w:pStyle w:val="Heading2"/>
        <w:keepNext/>
      </w:pPr>
      <w:r>
        <w:t>8.1 Baseline wajib</w:t>
      </w:r>
    </w:p>
    <w:p>
      <w:pPr>
        <w:spacing w:after="80" w:line="300" w:lineRule="auto"/>
        <w:numPr>
          <w:ilvl w:val="0"/>
          <w:numId w:val="10"/>
        </w:numPr>
      </w:pPr>
      <w:r>
        <w:rPr>
          <w:rFonts w:ascii="Calibri" w:hAnsi="Calibri"/>
          <w:color w:val="171714"/>
          <w:sz w:val="21"/>
        </w:rPr>
        <w:t>HTTPS di luar local; CSRF; secure/HTTP-only/same-site cookie; login throttling/temporary lockout.</w:t>
      </w:r>
    </w:p>
    <w:p>
      <w:pPr>
        <w:spacing w:after="80" w:line="300" w:lineRule="auto"/>
        <w:numPr>
          <w:ilvl w:val="0"/>
          <w:numId w:val="10"/>
        </w:numPr>
      </w:pPr>
      <w:r>
        <w:rPr>
          <w:rFonts w:ascii="Calibri" w:hAnsi="Calibri"/>
          <w:color w:val="171714"/>
          <w:sz w:val="21"/>
        </w:rPr>
        <w:t>Private database dan raw storage; secrets melalui environment/secret manager; no plaintext credential in docs/source.</w:t>
      </w:r>
    </w:p>
    <w:p>
      <w:pPr>
        <w:spacing w:after="80" w:line="300" w:lineRule="auto"/>
        <w:numPr>
          <w:ilvl w:val="0"/>
          <w:numId w:val="10"/>
        </w:numPr>
      </w:pPr>
      <w:r>
        <w:rPr>
          <w:rFonts w:ascii="Calibri" w:hAnsi="Calibri"/>
          <w:color w:val="171714"/>
          <w:sz w:val="21"/>
        </w:rPr>
        <w:t>Audit event untuk security-relevant action dan controlled business posting.</w:t>
      </w:r>
    </w:p>
    <w:p>
      <w:pPr>
        <w:spacing w:after="80" w:line="300" w:lineRule="auto"/>
        <w:numPr>
          <w:ilvl w:val="0"/>
          <w:numId w:val="10"/>
        </w:numPr>
      </w:pPr>
      <w:r>
        <w:rPr>
          <w:rFonts w:ascii="Calibri" w:hAnsi="Calibri"/>
          <w:color w:val="171714"/>
          <w:sz w:val="21"/>
        </w:rPr>
        <w:t>Network/database access, log retention, backup encryption, dan restore evidence disetujui sebelum production.</w:t>
      </w:r>
    </w:p>
    <w:p>
      <w:pPr>
        <w:pStyle w:val="Heading2"/>
        <w:keepNext/>
      </w:pPr>
      <w:r>
        <w:t>8.2 Access boundary</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start w:w="180" w:type="dxa"/>
              <w:bottom w:w="150" w:type="dxa"/>
              <w:end w:w="180" w:type="dxa"/>
            </w:tcMar>
            <w:shd w:fill="FDE3E1"/>
          </w:tcPr>
          <w:p>
            <w:pPr>
              <w:spacing w:after="40"/>
            </w:pPr>
            <w:r>
              <w:rPr>
                <w:rFonts w:ascii="Calibri" w:hAnsi="Calibri"/>
                <w:b/>
                <w:color w:val="B33B36"/>
                <w:sz w:val="17"/>
              </w:rPr>
              <w:t>BATAS MUTLAK</w:t>
            </w:r>
          </w:p>
          <w:p>
            <w:pPr>
              <w:spacing w:after="0" w:line="288" w:lineRule="auto"/>
            </w:pPr>
            <w:r>
              <w:rPr>
                <w:rFonts w:ascii="Calibri" w:hAnsi="Calibri"/>
                <w:color w:val="171714"/>
                <w:sz w:val="20"/>
              </w:rPr>
              <w:t>Hanya Shared Drive ADITYA yang boleh diakses. 2026 Projection Vobia adalah read-only reference dan hanya boleh dibuka dengan izin eksplisit Adit. SKPL tidak memberikan izin baru untuk membuka atau menulis sumber eksternal.</w:t>
            </w:r>
          </w:p>
        </w:tc>
      </w:tr>
    </w:tbl>
    <w:p>
      <w:pPr>
        <w:keepNext w:val="0"/>
        <w:spacing w:before="0" w:after="80" w:line="300" w:lineRule="auto"/>
      </w:pPr>
    </w:p>
    <w:p>
      <w:pPr>
        <w:pStyle w:val="Heading1"/>
        <w:keepNext/>
      </w:pPr>
      <w:r>
        <w:t>9. Migration, reconciliation, UAT, dan cutover</w:t>
      </w:r>
    </w:p>
    <w:p>
      <w:pPr>
        <w:pStyle w:val="Heading2"/>
        <w:keepNext/>
      </w:pPr>
      <w:r>
        <w:t>9.1 Migration strategy</w:t>
      </w:r>
    </w:p>
    <w:p>
      <w:pPr>
        <w:keepNext w:val="0"/>
        <w:spacing w:before="0" w:after="120" w:line="300" w:lineRule="auto"/>
      </w:pPr>
      <w:r>
        <w:rPr>
          <w:rFonts w:ascii="Calibri" w:hAnsi="Calibri"/>
          <w:b w:val="0"/>
          <w:i w:val="0"/>
          <w:color w:val="171714"/>
        </w:rPr>
        <w:t>Migration memakai export/raw evidence → staging → validation → preview → approval → atomic commit. Historical Sales sebelum FIFO cutover adalah report-only snapshot dan tidak memposting ulang inventory. FIFO Opening 1 Agustus 2026 menjadi bridge dari historical stock menuju movement ledger ERP.</w:t>
      </w:r>
    </w:p>
    <w:p>
      <w:pPr>
        <w:pStyle w:val="Heading2"/>
        <w:keepNext/>
      </w:pPr>
      <w:r>
        <w:t>9.2 Reconciliation acceptance</w:t>
      </w:r>
    </w:p>
    <w:tbl>
      <w:tblPr>
        <w:tblW w:type="dxa" w:w="9360"/>
        <w:tblLayout w:type="fixed"/>
        <w:tblLook w:firstColumn="1" w:firstRow="1" w:lastColumn="0" w:lastRow="0" w:noHBand="0" w:noVBand="1" w:val="04A0"/>
        <w:tblInd w:w="120" w:type="dxa"/>
      </w:tblPr>
      <w:tblGrid>
        <w:gridCol w:w="2400"/>
        <w:gridCol w:w="6960"/>
      </w:tblGrid>
      <w:tr>
        <w:trPr>
          <w:tblHeader w:val="true"/>
        </w:trPr>
        <w:tc>
          <w:tcPr>
            <w:tcW w:type="dxa" w:w="24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Area</w:t>
            </w:r>
          </w:p>
        </w:tc>
        <w:tc>
          <w:tcPr>
            <w:tcW w:type="dxa" w:w="696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Pass criteria</w:t>
            </w:r>
          </w:p>
        </w:tc>
      </w:tr>
      <w:tr>
        <w:trPr>
          <w:cantSplit/>
        </w:trPr>
        <w:tc>
          <w:tcPr>
            <w:tcW w:type="dxa" w:w="24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Sales</w:t>
            </w:r>
          </w:p>
        </w:tc>
        <w:tc>
          <w:tcPr>
            <w:tcW w:type="dxa" w:w="69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Line/order/qty/Gross/Net/COGS/GPM cocok; pure cancel tidak counted.</w:t>
            </w:r>
          </w:p>
        </w:tc>
      </w:tr>
      <w:tr>
        <w:trPr>
          <w:cantSplit/>
        </w:trPr>
        <w:tc>
          <w:tcPr>
            <w:tcW w:type="dxa" w:w="24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Master</w:t>
            </w:r>
          </w:p>
        </w:tc>
        <w:tc>
          <w:tcPr>
            <w:tcW w:type="dxa" w:w="69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SKU key unik; value/mapping warning terjelaskan; history tidak rewrite.</w:t>
            </w:r>
          </w:p>
        </w:tc>
      </w:tr>
      <w:tr>
        <w:trPr>
          <w:cantSplit/>
        </w:trPr>
        <w:tc>
          <w:tcPr>
            <w:tcW w:type="dxa" w:w="24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Inventory/FIFO</w:t>
            </w:r>
          </w:p>
        </w:tc>
        <w:tc>
          <w:tcPr>
            <w:tcW w:type="dxa" w:w="69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Movement key unik; qty per SKU dan FIFO allocation/short exception dapat direkonstruksi.</w:t>
            </w:r>
          </w:p>
        </w:tc>
      </w:tr>
      <w:tr>
        <w:trPr>
          <w:cantSplit/>
        </w:trPr>
        <w:tc>
          <w:tcPr>
            <w:tcW w:type="dxa" w:w="24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PO/QC/Inbound</w:t>
            </w:r>
          </w:p>
        </w:tc>
        <w:tc>
          <w:tcPr>
            <w:tcW w:type="dxa" w:w="69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PO Qty, cumulative inspected/passed/failed/received memenuhi constraint dan cocok sumber.</w:t>
            </w:r>
          </w:p>
        </w:tc>
      </w:tr>
      <w:tr>
        <w:trPr>
          <w:cantSplit/>
        </w:trPr>
        <w:tc>
          <w:tcPr>
            <w:tcW w:type="dxa" w:w="24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Money</w:t>
            </w:r>
          </w:p>
        </w:tc>
        <w:tc>
          <w:tcPr>
            <w:tcW w:type="dxa" w:w="69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Definisi/rounding sama; hanya explained difference ≤ Rp1.</w:t>
            </w:r>
          </w:p>
        </w:tc>
      </w:tr>
      <w:tr>
        <w:trPr>
          <w:cantSplit/>
        </w:trPr>
        <w:tc>
          <w:tcPr>
            <w:tcW w:type="dxa" w:w="24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Critical issue</w:t>
            </w:r>
          </w:p>
        </w:tc>
        <w:tc>
          <w:tcPr>
            <w:tcW w:type="dxa" w:w="69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Tidak ada duplicate, missing movement, unexplained stock difference, atau unresolved critical exception.</w:t>
            </w:r>
          </w:p>
        </w:tc>
      </w:tr>
    </w:tbl>
    <w:p>
      <w:pPr>
        <w:keepNext w:val="0"/>
        <w:spacing w:before="0" w:after="100" w:line="300" w:lineRule="auto"/>
      </w:pPr>
    </w:p>
    <w:p>
      <w:pPr>
        <w:pStyle w:val="Heading2"/>
        <w:keepNext/>
      </w:pPr>
      <w:r>
        <w:t>9.3 Cutover gate</w:t>
      </w:r>
    </w:p>
    <w:p>
      <w:pPr>
        <w:spacing w:after="80" w:line="300" w:lineRule="auto"/>
        <w:numPr>
          <w:ilvl w:val="0"/>
          <w:numId w:val="10"/>
        </w:numPr>
      </w:pPr>
      <w:r>
        <w:rPr>
          <w:rFonts w:ascii="Calibri" w:hAnsi="Calibri"/>
          <w:color w:val="171714"/>
          <w:sz w:val="21"/>
        </w:rPr>
        <w:t>UAT representative real files dan controlled SKU/PO scenario diselesaikan Adit.</w:t>
      </w:r>
    </w:p>
    <w:p>
      <w:pPr>
        <w:spacing w:after="80" w:line="300" w:lineRule="auto"/>
        <w:numPr>
          <w:ilvl w:val="0"/>
          <w:numId w:val="10"/>
        </w:numPr>
      </w:pPr>
      <w:r>
        <w:rPr>
          <w:rFonts w:ascii="Calibri" w:hAnsi="Calibri"/>
          <w:color w:val="171714"/>
          <w:sz w:val="21"/>
        </w:rPr>
        <w:t>Minimal tujuh consecutive daily parallel-run cycle lulus.</w:t>
      </w:r>
    </w:p>
    <w:p>
      <w:pPr>
        <w:spacing w:after="80" w:line="300" w:lineRule="auto"/>
        <w:numPr>
          <w:ilvl w:val="0"/>
          <w:numId w:val="10"/>
        </w:numPr>
      </w:pPr>
      <w:r>
        <w:rPr>
          <w:rFonts w:ascii="Calibri" w:hAnsi="Calibri"/>
          <w:color w:val="171714"/>
          <w:sz w:val="21"/>
        </w:rPr>
        <w:t>Staging PostgreSQL, private storage, monitoring, backup, restore test, and rollback/fallback siap.</w:t>
      </w:r>
    </w:p>
    <w:p>
      <w:pPr>
        <w:spacing w:after="80" w:line="300" w:lineRule="auto"/>
        <w:numPr>
          <w:ilvl w:val="0"/>
          <w:numId w:val="10"/>
        </w:numPr>
      </w:pPr>
      <w:r>
        <w:rPr>
          <w:rFonts w:ascii="Calibri" w:hAnsi="Calibri"/>
          <w:color w:val="171714"/>
          <w:sz w:val="21"/>
        </w:rPr>
        <w:t>Adit memberikan explicit production/cutover approval; penghentian Sheets fallback adalah keputusan terpisah.</w:t>
      </w:r>
    </w:p>
    <w:p>
      <w:pPr>
        <w:pStyle w:val="Heading1"/>
        <w:keepNext/>
      </w:pPr>
      <w:r>
        <w:t>10. Traceability dan test strategy</w:t>
      </w:r>
    </w:p>
    <w:p>
      <w:pPr>
        <w:keepNext w:val="0"/>
        <w:spacing w:before="0" w:after="120" w:line="300" w:lineRule="auto"/>
      </w:pPr>
      <w:r>
        <w:rPr>
          <w:rFonts w:ascii="Calibri" w:hAnsi="Calibri"/>
          <w:b w:val="0"/>
          <w:i w:val="0"/>
          <w:color w:val="171714"/>
        </w:rPr>
        <w:t>Requirement ID harus muncul atau dapat dipetakan pada test case, migration/constraint, UI/UAT evidence, dan change log. Satu test dapat memverifikasi beberapa requirement, tetapi setiap Must harus memiliki acceptance evidence sebelum status IV/cutover.</w:t>
      </w:r>
    </w:p>
    <w:tbl>
      <w:tblPr>
        <w:tblW w:type="dxa" w:w="9360"/>
        <w:tblLayout w:type="fixed"/>
        <w:tblLook w:firstColumn="1" w:firstRow="1" w:lastColumn="0" w:lastRow="0" w:noHBand="0" w:noVBand="1" w:val="04A0"/>
        <w:tblInd w:w="120" w:type="dxa"/>
      </w:tblPr>
      <w:tblGrid>
        <w:gridCol w:w="1550"/>
        <w:gridCol w:w="3500"/>
        <w:gridCol w:w="4310"/>
      </w:tblGrid>
      <w:tr>
        <w:trPr>
          <w:tblHeader w:val="true"/>
        </w:trPr>
        <w:tc>
          <w:tcPr>
            <w:tcW w:type="dxa" w:w="155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Layer</w:t>
            </w:r>
          </w:p>
        </w:tc>
        <w:tc>
          <w:tcPr>
            <w:tcW w:type="dxa" w:w="35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Bukti</w:t>
            </w:r>
          </w:p>
        </w:tc>
        <w:tc>
          <w:tcPr>
            <w:tcW w:type="dxa" w:w="431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Contoh scope</w:t>
            </w:r>
          </w:p>
        </w:tc>
      </w:tr>
      <w:tr>
        <w:trPr>
          <w:cantSplit/>
        </w:trPr>
        <w:tc>
          <w:tcPr>
            <w:tcW w:type="dxa" w:w="155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7"/>
              </w:rPr>
              <w:t>Unit</w:t>
            </w:r>
          </w:p>
        </w:tc>
        <w:tc>
          <w:tcPr>
            <w:tcW w:type="dxa" w:w="35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Automated formula/normalization/service test</w:t>
            </w:r>
          </w:p>
        </w:tc>
        <w:tc>
          <w:tcPr>
            <w:tcW w:type="dxa" w:w="431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GPM, MTD cutoff, projection, PO number, FIFO allocation.</w:t>
            </w:r>
          </w:p>
        </w:tc>
      </w:tr>
      <w:tr>
        <w:trPr>
          <w:cantSplit/>
        </w:trPr>
        <w:tc>
          <w:tcPr>
            <w:tcW w:type="dxa" w:w="155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7"/>
              </w:rPr>
              <w:t>Database</w:t>
            </w:r>
          </w:p>
        </w:tc>
        <w:tc>
          <w:tcPr>
            <w:tcW w:type="dxa" w:w="35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Constraint/migration test</w:t>
            </w:r>
          </w:p>
        </w:tc>
        <w:tc>
          <w:tcPr>
            <w:tcW w:type="dxa" w:w="431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Unique key, positive qty, net ≤ retail, FK/protect.</w:t>
            </w:r>
          </w:p>
        </w:tc>
      </w:tr>
      <w:tr>
        <w:trPr>
          <w:cantSplit/>
        </w:trPr>
        <w:tc>
          <w:tcPr>
            <w:tcW w:type="dxa" w:w="155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7"/>
              </w:rPr>
              <w:t>Workflow</w:t>
            </w:r>
          </w:p>
        </w:tc>
        <w:tc>
          <w:tcPr>
            <w:tcW w:type="dxa" w:w="35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Authenticated integration test</w:t>
            </w:r>
          </w:p>
        </w:tc>
        <w:tc>
          <w:tcPr>
            <w:tcW w:type="dxa" w:w="431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Import approval, manual sale, PO→QC→Inbound→FIFO→Return.</w:t>
            </w:r>
          </w:p>
        </w:tc>
      </w:tr>
      <w:tr>
        <w:trPr>
          <w:cantSplit/>
        </w:trPr>
        <w:tc>
          <w:tcPr>
            <w:tcW w:type="dxa" w:w="155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7"/>
              </w:rPr>
              <w:t>Reconciliation</w:t>
            </w:r>
          </w:p>
        </w:tc>
        <w:tc>
          <w:tcPr>
            <w:tcW w:type="dxa" w:w="35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Record-level and aggregate result</w:t>
            </w:r>
          </w:p>
        </w:tc>
        <w:tc>
          <w:tcPr>
            <w:tcW w:type="dxa" w:w="431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Vobia Sales/MD baseline dan raw marketplace.</w:t>
            </w:r>
          </w:p>
        </w:tc>
      </w:tr>
      <w:tr>
        <w:trPr>
          <w:cantSplit/>
        </w:trPr>
        <w:tc>
          <w:tcPr>
            <w:tcW w:type="dxa" w:w="155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7"/>
              </w:rPr>
              <w:t>Browser UAT</w:t>
            </w:r>
          </w:p>
        </w:tc>
        <w:tc>
          <w:tcPr>
            <w:tcW w:type="dxa" w:w="35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Rendered page, interaction, console log</w:t>
            </w:r>
          </w:p>
        </w:tc>
        <w:tc>
          <w:tcPr>
            <w:tcW w:type="dxa" w:w="431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Dashboard filters/charts, module hub, import review.</w:t>
            </w:r>
          </w:p>
        </w:tc>
      </w:tr>
      <w:tr>
        <w:trPr>
          <w:cantSplit/>
        </w:trPr>
        <w:tc>
          <w:tcPr>
            <w:tcW w:type="dxa" w:w="155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7"/>
              </w:rPr>
              <w:t>Parallel run</w:t>
            </w:r>
          </w:p>
        </w:tc>
        <w:tc>
          <w:tcPr>
            <w:tcW w:type="dxa" w:w="35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Daily signed cycle</w:t>
            </w:r>
          </w:p>
        </w:tc>
        <w:tc>
          <w:tcPr>
            <w:tcW w:type="dxa" w:w="431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Seven consecutive pass before cutover.</w:t>
            </w:r>
          </w:p>
        </w:tc>
      </w:tr>
    </w:tbl>
    <w:p>
      <w:pPr>
        <w:keepNext w:val="0"/>
        <w:spacing w:before="0" w:after="100" w:line="300" w:lineRule="auto"/>
      </w:pPr>
    </w:p>
    <w:p>
      <w:pPr>
        <w:pStyle w:val="Heading1"/>
        <w:keepNext/>
      </w:pPr>
      <w:r>
        <w:t>11. Baseline terverifikasi per 20 Agustus 2026</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start w:w="180" w:type="dxa"/>
              <w:bottom w:w="150" w:type="dxa"/>
              <w:end w:w="180" w:type="dxa"/>
            </w:tcMar>
            <w:shd w:fill="E9F6BE"/>
          </w:tcPr>
          <w:p>
            <w:pPr>
              <w:spacing w:after="40"/>
            </w:pPr>
            <w:r>
              <w:rPr>
                <w:rFonts w:ascii="Calibri" w:hAnsi="Calibri"/>
                <w:b/>
                <w:color w:val="657D12"/>
                <w:sz w:val="17"/>
              </w:rPr>
              <w:t>SALES RECONCILIATION</w:t>
            </w:r>
          </w:p>
          <w:p>
            <w:pPr>
              <w:spacing w:after="0" w:line="288" w:lineRule="auto"/>
            </w:pPr>
            <w:r>
              <w:rPr>
                <w:rFonts w:ascii="Calibri" w:hAnsi="Calibri"/>
                <w:color w:val="171714"/>
                <w:sz w:val="20"/>
              </w:rPr>
              <w:t>ERP dan Vobia Sales 2026 cocok: 80.508 line, 72.582 order unik, 83.153 pcs, Gross Rp20.424.190.391, Net Rp19.362.035.039, COGS Rp7.118.761.865, dan GPM Rp12.239.613.174.</w:t>
            </w:r>
          </w:p>
        </w:tc>
      </w:tr>
    </w:tbl>
    <w:p>
      <w:pPr>
        <w:keepNext w:val="0"/>
        <w:spacing w:before="0" w:after="80" w:line="300" w:lineRule="auto"/>
      </w:pPr>
    </w:p>
    <w:tbl>
      <w:tblPr>
        <w:tblW w:type="dxa" w:w="9360"/>
        <w:tblLayout w:type="fixed"/>
        <w:tblLook w:firstColumn="1" w:firstRow="1" w:lastColumn="0" w:lastRow="0" w:noHBand="0" w:noVBand="1" w:val="04A0"/>
        <w:tblInd w:w="120" w:type="dxa"/>
      </w:tblPr>
      <w:tblGrid>
        <w:gridCol w:w="2500"/>
        <w:gridCol w:w="6860"/>
      </w:tblGrid>
      <w:tr>
        <w:trPr>
          <w:tblHeader w:val="true"/>
        </w:trPr>
        <w:tc>
          <w:tcPr>
            <w:tcW w:type="dxa" w:w="25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Evidence</w:t>
            </w:r>
          </w:p>
        </w:tc>
        <w:tc>
          <w:tcPr>
            <w:tcW w:type="dxa" w:w="686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Hasil</w:t>
            </w:r>
          </w:p>
        </w:tc>
      </w:tr>
      <w:tr>
        <w:trPr>
          <w:cantSplit/>
        </w:trPr>
        <w:tc>
          <w:tcPr>
            <w:tcW w:type="dxa" w:w="25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Historical Sales Jan–Jul</w:t>
            </w:r>
          </w:p>
        </w:tc>
        <w:tc>
          <w:tcPr>
            <w:tcW w:type="dxa" w:w="68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75.503 line; 68.044 order; 78.108 pcs; Gross Rp19.209.306.125; Net Rp18.201.970.988; COGS Rp6.686.194.623; GPM Rp11.512.116.365.</w:t>
            </w:r>
          </w:p>
        </w:tc>
      </w:tr>
      <w:tr>
        <w:trPr>
          <w:cantSplit/>
        </w:trPr>
        <w:tc>
          <w:tcPr>
            <w:tcW w:type="dxa" w:w="25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Master Product</w:t>
            </w:r>
          </w:p>
        </w:tc>
        <w:tc>
          <w:tcPr>
            <w:tcW w:type="dxa" w:w="68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746 SKU baseline; duplicate SKU 0; warning missing marketplace code dipertahankan sesuai rule.</w:t>
            </w:r>
          </w:p>
        </w:tc>
      </w:tr>
      <w:tr>
        <w:trPr>
          <w:cantSplit/>
        </w:trPr>
        <w:tc>
          <w:tcPr>
            <w:tcW w:type="dxa" w:w="25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Dashboard cutoff</w:t>
            </w:r>
          </w:p>
        </w:tc>
        <w:tc>
          <w:tcPr>
            <w:tcW w:type="dxa" w:w="68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Latest Sales 19 Agustus 2026; Monthly dan MTD Gross Sales, growth, Product Performance, dan Pareto lulus UAT.</w:t>
            </w:r>
          </w:p>
        </w:tc>
      </w:tr>
      <w:tr>
        <w:trPr>
          <w:cantSplit/>
        </w:trPr>
        <w:tc>
          <w:tcPr>
            <w:tcW w:type="dxa" w:w="25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Pure cancel</w:t>
            </w:r>
          </w:p>
        </w:tc>
        <w:tc>
          <w:tcPr>
            <w:tcW w:type="dxa" w:w="68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Counted pure cancel 0; dua canonical audit-evidence line is_counted=False tanpa movement; pure cancel baru diabaikan dari canonical.</w:t>
            </w:r>
          </w:p>
        </w:tc>
      </w:tr>
      <w:tr>
        <w:trPr>
          <w:cantSplit/>
        </w:trPr>
        <w:tc>
          <w:tcPr>
            <w:tcW w:type="dxa" w:w="25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Historical exceptions</w:t>
            </w:r>
          </w:p>
        </w:tc>
        <w:tc>
          <w:tcPr>
            <w:tcW w:type="dxa" w:w="68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973 line GPM negatif dan 29 line derived retail/COGS kosong dipertahankan sebagai fakta historis.</w:t>
            </w:r>
          </w:p>
        </w:tc>
      </w:tr>
      <w:tr>
        <w:trPr>
          <w:cantSplit/>
        </w:trPr>
        <w:tc>
          <w:tcPr>
            <w:tcW w:type="dxa" w:w="25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Automated regression</w:t>
            </w:r>
          </w:p>
        </w:tc>
        <w:tc>
          <w:tcPr>
            <w:tcW w:type="dxa" w:w="68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88 test lulus; Django system check 0 issue pada checkpoint SKPL.</w:t>
            </w:r>
          </w:p>
        </w:tc>
      </w:tr>
    </w:tbl>
    <w:p>
      <w:pPr>
        <w:keepNext w:val="0"/>
        <w:spacing w:before="0" w:after="100" w:line="300" w:lineRule="auto"/>
      </w:pPr>
    </w:p>
    <w:p>
      <w:pPr>
        <w:pStyle w:val="Heading1"/>
        <w:keepNext/>
      </w:pPr>
      <w:r>
        <w:t>12. Implementation status summary</w:t>
      </w:r>
    </w:p>
    <w:tbl>
      <w:tblPr>
        <w:tblW w:type="dxa" w:w="9360"/>
        <w:tblLayout w:type="fixed"/>
        <w:tblLook w:firstColumn="1" w:firstRow="1" w:lastColumn="0" w:lastRow="0" w:noHBand="0" w:noVBand="1" w:val="04A0"/>
        <w:tblInd w:w="120" w:type="dxa"/>
      </w:tblPr>
      <w:tblGrid>
        <w:gridCol w:w="1100"/>
        <w:gridCol w:w="1700"/>
        <w:gridCol w:w="6560"/>
      </w:tblGrid>
      <w:tr>
        <w:trPr>
          <w:tblHeader w:val="true"/>
        </w:trPr>
        <w:tc>
          <w:tcPr>
            <w:tcW w:type="dxa" w:w="11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Status</w:t>
            </w:r>
          </w:p>
        </w:tc>
        <w:tc>
          <w:tcPr>
            <w:tcW w:type="dxa" w:w="17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Jumlah requirement</w:t>
            </w:r>
          </w:p>
        </w:tc>
        <w:tc>
          <w:tcPr>
            <w:tcW w:type="dxa" w:w="656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Interpretasi</w:t>
            </w:r>
          </w:p>
        </w:tc>
      </w:tr>
      <w:tr>
        <w:trPr>
          <w:cantSplit/>
        </w:trPr>
        <w:tc>
          <w:tcPr>
            <w:tcW w:type="dxa" w:w="110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7"/>
              </w:rPr>
              <w:t>IV</w:t>
            </w:r>
          </w:p>
        </w:tc>
        <w:tc>
          <w:tcPr>
            <w:tcW w:type="dxa" w:w="17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35</w:t>
            </w:r>
          </w:p>
        </w:tc>
        <w:tc>
          <w:tcPr>
            <w:tcW w:type="dxa" w:w="65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Telah memiliki evidence relevan; tetap tunduk pada future regression/cutover gate.</w:t>
            </w:r>
          </w:p>
        </w:tc>
      </w:tr>
      <w:tr>
        <w:trPr>
          <w:cantSplit/>
        </w:trPr>
        <w:tc>
          <w:tcPr>
            <w:tcW w:type="dxa" w:w="110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7"/>
              </w:rPr>
              <w:t>IF</w:t>
            </w:r>
          </w:p>
        </w:tc>
        <w:tc>
          <w:tcPr>
            <w:tcW w:type="dxa" w:w="17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40</w:t>
            </w:r>
          </w:p>
        </w:tc>
        <w:tc>
          <w:tcPr>
            <w:tcW w:type="dxa" w:w="65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Fondasi ada; business UAT/configuration/source acceptance belum lengkap.</w:t>
            </w:r>
          </w:p>
        </w:tc>
      </w:tr>
      <w:tr>
        <w:trPr>
          <w:cantSplit/>
        </w:trPr>
        <w:tc>
          <w:tcPr>
            <w:tcW w:type="dxa" w:w="1100"/>
            <w:vAlign w:val="center"/>
            <w:tcMar>
              <w:top w:w="80" w:type="dxa"/>
              <w:start w:w="120" w:type="dxa"/>
              <w:bottom w:w="80" w:type="dxa"/>
              <w:end w:w="120" w:type="dxa"/>
            </w:tcMar>
          </w:tcPr>
          <w:p>
            <w:pPr>
              <w:spacing w:before="0" w:after="0" w:line="269" w:lineRule="auto"/>
              <w:jc w:val="center"/>
            </w:pPr>
            <w:r/>
            <w:r>
              <w:rPr>
                <w:rFonts w:ascii="Calibri" w:hAnsi="Calibri"/>
                <w:b w:val="0"/>
                <w:color w:val="171714"/>
                <w:sz w:val="17"/>
              </w:rPr>
              <w:t>PL</w:t>
            </w:r>
          </w:p>
        </w:tc>
        <w:tc>
          <w:tcPr>
            <w:tcW w:type="dxa" w:w="17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7</w:t>
            </w:r>
          </w:p>
        </w:tc>
        <w:tc>
          <w:tcPr>
            <w:tcW w:type="dxa" w:w="65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Belum diaktifkan sebagai proses production.</w:t>
            </w:r>
          </w:p>
        </w:tc>
      </w:tr>
      <w:tr>
        <w:trPr>
          <w:cantSplit/>
        </w:trPr>
        <w:tc>
          <w:tcPr>
            <w:tcW w:type="dxa" w:w="1100"/>
            <w:vAlign w:val="center"/>
            <w:shd w:fill="FAFAF7"/>
            <w:tcMar>
              <w:top w:w="80" w:type="dxa"/>
              <w:start w:w="120" w:type="dxa"/>
              <w:bottom w:w="80" w:type="dxa"/>
              <w:end w:w="120" w:type="dxa"/>
            </w:tcMar>
          </w:tcPr>
          <w:p>
            <w:pPr>
              <w:spacing w:before="0" w:after="0" w:line="269" w:lineRule="auto"/>
              <w:jc w:val="center"/>
            </w:pPr>
            <w:r/>
            <w:r>
              <w:rPr>
                <w:rFonts w:ascii="Calibri" w:hAnsi="Calibri"/>
                <w:b w:val="0"/>
                <w:color w:val="171714"/>
                <w:sz w:val="17"/>
              </w:rPr>
              <w:t>OD</w:t>
            </w:r>
          </w:p>
        </w:tc>
        <w:tc>
          <w:tcPr>
            <w:tcW w:type="dxa" w:w="17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4</w:t>
            </w:r>
          </w:p>
        </w:tc>
        <w:tc>
          <w:tcPr>
            <w:tcW w:type="dxa" w:w="65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Tidak boleh ditebak; memerlukan keputusan/evidence.</w:t>
            </w:r>
          </w:p>
        </w:tc>
      </w:tr>
    </w:tbl>
    <w:p>
      <w:pPr>
        <w:keepNext w:val="0"/>
        <w:spacing w:before="0" w:after="100" w:line="300" w:lineRule="auto"/>
      </w:pPr>
    </w:p>
    <w:p>
      <w:pPr>
        <w:keepNext w:val="0"/>
        <w:spacing w:before="0" w:after="120" w:line="300" w:lineRule="auto"/>
      </w:pPr>
      <w:r>
        <w:rPr>
          <w:rFonts w:ascii="Calibri" w:hAnsi="Calibri"/>
          <w:b w:val="0"/>
          <w:i/>
          <w:color w:val="6F716A"/>
          <w:sz w:val="19"/>
        </w:rPr>
        <w:t>Status adalah kondisi pada tanggal dokumen, bukan jaminan permanen. Perubahan kode, data source, rule, atau vendor dapat menurunkan status sampai regression/acceptance diulang.</w:t>
      </w:r>
    </w:p>
    <w:p>
      <w:pPr>
        <w:pStyle w:val="Heading1"/>
        <w:keepNext/>
      </w:pPr>
      <w:r>
        <w:t>13. Open decisions</w:t>
      </w:r>
    </w:p>
    <w:tbl>
      <w:tblPr>
        <w:tblW w:type="dxa" w:w="9360"/>
        <w:tblLayout w:type="fixed"/>
        <w:tblLook w:firstColumn="1" w:firstRow="1" w:lastColumn="0" w:lastRow="0" w:noHBand="0" w:noVBand="1" w:val="04A0"/>
        <w:tblInd w:w="120" w:type="dxa"/>
      </w:tblPr>
      <w:tblGrid>
        <w:gridCol w:w="1200"/>
        <w:gridCol w:w="8160"/>
      </w:tblGrid>
      <w:tr>
        <w:trPr>
          <w:tblHeader w:val="true"/>
        </w:trPr>
        <w:tc>
          <w:tcPr>
            <w:tcW w:type="dxa" w:w="12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ID</w:t>
            </w:r>
          </w:p>
        </w:tc>
        <w:tc>
          <w:tcPr>
            <w:tcW w:type="dxa" w:w="816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Keputusan yang dibutuhkan</w:t>
            </w:r>
          </w:p>
        </w:tc>
      </w:tr>
      <w:tr>
        <w:trPr>
          <w:cantSplit/>
        </w:trPr>
        <w:tc>
          <w:tcPr>
            <w:tcW w:type="dxa" w:w="1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OD-001</w:t>
            </w:r>
          </w:p>
        </w:tc>
        <w:tc>
          <w:tcPr>
            <w:tcW w:type="dxa" w:w="81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Supplier master fields, initial supplier records, dan migration owner.</w:t>
            </w:r>
          </w:p>
        </w:tc>
      </w:tr>
      <w:tr>
        <w:trPr>
          <w:cantSplit/>
        </w:trPr>
        <w:tc>
          <w:tcPr>
            <w:tcW w:type="dxa" w:w="1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OD-002</w:t>
            </w:r>
          </w:p>
        </w:tc>
        <w:tc>
          <w:tcPr>
            <w:tcW w:type="dxa" w:w="81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Warehouse master fields, initial/default warehouse, dan legacy inbound mapping.</w:t>
            </w:r>
          </w:p>
        </w:tc>
      </w:tr>
      <w:tr>
        <w:trPr>
          <w:cantSplit/>
        </w:trPr>
        <w:tc>
          <w:tcPr>
            <w:tcW w:type="dxa" w:w="1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OD-003</w:t>
            </w:r>
          </w:p>
        </w:tc>
        <w:tc>
          <w:tcPr>
            <w:tcW w:type="dxa" w:w="81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Treatment 40 Seasonal New SKU tanpa COGS/Retail Price untuk prospective posting.</w:t>
            </w:r>
          </w:p>
        </w:tc>
      </w:tr>
      <w:tr>
        <w:trPr>
          <w:cantSplit/>
        </w:trPr>
        <w:tc>
          <w:tcPr>
            <w:tcW w:type="dxa" w:w="1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OD-004</w:t>
            </w:r>
          </w:p>
        </w:tc>
        <w:tc>
          <w:tcPr>
            <w:tcW w:type="dxa" w:w="81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Makna/treatment 34 missing Parent SKU pada canonical Bank Data.</w:t>
            </w:r>
          </w:p>
        </w:tc>
      </w:tr>
      <w:tr>
        <w:trPr>
          <w:cantSplit/>
        </w:trPr>
        <w:tc>
          <w:tcPr>
            <w:tcW w:type="dxa" w:w="1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OD-005</w:t>
            </w:r>
          </w:p>
        </w:tc>
        <w:tc>
          <w:tcPr>
            <w:tcW w:type="dxa" w:w="81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MOQ per color dan size allocation rule.</w:t>
            </w:r>
          </w:p>
        </w:tc>
      </w:tr>
      <w:tr>
        <w:trPr>
          <w:cantSplit/>
        </w:trPr>
        <w:tc>
          <w:tcPr>
            <w:tcW w:type="dxa" w:w="1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OD-006</w:t>
            </w:r>
          </w:p>
        </w:tc>
        <w:tc>
          <w:tcPr>
            <w:tcW w:type="dxa" w:w="81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Required Arrival, lead-time, dan supplier performance rule.</w:t>
            </w:r>
          </w:p>
        </w:tc>
      </w:tr>
      <w:tr>
        <w:trPr>
          <w:cantSplit/>
        </w:trPr>
        <w:tc>
          <w:tcPr>
            <w:tcW w:type="dxa" w:w="1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OD-007</w:t>
            </w:r>
          </w:p>
        </w:tc>
        <w:tc>
          <w:tcPr>
            <w:tcW w:type="dxa" w:w="81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Detailed accounting/stock treatment untuk setiap QC failed disposition dan non-sellable return.</w:t>
            </w:r>
          </w:p>
        </w:tc>
      </w:tr>
      <w:tr>
        <w:trPr>
          <w:cantSplit/>
        </w:trPr>
        <w:tc>
          <w:tcPr>
            <w:tcW w:type="dxa" w:w="1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OD-008</w:t>
            </w:r>
          </w:p>
        </w:tc>
        <w:tc>
          <w:tcPr>
            <w:tcW w:type="dxa" w:w="81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Hosting vendor/region, object storage, monitoring, backup retention, RTO/RPO, domain/DNS.</w:t>
            </w:r>
          </w:p>
        </w:tc>
      </w:tr>
      <w:tr>
        <w:trPr>
          <w:cantSplit/>
        </w:trPr>
        <w:tc>
          <w:tcPr>
            <w:tcW w:type="dxa" w:w="12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OD-009</w:t>
            </w:r>
          </w:p>
        </w:tc>
        <w:tc>
          <w:tcPr>
            <w:tcW w:type="dxa" w:w="81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Traffic source header aliases terbaru dan completeness acceptance untuk ongoing import.</w:t>
            </w:r>
          </w:p>
        </w:tc>
      </w:tr>
      <w:tr>
        <w:trPr>
          <w:cantSplit/>
        </w:trPr>
        <w:tc>
          <w:tcPr>
            <w:tcW w:type="dxa" w:w="12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OD-010</w:t>
            </w:r>
          </w:p>
        </w:tc>
        <w:tc>
          <w:tcPr>
            <w:tcW w:type="dxa" w:w="81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8"/>
              </w:rPr>
              <w:t>Role matrix untuk future multi-user dan sensitive module access.</w:t>
            </w:r>
          </w:p>
        </w:tc>
      </w:tr>
    </w:tbl>
    <w:p>
      <w:pPr>
        <w:keepNext w:val="0"/>
        <w:spacing w:before="0" w:after="100" w:line="300" w:lineRule="auto"/>
      </w:pPr>
    </w:p>
    <w:p>
      <w:pPr>
        <w:pStyle w:val="Heading1"/>
        <w:keepNext/>
      </w:pPr>
      <w:r>
        <w:t>14. Change control</w:t>
      </w:r>
    </w:p>
    <w:p>
      <w:pPr>
        <w:keepNext w:val="0"/>
        <w:spacing w:before="0" w:after="120" w:line="300" w:lineRule="auto"/>
      </w:pPr>
      <w:r>
        <w:rPr>
          <w:rFonts w:ascii="Calibri" w:hAnsi="Calibri"/>
          <w:b w:val="0"/>
          <w:i w:val="0"/>
          <w:color w:val="171714"/>
        </w:rPr>
        <w:t>Perubahan requirement dimulai dari evidence atau keputusan Adit. Samuel menilai dampak pada business rule, database, migration, UI, test, reconciliation, dan deployment; lalu requirement ID yang sama direvisi atau ID baru ditambahkan. Perubahan tidak dianggap berlaku hanya karena muncul di chat atau UI prototype—harus dicatat pada knowledge bersama dan SKPL version history setelah disepakati dan diverifikasi.</w:t>
      </w:r>
    </w:p>
    <w:tbl>
      <w:tblPr>
        <w:tblW w:type="dxa" w:w="9360"/>
        <w:tblLayout w:type="fixed"/>
        <w:tblLook w:firstColumn="1" w:firstRow="1" w:lastColumn="0" w:lastRow="0" w:noHBand="0" w:noVBand="1" w:val="04A0"/>
        <w:tblInd w:w="120" w:type="dxa"/>
      </w:tblPr>
      <w:tblGrid>
        <w:gridCol w:w="2600"/>
        <w:gridCol w:w="6760"/>
      </w:tblGrid>
      <w:tr>
        <w:trPr>
          <w:tblHeader w:val="true"/>
        </w:trPr>
        <w:tc>
          <w:tcPr>
            <w:tcW w:type="dxa" w:w="260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Jenis perubahan</w:t>
            </w:r>
          </w:p>
        </w:tc>
        <w:tc>
          <w:tcPr>
            <w:tcW w:type="dxa" w:w="6760"/>
            <w:vAlign w:val="center"/>
            <w:shd w:fill="D7F56C"/>
            <w:tcMar>
              <w:top w:w="80" w:type="dxa"/>
              <w:start w:w="120" w:type="dxa"/>
              <w:bottom w:w="80" w:type="dxa"/>
              <w:end w:w="120" w:type="dxa"/>
            </w:tcMar>
          </w:tcPr>
          <w:p>
            <w:pPr>
              <w:spacing w:before="0" w:after="0" w:line="269" w:lineRule="auto"/>
              <w:jc w:val="center"/>
            </w:pPr>
            <w:r/>
            <w:r>
              <w:rPr>
                <w:rFonts w:ascii="Calibri" w:hAnsi="Calibri"/>
                <w:b/>
                <w:color w:val="171714"/>
                <w:sz w:val="16"/>
              </w:rPr>
              <w:t>Tindakan minimum</w:t>
            </w:r>
          </w:p>
        </w:tc>
      </w:tr>
      <w:tr>
        <w:trPr>
          <w:cantSplit/>
        </w:trPr>
        <w:tc>
          <w:tcPr>
            <w:tcW w:type="dxa" w:w="26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Klarifikasi tanpa perubahan perilaku</w:t>
            </w:r>
          </w:p>
        </w:tc>
        <w:tc>
          <w:tcPr>
            <w:tcW w:type="dxa" w:w="67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Update wording/acceptance note; patch version bila perlu.</w:t>
            </w:r>
          </w:p>
        </w:tc>
      </w:tr>
      <w:tr>
        <w:trPr>
          <w:cantSplit/>
        </w:trPr>
        <w:tc>
          <w:tcPr>
            <w:tcW w:type="dxa" w:w="26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Perubahan business rule</w:t>
            </w:r>
          </w:p>
        </w:tc>
        <w:tc>
          <w:tcPr>
            <w:tcW w:type="dxa" w:w="67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Decision log + SKPL revision + code/data impact + automated test + UAT.</w:t>
            </w:r>
          </w:p>
        </w:tc>
      </w:tr>
      <w:tr>
        <w:trPr>
          <w:cantSplit/>
        </w:trPr>
        <w:tc>
          <w:tcPr>
            <w:tcW w:type="dxa" w:w="26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Perubahan schema/migration</w:t>
            </w:r>
          </w:p>
        </w:tc>
        <w:tc>
          <w:tcPr>
            <w:tcW w:type="dxa" w:w="67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Backward compatibility, rehearsal, reconciliation, rollback evidence.</w:t>
            </w:r>
          </w:p>
        </w:tc>
      </w:tr>
      <w:tr>
        <w:trPr>
          <w:cantSplit/>
        </w:trPr>
        <w:tc>
          <w:tcPr>
            <w:tcW w:type="dxa" w:w="260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Modul baru</w:t>
            </w:r>
          </w:p>
        </w:tc>
        <w:tc>
          <w:tcPr>
            <w:tcW w:type="dxa" w:w="6760"/>
            <w:vAlign w:val="center"/>
            <w:shd w:fill="FAFAF7"/>
            <w:tcMar>
              <w:top w:w="80" w:type="dxa"/>
              <w:start w:w="120" w:type="dxa"/>
              <w:bottom w:w="80" w:type="dxa"/>
              <w:end w:w="120" w:type="dxa"/>
            </w:tcMar>
          </w:tcPr>
          <w:p>
            <w:pPr>
              <w:spacing w:before="0" w:after="0" w:line="269" w:lineRule="auto"/>
              <w:jc w:val="left"/>
            </w:pPr>
            <w:r/>
            <w:r>
              <w:rPr>
                <w:rFonts w:ascii="Calibri" w:hAnsi="Calibri"/>
                <w:b w:val="0"/>
                <w:color w:val="171714"/>
                <w:sz w:val="17"/>
              </w:rPr>
              <w:t>Discovery, source-of-truth, actor/permission, functional/NFR catalog, acceptance, approval.</w:t>
            </w:r>
          </w:p>
        </w:tc>
      </w:tr>
      <w:tr>
        <w:trPr>
          <w:cantSplit/>
        </w:trPr>
        <w:tc>
          <w:tcPr>
            <w:tcW w:type="dxa" w:w="260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Production/cutover</w:t>
            </w:r>
          </w:p>
        </w:tc>
        <w:tc>
          <w:tcPr>
            <w:tcW w:type="dxa" w:w="67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7"/>
              </w:rPr>
              <w:t>Security/deployment checklist, backup/restore, parallel run, explicit Adit approval.</w:t>
            </w:r>
          </w:p>
        </w:tc>
      </w:tr>
    </w:tbl>
    <w:p>
      <w:pPr>
        <w:keepNext w:val="0"/>
        <w:spacing w:before="0" w:after="100" w:line="300" w:lineRule="auto"/>
      </w:pPr>
    </w:p>
    <w:p>
      <w:pPr>
        <w:pStyle w:val="Heading1"/>
        <w:keepNext/>
      </w:pPr>
      <w:r>
        <w:t>15. Persetujuan baseline</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50" w:type="dxa"/>
              <w:start w:w="180" w:type="dxa"/>
              <w:bottom w:w="150" w:type="dxa"/>
              <w:end w:w="180" w:type="dxa"/>
            </w:tcMar>
            <w:shd w:fill="F5F4EF"/>
          </w:tcPr>
          <w:p>
            <w:pPr>
              <w:spacing w:after="40"/>
            </w:pPr>
            <w:r>
              <w:rPr>
                <w:rFonts w:ascii="Calibri" w:hAnsi="Calibri"/>
                <w:b/>
                <w:color w:val="657D12"/>
                <w:sz w:val="17"/>
              </w:rPr>
              <w:t>MAKNA PERSETUJUAN</w:t>
            </w:r>
          </w:p>
          <w:p>
            <w:pPr>
              <w:spacing w:after="0" w:line="288" w:lineRule="auto"/>
            </w:pPr>
            <w:r>
              <w:rPr>
                <w:rFonts w:ascii="Calibri" w:hAnsi="Calibri"/>
                <w:color w:val="171714"/>
                <w:sz w:val="20"/>
              </w:rPr>
              <w:t>Persetujuan SKPL v1.0 menyatakan kebutuhan baseline dipahami dan menjadi rujukan pengembangan. Persetujuan ini tidak otomatis mengotorisasi production deployment, cutover, workbook write, credential creation, atau keputusan open item.</w:t>
            </w:r>
          </w:p>
        </w:tc>
      </w:tr>
    </w:tbl>
    <w:p>
      <w:pPr>
        <w:keepNext w:val="0"/>
        <w:spacing w:before="0" w:after="80" w:line="300" w:lineRule="auto"/>
      </w:pPr>
    </w:p>
    <w:tbl>
      <w:tblPr>
        <w:tblW w:type="dxa" w:w="9360"/>
        <w:tblLayout w:type="fixed"/>
        <w:tblLook w:firstColumn="1" w:firstRow="1" w:lastColumn="0" w:lastRow="0" w:noHBand="0" w:noVBand="1" w:val="04A0"/>
        <w:tblInd w:w="120" w:type="dxa"/>
      </w:tblPr>
      <w:tblGrid>
        <w:gridCol w:w="2000"/>
        <w:gridCol w:w="7360"/>
      </w:tblGrid>
      <w:tr>
        <w:tc>
          <w:tcPr>
            <w:tcW w:type="dxa" w:w="2000"/>
            <w:vAlign w:val="center"/>
            <w:shd w:fill="F5F4EF"/>
            <w:tcMar>
              <w:top w:w="80" w:type="dxa"/>
              <w:start w:w="120" w:type="dxa"/>
              <w:bottom w:w="80" w:type="dxa"/>
              <w:end w:w="120" w:type="dxa"/>
            </w:tcMar>
          </w:tcPr>
          <w:p>
            <w:pPr>
              <w:spacing w:before="0" w:after="0" w:line="269" w:lineRule="auto"/>
              <w:jc w:val="left"/>
            </w:pPr>
            <w:r/>
            <w:r>
              <w:rPr>
                <w:rFonts w:ascii="Calibri" w:hAnsi="Calibri"/>
                <w:b/>
                <w:color w:val="657D12"/>
                <w:sz w:val="18"/>
              </w:rPr>
              <w:t>Keputusan</w:t>
            </w:r>
          </w:p>
        </w:tc>
        <w:tc>
          <w:tcPr>
            <w:tcW w:type="dxa" w:w="73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 Disetujui  □ Disetujui dengan catatan  □ Perlu revisi</w:t>
            </w:r>
          </w:p>
        </w:tc>
      </w:tr>
      <w:tr>
        <w:tc>
          <w:tcPr>
            <w:tcW w:type="dxa" w:w="2000"/>
            <w:vAlign w:val="center"/>
            <w:shd w:fill="F5F4EF"/>
            <w:tcMar>
              <w:top w:w="80" w:type="dxa"/>
              <w:start w:w="120" w:type="dxa"/>
              <w:bottom w:w="80" w:type="dxa"/>
              <w:end w:w="120" w:type="dxa"/>
            </w:tcMar>
          </w:tcPr>
          <w:p>
            <w:pPr>
              <w:spacing w:before="0" w:after="0" w:line="269" w:lineRule="auto"/>
              <w:jc w:val="left"/>
            </w:pPr>
            <w:r/>
            <w:r>
              <w:rPr>
                <w:rFonts w:ascii="Calibri" w:hAnsi="Calibri"/>
                <w:b/>
                <w:color w:val="657D12"/>
                <w:sz w:val="18"/>
              </w:rPr>
              <w:t>Catatan</w:t>
            </w:r>
          </w:p>
        </w:tc>
        <w:tc>
          <w:tcPr>
            <w:tcW w:type="dxa" w:w="73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r>
          </w:p>
        </w:tc>
      </w:tr>
      <w:tr>
        <w:tc>
          <w:tcPr>
            <w:tcW w:type="dxa" w:w="2000"/>
            <w:vAlign w:val="center"/>
            <w:shd w:fill="F5F4EF"/>
            <w:tcMar>
              <w:top w:w="80" w:type="dxa"/>
              <w:start w:w="120" w:type="dxa"/>
              <w:bottom w:w="80" w:type="dxa"/>
              <w:end w:w="120" w:type="dxa"/>
            </w:tcMar>
          </w:tcPr>
          <w:p>
            <w:pPr>
              <w:spacing w:before="0" w:after="0" w:line="269" w:lineRule="auto"/>
              <w:jc w:val="left"/>
            </w:pPr>
            <w:r/>
            <w:r>
              <w:rPr>
                <w:rFonts w:ascii="Calibri" w:hAnsi="Calibri"/>
                <w:b/>
                <w:color w:val="657D12"/>
                <w:sz w:val="18"/>
              </w:rPr>
              <w:t>Nama</w:t>
            </w:r>
          </w:p>
        </w:tc>
        <w:tc>
          <w:tcPr>
            <w:tcW w:type="dxa" w:w="73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t>Aditya</w:t>
            </w:r>
          </w:p>
        </w:tc>
      </w:tr>
      <w:tr>
        <w:tc>
          <w:tcPr>
            <w:tcW w:type="dxa" w:w="2000"/>
            <w:vAlign w:val="center"/>
            <w:shd w:fill="F5F4EF"/>
            <w:tcMar>
              <w:top w:w="80" w:type="dxa"/>
              <w:start w:w="120" w:type="dxa"/>
              <w:bottom w:w="80" w:type="dxa"/>
              <w:end w:w="120" w:type="dxa"/>
            </w:tcMar>
          </w:tcPr>
          <w:p>
            <w:pPr>
              <w:spacing w:before="0" w:after="0" w:line="269" w:lineRule="auto"/>
              <w:jc w:val="left"/>
            </w:pPr>
            <w:r/>
            <w:r>
              <w:rPr>
                <w:rFonts w:ascii="Calibri" w:hAnsi="Calibri"/>
                <w:b/>
                <w:color w:val="657D12"/>
                <w:sz w:val="18"/>
              </w:rPr>
              <w:t>Tanggal</w:t>
            </w:r>
          </w:p>
        </w:tc>
        <w:tc>
          <w:tcPr>
            <w:tcW w:type="dxa" w:w="7360"/>
            <w:vAlign w:val="center"/>
            <w:tcMar>
              <w:top w:w="80" w:type="dxa"/>
              <w:start w:w="120" w:type="dxa"/>
              <w:bottom w:w="80" w:type="dxa"/>
              <w:end w:w="120" w:type="dxa"/>
            </w:tcMar>
          </w:tcPr>
          <w:p>
            <w:pPr>
              <w:spacing w:before="0" w:after="0" w:line="269" w:lineRule="auto"/>
              <w:jc w:val="left"/>
            </w:pPr>
            <w:r/>
            <w:r>
              <w:rPr>
                <w:rFonts w:ascii="Calibri" w:hAnsi="Calibri"/>
                <w:b w:val="0"/>
                <w:color w:val="171714"/>
                <w:sz w:val="18"/>
              </w:rPr>
            </w:r>
          </w:p>
        </w:tc>
      </w:tr>
    </w:tbl>
    <w:p>
      <w:pPr>
        <w:keepNext w:val="0"/>
        <w:spacing w:before="0" w:after="160" w:line="300" w:lineRule="auto"/>
      </w:pPr>
    </w:p>
    <w:p>
      <w:pPr>
        <w:keepNext w:val="0"/>
        <w:spacing w:before="240" w:after="0" w:line="300" w:lineRule="auto"/>
        <w:jc w:val="center"/>
      </w:pPr>
      <w:r>
        <w:rPr>
          <w:rFonts w:ascii="Calibri" w:hAnsi="Calibri"/>
          <w:b w:val="0"/>
          <w:i/>
          <w:color w:val="6F716A"/>
          <w:sz w:val="18"/>
        </w:rPr>
        <w:t>— Akhir dokumen —</w:t>
      </w:r>
    </w:p>
    <w:sectPr w:rsidR="00FC693F" w:rsidRPr="0006063C" w:rsidSect="00034616">
      <w:headerReference w:type="default" r:id="rId15"/>
      <w:footerReference w:type="default" r:id="rId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F716A"/>
        <w:sz w:val="16"/>
      </w:rPr>
      <w:t xml:space="preserve">VOBIA ERP · SKPL v1.0 · Baseline untuk review                                         </w:t>
    </w:r>
    <w:r>
      <w:rPr>
        <w:rFonts w:ascii="Calibri" w:hAnsi="Calibri"/>
        <w:color w:val="6F716A"/>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F716A"/>
        <w:sz w:val="16"/>
      </w:rPr>
      <w:t xml:space="preserve">VOBIA ERP · SKPL v1.0 · Baseline untuk review                                         </w:t>
    </w:r>
    <w:r>
      <w:rPr>
        <w:rFonts w:ascii="Calibri" w:hAnsi="Calibri"/>
        <w:color w:val="6F716A"/>
        <w:sz w:val="16"/>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F716A"/>
        <w:sz w:val="16"/>
      </w:rPr>
      <w:t xml:space="preserve">VOBIA ERP · SKPL v1.0 · Baseline untuk review                                         </w:t>
    </w:r>
    <w:r>
      <w:rPr>
        <w:rFonts w:ascii="Calibri" w:hAnsi="Calibri"/>
        <w:color w:val="6F716A"/>
        <w:sz w:val="16"/>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F716A"/>
        <w:sz w:val="16"/>
      </w:rPr>
      <w:t xml:space="preserve">VOBIA ERP · SKPL v1.0 · Baseline untuk review                                         </w:t>
    </w:r>
    <w:r>
      <w:rPr>
        <w:rFonts w:ascii="Calibri" w:hAnsi="Calibri"/>
        <w:color w:val="6F716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17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657D1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171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657D1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SKPL Vobia ERP v1.0</dc:title>
  <dc:subject>Spesifikasi Kebutuhan Perangkat Lunak Vobia ERP</dc:subject>
  <dc:creator>Samuel</dc:creator>
  <cp:keywords>Vobia, ERP, SKPL, requirements, Sales, Operation</cp:keywords>
  <dc:description>Baseline untuk review Aditya; bukan production/cutover approval.</dc:description>
  <cp:lastModifiedBy/>
  <cp:revision>1</cp:revision>
  <dcterms:created xsi:type="dcterms:W3CDTF">2013-12-23T23:15:00Z</dcterms:created>
  <dcterms:modified xsi:type="dcterms:W3CDTF">2013-12-23T23:15:00Z</dcterms:modified>
  <cp:category/>
</cp:coreProperties>
</file>