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2A78D6"/>
          <w:sz w:val="22"/>
        </w:rPr>
        <w:t>LOGISTICS DATA SCIENCE INTERNSHIP - WEEK 1</w:t>
      </w:r>
    </w:p>
    <w:p>
      <w:pPr>
        <w:spacing w:after="80"/>
      </w:pPr>
      <w:r>
        <w:rPr>
          <w:b/>
          <w:color w:val="1F3864"/>
          <w:sz w:val="56"/>
        </w:rPr>
        <w:t>Strategic Planning and Data Exploration in Logistics</w:t>
      </w:r>
    </w:p>
    <w:p>
      <w:pPr>
        <w:spacing w:after="600"/>
      </w:pPr>
      <w:r>
        <w:rPr>
          <w:color w:val="52514E"/>
          <w:sz w:val="28"/>
        </w:rPr>
        <w:t>Scenario definition, KPI framework, literature and data research, analytical roadmap</w:t>
      </w:r>
    </w:p>
    <w:tbl>
      <w:tblPr>
        <w:tblW w:type="auto" w:w="0"/>
        <w:jc w:val="left"/>
        <w:tblLook w:firstColumn="1" w:firstRow="1" w:lastColumn="0" w:lastRow="0" w:noHBand="0" w:noVBand="1" w:val="04A0"/>
      </w:tblPr>
      <w:tblGrid>
        <w:gridCol w:w="4706"/>
        <w:gridCol w:w="4706"/>
      </w:tblGrid>
      <w:tr>
        <w:tc>
          <w:tcPr>
            <w:tcW w:type="dxa" w:w="2041"/>
          </w:tcPr>
          <w:p>
            <w:pPr>
              <w:spacing w:after="60"/>
            </w:pPr>
            <w:r>
              <w:rPr>
                <w:b/>
              </w:rPr>
              <w:t>Prepared by</w:t>
            </w:r>
          </w:p>
        </w:tc>
        <w:tc>
          <w:tcPr>
            <w:tcW w:type="dxa" w:w="6520"/>
          </w:tcPr>
          <w:p>
            <w:pPr>
              <w:spacing w:after="60"/>
            </w:pPr>
            <w:r>
              <w:t>Kaju</w:t>
            </w:r>
          </w:p>
        </w:tc>
      </w:tr>
      <w:tr>
        <w:tc>
          <w:tcPr>
            <w:tcW w:type="dxa" w:w="2041"/>
          </w:tcPr>
          <w:p>
            <w:pPr>
              <w:spacing w:after="60"/>
            </w:pPr>
            <w:r>
              <w:rPr>
                <w:b/>
              </w:rPr>
              <w:t>Report date</w:t>
            </w:r>
          </w:p>
        </w:tc>
        <w:tc>
          <w:tcPr>
            <w:tcW w:type="dxa" w:w="6520"/>
          </w:tcPr>
          <w:p>
            <w:pPr>
              <w:spacing w:after="60"/>
            </w:pPr>
            <w:r>
              <w:t>October 2026</w:t>
            </w:r>
          </w:p>
        </w:tc>
      </w:tr>
      <w:tr>
        <w:tc>
          <w:tcPr>
            <w:tcW w:type="dxa" w:w="2041"/>
          </w:tcPr>
          <w:p>
            <w:pPr>
              <w:spacing w:after="60"/>
            </w:pPr>
            <w:r>
              <w:rPr>
                <w:b/>
              </w:rPr>
              <w:t>Scenario</w:t>
            </w:r>
          </w:p>
        </w:tc>
        <w:tc>
          <w:tcPr>
            <w:tcW w:type="dxa" w:w="6520"/>
          </w:tcPr>
          <w:p>
            <w:pPr>
              <w:spacing w:after="60"/>
            </w:pPr>
            <w:r>
              <w:t>Pan-India e-commerce fulfilment network (5 warehouses, 8 destination hubs)</w:t>
            </w:r>
          </w:p>
        </w:tc>
      </w:tr>
      <w:tr>
        <w:tc>
          <w:tcPr>
            <w:tcW w:type="dxa" w:w="2041"/>
          </w:tcPr>
          <w:p>
            <w:pPr>
              <w:spacing w:after="60"/>
            </w:pPr>
            <w:r>
              <w:rPr>
                <w:b/>
              </w:rPr>
              <w:t>Tools</w:t>
            </w:r>
          </w:p>
        </w:tc>
        <w:tc>
          <w:tcPr>
            <w:tcW w:type="dxa" w:w="6520"/>
          </w:tcPr>
          <w:p>
            <w:pPr>
              <w:spacing w:after="60"/>
            </w:pPr>
            <w:r>
              <w:t>Python 3 (pandas, NumPy, SciPy, scikit-learn, Matplotlib)</w:t>
            </w:r>
          </w:p>
        </w:tc>
      </w:tr>
      <w:tr>
        <w:tc>
          <w:tcPr>
            <w:tcW w:type="dxa" w:w="2041"/>
          </w:tcPr>
          <w:p>
            <w:pPr>
              <w:spacing w:after="60"/>
            </w:pPr>
            <w:r>
              <w:rPr>
                <w:b/>
              </w:rPr>
              <w:t>Code &amp; data</w:t>
            </w:r>
          </w:p>
        </w:tc>
        <w:tc>
          <w:tcPr>
            <w:tcW w:type="dxa" w:w="6520"/>
          </w:tcPr>
          <w:p>
            <w:pPr>
              <w:spacing w:after="60"/>
            </w:pPr>
            <w:r>
              <w:t>Repository folder: src/, data/, figures/, results/</w:t>
            </w:r>
          </w:p>
        </w:tc>
      </w:tr>
    </w:tbl>
    <w:p>
      <w:r>
        <w:br w:type="page"/>
      </w:r>
    </w:p>
    <w:p>
      <w:pPr>
        <w:pStyle w:val="Heading1"/>
      </w:pPr>
      <w:r>
        <w:t>1. Executive summary</w:t>
      </w:r>
    </w:p>
    <w:p>
      <w:r>
        <w:rPr>
          <w:b w:val="0"/>
          <w:i w:val="0"/>
        </w:rPr>
        <w:t xml:space="preserve">This report plans a data-science programme for a mid-sized Indian e-commerce fulfilment network. Five warehouses (Pune, Mumbai, Delhi, Bengaluru, Kolkata) ship to eight destination hubs through four carriers and three service levels. A pilot extract of </w:t>
      </w:r>
      <w:r>
        <w:rPr>
          <w:b/>
          <w:i w:val="0"/>
        </w:rPr>
        <w:t>10,461 shipments from 2025</w:t>
      </w:r>
      <w:r>
        <w:rPr>
          <w:b w:val="0"/>
          <w:i w:val="0"/>
        </w:rPr>
        <w:t xml:space="preserve"> already shows the problem the programme must solve: only </w:t>
      </w:r>
      <w:r>
        <w:rPr>
          <w:b/>
          <w:i w:val="0"/>
        </w:rPr>
        <w:t>70.4%</w:t>
      </w:r>
      <w:r>
        <w:rPr>
          <w:b w:val="0"/>
          <w:i w:val="0"/>
        </w:rPr>
        <w:t xml:space="preserve"> of parcels arrive within the promised window (29.6% are late), delivery cost varies sharply by lane and service level, and the weakest destination zone (North-East) has an on-time rate of 53.2% against 75.8% in Central.</w:t>
      </w:r>
    </w:p>
    <w:p>
      <w:r>
        <w:rPr>
          <w:b w:val="0"/>
          <w:i w:val="0"/>
        </w:rPr>
        <w:t>The report (i) defines the scenario and six KPIs, (ii) grounds the plan in named public datasets and published methods, (iii) explains where regression, clustering, classification and optimisation fit, (iv) lays out an end-to-end Python roadmap, and (v) demonstrates the approach on the pilot data with working code: KPI computation, K-Means segmentation of delivery lanes, EOQ and safety-stock calculation, and a first cost-versus-distance regression.</w:t>
      </w:r>
    </w:p>
    <w:tbl>
      <w:tblPr>
        <w:tblW w:type="auto" w:w="0"/>
        <w:jc w:val="center"/>
        <w:tblLook w:firstColumn="1" w:firstRow="1" w:lastColumn="0" w:lastRow="0" w:noHBand="0" w:noVBand="1" w:val="04A0"/>
      </w:tblPr>
      <w:tblGrid>
        <w:gridCol w:w="9412"/>
      </w:tblGrid>
      <w:tr>
        <w:tc>
          <w:tcPr>
            <w:tcW w:type="dxa" w:w="9412"/>
            <w:shd w:val="clear" w:color="auto" w:fill="E8F1FC"/>
            <w:tcMar>
              <w:top w:w="90" w:type="dxa"/>
              <w:left w:w="140" w:type="dxa"/>
              <w:bottom w:w="90" w:type="dxa"/>
              <w:right w:w="140" w:type="dxa"/>
            </w:tcMar>
          </w:tcPr>
          <w:p>
            <w:pPr>
              <w:spacing w:after="0"/>
            </w:pPr>
            <w:r>
              <w:rPr>
                <w:b/>
                <w:color w:val="1F3864"/>
              </w:rPr>
              <w:t xml:space="preserve">Headline findings from the pilot.  </w:t>
            </w:r>
            <w:r>
              <w:rPr>
                <w:b w:val="0"/>
                <w:i w:val="0"/>
              </w:rPr>
              <w:t>(1) Network on-time rate 70.4% versus a proposed 90% target. (2) Lanes split into 3 behaviour-based segments; the highest-risk segment has a 43.5% late rate. (3) Cost rises almost linearly with distance, but the simple fit explains only part of the variation (R-squared 0.67) and billing outliers push the untrimmed fit down to 0.07, which is why Week 2 is devoted to data quality.</w:t>
            </w:r>
          </w:p>
        </w:tc>
      </w:tr>
    </w:tbl>
    <w:p>
      <w:pPr>
        <w:spacing w:after="40"/>
      </w:pPr>
    </w:p>
    <w:p>
      <w:pPr>
        <w:pStyle w:val="Heading2"/>
      </w:pPr>
      <w:r>
        <w:t>Contents</w:t>
      </w:r>
    </w:p>
    <w:p>
      <w:pPr>
        <w:pStyle w:val="ListBullet"/>
      </w:pPr>
      <w:r>
        <w:rPr>
          <w:b w:val="0"/>
          <w:i w:val="0"/>
        </w:rPr>
        <w:t>2. Project definition: the logistics scenario</w:t>
      </w:r>
    </w:p>
    <w:p>
      <w:pPr>
        <w:pStyle w:val="ListBullet"/>
      </w:pPr>
      <w:r>
        <w:rPr>
          <w:b w:val="0"/>
          <w:i w:val="0"/>
        </w:rPr>
        <w:t>3. Key performance indicators</w:t>
      </w:r>
    </w:p>
    <w:p>
      <w:pPr>
        <w:pStyle w:val="ListBullet"/>
      </w:pPr>
      <w:r>
        <w:rPr>
          <w:b w:val="0"/>
          <w:i w:val="0"/>
        </w:rPr>
        <w:t>4. Background research and public data sources</w:t>
      </w:r>
    </w:p>
    <w:p>
      <w:pPr>
        <w:pStyle w:val="ListBullet"/>
      </w:pPr>
      <w:r>
        <w:rPr>
          <w:b w:val="0"/>
          <w:i w:val="0"/>
        </w:rPr>
        <w:t>5. How data-science concepts apply to this scenario</w:t>
      </w:r>
    </w:p>
    <w:p>
      <w:pPr>
        <w:pStyle w:val="ListBullet"/>
      </w:pPr>
      <w:r>
        <w:rPr>
          <w:b w:val="0"/>
          <w:i w:val="0"/>
        </w:rPr>
        <w:t>6. Pilot exploration of the data</w:t>
      </w:r>
    </w:p>
    <w:p>
      <w:pPr>
        <w:pStyle w:val="ListBullet"/>
      </w:pPr>
      <w:r>
        <w:rPr>
          <w:b w:val="0"/>
          <w:i w:val="0"/>
        </w:rPr>
        <w:t>7. Strategic roadmap</w:t>
      </w:r>
    </w:p>
    <w:p>
      <w:pPr>
        <w:pStyle w:val="ListBullet"/>
      </w:pPr>
      <w:r>
        <w:rPr>
          <w:b w:val="0"/>
          <w:i w:val="0"/>
        </w:rPr>
        <w:t>8. Python code illustrations</w:t>
      </w:r>
    </w:p>
    <w:p>
      <w:pPr>
        <w:pStyle w:val="ListBullet"/>
      </w:pPr>
      <w:r>
        <w:rPr>
          <w:b w:val="0"/>
          <w:i w:val="0"/>
        </w:rPr>
        <w:t>9. Assumptions, risks and limitations</w:t>
      </w:r>
    </w:p>
    <w:p>
      <w:pPr>
        <w:pStyle w:val="ListBullet"/>
      </w:pPr>
      <w:r>
        <w:rPr>
          <w:b w:val="0"/>
          <w:i w:val="0"/>
        </w:rPr>
        <w:t>10. Conclusion: expected outcomes and decision impact</w:t>
      </w:r>
    </w:p>
    <w:p>
      <w:pPr>
        <w:pStyle w:val="ListBullet"/>
      </w:pPr>
      <w:r>
        <w:rPr>
          <w:b w:val="0"/>
          <w:i w:val="0"/>
        </w:rPr>
        <w:t>References</w:t>
      </w:r>
    </w:p>
    <w:p>
      <w:pPr>
        <w:pStyle w:val="Heading1"/>
      </w:pPr>
      <w:r>
        <w:t>2. Project definition: the logistics scenario</w:t>
      </w:r>
    </w:p>
    <w:p>
      <w:pPr>
        <w:pStyle w:val="Heading2"/>
      </w:pPr>
      <w:r>
        <w:t>2.1 Business context</w:t>
      </w:r>
    </w:p>
    <w:p>
      <w:r>
        <w:rPr>
          <w:b w:val="0"/>
          <w:i w:val="0"/>
        </w:rPr>
        <w:t>The organisation is a simulated online retailer that fulfils orders for six product families (electronics, apparel, grocery, furniture, pharma, books) from five regional warehouses. Customers are served through eight destination hubs that stand in for the main demand centres: Ahmedabad, Jaipur, Lucknow, Hyderabad, Chennai, Nagpur, Bhubaneswar and Guwahati. Parcels travel by road with one of four carriers on Economy, Standard or Express service. Peak season runs October to December.</w:t>
      </w:r>
    </w:p>
    <w:p>
      <w:r>
        <w:rPr>
          <w:b w:val="0"/>
          <w:i w:val="0"/>
        </w:rPr>
        <w:t>Three operational pain points motivate the work, and each maps to one of the three problem types named in the assignment:</w:t>
      </w:r>
    </w:p>
    <w:p>
      <w:pPr>
        <w:pStyle w:val="ListBullet"/>
      </w:pPr>
      <w:r>
        <w:rPr>
          <w:b/>
          <w:i w:val="0"/>
        </w:rPr>
        <w:t>Supply-chain integration / service reliability.</w:t>
      </w:r>
      <w:r>
        <w:rPr>
          <w:b w:val="0"/>
          <w:i w:val="0"/>
        </w:rPr>
        <w:t xml:space="preserve"> Promised delivery dates are set by a simple distance-and-mode rule and are missed on roughly three shipments in ten. Carrier, weather, traffic and season are not used in the promise.</w:t>
      </w:r>
    </w:p>
    <w:p>
      <w:pPr>
        <w:pStyle w:val="ListBullet"/>
      </w:pPr>
      <w:r>
        <w:rPr>
          <w:b/>
          <w:i w:val="0"/>
        </w:rPr>
        <w:t>Route and lane optimisation.</w:t>
      </w:r>
      <w:r>
        <w:rPr>
          <w:b w:val="0"/>
          <w:i w:val="0"/>
        </w:rPr>
        <w:t xml:space="preserve"> Dispatchers choose the origin warehouse for each order with little regard to total cost; some hubs are served from four or five warehouses at very different cost per kilometre.</w:t>
      </w:r>
    </w:p>
    <w:p>
      <w:pPr>
        <w:pStyle w:val="ListBullet"/>
      </w:pPr>
      <w:r>
        <w:rPr>
          <w:b/>
          <w:i w:val="0"/>
        </w:rPr>
        <w:t>Inventory management.</w:t>
      </w:r>
      <w:r>
        <w:rPr>
          <w:b w:val="0"/>
          <w:i w:val="0"/>
        </w:rPr>
        <w:t xml:space="preserve"> Each warehouse needs a reorder policy that reflects its demand variability and supplier lead time, otherwise stock-outs force costly transfers between warehouses.</w:t>
      </w:r>
    </w:p>
    <w:p>
      <w:pPr>
        <w:pStyle w:val="Heading2"/>
      </w:pPr>
      <w:r>
        <w:t>2.2 Business questions</w:t>
      </w:r>
    </w:p>
    <w:p>
      <w:pPr>
        <w:pStyle w:val="ListBullet"/>
      </w:pPr>
      <w:r>
        <w:rPr>
          <w:b w:val="0"/>
          <w:i w:val="0"/>
        </w:rPr>
        <w:t>Which lanes, carriers, zones and months drive late deliveries, and by how much?</w:t>
      </w:r>
    </w:p>
    <w:p>
      <w:pPr>
        <w:pStyle w:val="ListBullet"/>
      </w:pPr>
      <w:r>
        <w:rPr>
          <w:b w:val="0"/>
          <w:i w:val="0"/>
        </w:rPr>
        <w:t>How well can delivery time be predicted at the moment of dispatch, and can the promise be made smarter?</w:t>
      </w:r>
    </w:p>
    <w:p>
      <w:pPr>
        <w:pStyle w:val="ListBullet"/>
      </w:pPr>
      <w:r>
        <w:rPr>
          <w:b w:val="0"/>
          <w:i w:val="0"/>
        </w:rPr>
        <w:t>Which warehouse should serve which hub, and which carrier mix should each zone use, to cut cost without hurting service?</w:t>
      </w:r>
    </w:p>
    <w:p>
      <w:pPr>
        <w:pStyle w:val="ListBullet"/>
      </w:pPr>
      <w:r>
        <w:rPr>
          <w:b w:val="0"/>
          <w:i w:val="0"/>
        </w:rPr>
        <w:t>What reorder quantity and safety stock should each warehouse hold?</w:t>
      </w:r>
    </w:p>
    <w:p>
      <w:pPr>
        <w:pStyle w:val="Heading2"/>
      </w:pPr>
      <w:r>
        <w:t>2.3 Scope and data used</w:t>
      </w:r>
    </w:p>
    <w:p>
      <w:r>
        <w:rPr>
          <w:b w:val="0"/>
          <w:i w:val="0"/>
        </w:rPr>
        <w:t>A 12,000-shipment simulated feed (January to December 2025) was generated with a fixed random seed. It deliberately reproduces the structure and the quality problems of real logistics extracts (Section 4.3). The Week 1 pilot applies only light cleaning (duplicate IDs removed, impossible values dropped, labels standardised), leaving 10,461 usable shipments across 40 origin-destination lanes. Full cleaning follows in Week 2.</w:t>
      </w:r>
    </w:p>
    <w:p>
      <w:pPr>
        <w:pStyle w:val="Heading1"/>
      </w:pPr>
      <w:r>
        <w:t>3. Key performance indicators</w:t>
      </w:r>
    </w:p>
    <w:p>
      <w:r>
        <w:rPr>
          <w:b w:val="0"/>
          <w:i w:val="0"/>
        </w:rPr>
        <w:t>Six KPIs were selected to cover the service-cost-satisfaction triangle described in the logistics literature (Christopher, 2016; Chopra &amp; Meindl, 2016). Baselines are computed on the pilot data; targets are proposals for the programme to test.</w:t>
      </w:r>
    </w:p>
    <w:p>
      <w:pPr>
        <w:keepNext/>
        <w:spacing w:after="60"/>
      </w:pPr>
      <w:r>
        <w:rPr>
          <w:b/>
          <w:color w:val="1F3864"/>
          <w:sz w:val="18"/>
        </w:rPr>
        <w:t xml:space="preserve">Table 1. </w:t>
      </w:r>
      <w:r>
        <w:rPr>
          <w:color w:val="52514E"/>
          <w:sz w:val="18"/>
        </w:rPr>
        <w:t>KPI framework with pilot baselines and proposed targets.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882"/>
        <w:gridCol w:w="1882"/>
        <w:gridCol w:w="1882"/>
        <w:gridCol w:w="1882"/>
        <w:gridCol w:w="1882"/>
      </w:tblGrid>
      <w:tr>
        <w:trPr>
          <w:tblHeader w:val="true"/>
        </w:trPr>
        <w:tc>
          <w:tcPr>
            <w:tcW w:type="dxa" w:w="1928"/>
            <w:shd w:val="clear" w:color="auto" w:fill="1F3864"/>
            <w:tcMar>
              <w:top w:w="50" w:type="dxa"/>
              <w:left w:w="80" w:type="dxa"/>
              <w:bottom w:w="50" w:type="dxa"/>
              <w:right w:w="80" w:type="dxa"/>
            </w:tcMar>
          </w:tcPr>
          <w:p>
            <w:pPr>
              <w:spacing w:after="0"/>
            </w:pPr>
            <w:r>
              <w:rPr>
                <w:b/>
                <w:color w:val="FFFFFF"/>
                <w:sz w:val="17"/>
              </w:rPr>
              <w:t>KPI</w:t>
            </w:r>
          </w:p>
        </w:tc>
        <w:tc>
          <w:tcPr>
            <w:tcW w:type="dxa" w:w="2608"/>
            <w:shd w:val="clear" w:color="auto" w:fill="1F3864"/>
            <w:tcMar>
              <w:top w:w="50" w:type="dxa"/>
              <w:left w:w="80" w:type="dxa"/>
              <w:bottom w:w="50" w:type="dxa"/>
              <w:right w:w="80" w:type="dxa"/>
            </w:tcMar>
          </w:tcPr>
          <w:p>
            <w:pPr>
              <w:spacing w:after="0"/>
            </w:pPr>
            <w:r>
              <w:rPr>
                <w:b/>
                <w:color w:val="FFFFFF"/>
                <w:sz w:val="17"/>
              </w:rPr>
              <w:t>Definition</w:t>
            </w:r>
          </w:p>
        </w:tc>
        <w:tc>
          <w:tcPr>
            <w:tcW w:type="dxa" w:w="2381"/>
            <w:shd w:val="clear" w:color="auto" w:fill="1F3864"/>
            <w:tcMar>
              <w:top w:w="50" w:type="dxa"/>
              <w:left w:w="80" w:type="dxa"/>
              <w:bottom w:w="50" w:type="dxa"/>
              <w:right w:w="80" w:type="dxa"/>
            </w:tcMar>
          </w:tcPr>
          <w:p>
            <w:pPr>
              <w:spacing w:after="0"/>
            </w:pPr>
            <w:r>
              <w:rPr>
                <w:b/>
                <w:color w:val="FFFFFF"/>
                <w:sz w:val="17"/>
              </w:rPr>
              <w:t>Why it matters</w:t>
            </w:r>
          </w:p>
        </w:tc>
        <w:tc>
          <w:tcPr>
            <w:tcW w:type="dxa" w:w="1361"/>
            <w:shd w:val="clear" w:color="auto" w:fill="1F3864"/>
            <w:tcMar>
              <w:top w:w="50" w:type="dxa"/>
              <w:left w:w="80" w:type="dxa"/>
              <w:bottom w:w="50" w:type="dxa"/>
              <w:right w:w="80" w:type="dxa"/>
            </w:tcMar>
          </w:tcPr>
          <w:p>
            <w:pPr>
              <w:spacing w:after="0"/>
            </w:pPr>
            <w:r>
              <w:rPr>
                <w:b/>
                <w:color w:val="FFFFFF"/>
                <w:sz w:val="17"/>
              </w:rPr>
              <w:t>Pilot baseline</w:t>
            </w:r>
          </w:p>
        </w:tc>
        <w:tc>
          <w:tcPr>
            <w:tcW w:type="dxa" w:w="1247"/>
            <w:shd w:val="clear" w:color="auto" w:fill="1F3864"/>
            <w:tcMar>
              <w:top w:w="50" w:type="dxa"/>
              <w:left w:w="80" w:type="dxa"/>
              <w:bottom w:w="50" w:type="dxa"/>
              <w:right w:w="80" w:type="dxa"/>
            </w:tcMar>
          </w:tcPr>
          <w:p>
            <w:pPr>
              <w:spacing w:after="0"/>
            </w:pPr>
            <w:r>
              <w:rPr>
                <w:b/>
                <w:color w:val="FFFFFF"/>
                <w:sz w:val="17"/>
              </w:rPr>
              <w:t>Proposed target</w:t>
            </w:r>
          </w:p>
        </w:tc>
      </w:tr>
      <w:tr>
        <w:trPr>
          <w:cantSplit w:val="true"/>
        </w:trPr>
        <w:tc>
          <w:tcPr>
            <w:tcW w:type="dxa" w:w="1928"/>
            <w:tcMar>
              <w:top w:w="50" w:type="dxa"/>
              <w:left w:w="80" w:type="dxa"/>
              <w:bottom w:w="50" w:type="dxa"/>
              <w:right w:w="80" w:type="dxa"/>
            </w:tcMar>
          </w:tcPr>
          <w:p>
            <w:pPr>
              <w:spacing w:after="0"/>
            </w:pPr>
            <w:r>
              <w:rPr>
                <w:b w:val="0"/>
                <w:i w:val="0"/>
                <w:sz w:val="17"/>
              </w:rPr>
              <w:t>On-time delivery rate (OTD)</w:t>
            </w:r>
          </w:p>
        </w:tc>
        <w:tc>
          <w:tcPr>
            <w:tcW w:type="dxa" w:w="2608"/>
            <w:tcMar>
              <w:top w:w="50" w:type="dxa"/>
              <w:left w:w="80" w:type="dxa"/>
              <w:bottom w:w="50" w:type="dxa"/>
              <w:right w:w="80" w:type="dxa"/>
            </w:tcMar>
          </w:tcPr>
          <w:p>
            <w:pPr>
              <w:spacing w:after="0"/>
            </w:pPr>
            <w:r>
              <w:rPr>
                <w:b w:val="0"/>
                <w:i w:val="0"/>
                <w:sz w:val="17"/>
              </w:rPr>
              <w:t>Shipments with actual_days &lt;= planned_days / all shipments</w:t>
            </w:r>
          </w:p>
        </w:tc>
        <w:tc>
          <w:tcPr>
            <w:tcW w:type="dxa" w:w="2381"/>
            <w:tcMar>
              <w:top w:w="50" w:type="dxa"/>
              <w:left w:w="80" w:type="dxa"/>
              <w:bottom w:w="50" w:type="dxa"/>
              <w:right w:w="80" w:type="dxa"/>
            </w:tcMar>
          </w:tcPr>
          <w:p>
            <w:pPr>
              <w:spacing w:after="0"/>
            </w:pPr>
            <w:r>
              <w:rPr>
                <w:b w:val="0"/>
                <w:i w:val="0"/>
                <w:sz w:val="17"/>
              </w:rPr>
              <w:t>Primary service measure; drives rating and repeat orders</w:t>
            </w:r>
          </w:p>
        </w:tc>
        <w:tc>
          <w:tcPr>
            <w:tcW w:type="dxa" w:w="1361"/>
            <w:tcMar>
              <w:top w:w="50" w:type="dxa"/>
              <w:left w:w="80" w:type="dxa"/>
              <w:bottom w:w="50" w:type="dxa"/>
              <w:right w:w="80" w:type="dxa"/>
            </w:tcMar>
          </w:tcPr>
          <w:p>
            <w:pPr>
              <w:spacing w:after="0"/>
            </w:pPr>
            <w:r>
              <w:rPr>
                <w:b w:val="0"/>
                <w:i w:val="0"/>
                <w:sz w:val="17"/>
              </w:rPr>
              <w:t>70.4%</w:t>
            </w:r>
          </w:p>
        </w:tc>
        <w:tc>
          <w:tcPr>
            <w:tcW w:type="dxa" w:w="1247"/>
            <w:tcMar>
              <w:top w:w="50" w:type="dxa"/>
              <w:left w:w="80" w:type="dxa"/>
              <w:bottom w:w="50" w:type="dxa"/>
              <w:right w:w="80" w:type="dxa"/>
            </w:tcMar>
          </w:tcPr>
          <w:p>
            <w:pPr>
              <w:spacing w:after="0"/>
            </w:pPr>
            <w:r>
              <w:rPr>
                <w:b w:val="0"/>
                <w:i w:val="0"/>
                <w:sz w:val="17"/>
              </w:rPr>
              <w:t>&gt;= 90%</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7"/>
              </w:rPr>
              <w:t>Average lead time</w:t>
            </w:r>
          </w:p>
        </w:tc>
        <w:tc>
          <w:tcPr>
            <w:tcW w:type="dxa" w:w="2608"/>
            <w:tcMar>
              <w:top w:w="50" w:type="dxa"/>
              <w:left w:w="80" w:type="dxa"/>
              <w:bottom w:w="50" w:type="dxa"/>
              <w:right w:w="80" w:type="dxa"/>
            </w:tcMar>
            <w:shd w:val="clear" w:color="auto" w:fill="F2F6FB"/>
          </w:tcPr>
          <w:p>
            <w:pPr>
              <w:spacing w:after="0"/>
            </w:pPr>
            <w:r>
              <w:rPr>
                <w:b w:val="0"/>
                <w:i w:val="0"/>
                <w:sz w:val="17"/>
              </w:rPr>
              <w:t>Mean of actual_days from order to delivery</w:t>
            </w:r>
          </w:p>
        </w:tc>
        <w:tc>
          <w:tcPr>
            <w:tcW w:type="dxa" w:w="2381"/>
            <w:tcMar>
              <w:top w:w="50" w:type="dxa"/>
              <w:left w:w="80" w:type="dxa"/>
              <w:bottom w:w="50" w:type="dxa"/>
              <w:right w:w="80" w:type="dxa"/>
            </w:tcMar>
            <w:shd w:val="clear" w:color="auto" w:fill="F2F6FB"/>
          </w:tcPr>
          <w:p>
            <w:pPr>
              <w:spacing w:after="0"/>
            </w:pPr>
            <w:r>
              <w:rPr>
                <w:b w:val="0"/>
                <w:i w:val="0"/>
                <w:sz w:val="17"/>
              </w:rPr>
              <w:t>Speed of the network</w:t>
            </w:r>
          </w:p>
        </w:tc>
        <w:tc>
          <w:tcPr>
            <w:tcW w:type="dxa" w:w="1361"/>
            <w:tcMar>
              <w:top w:w="50" w:type="dxa"/>
              <w:left w:w="80" w:type="dxa"/>
              <w:bottom w:w="50" w:type="dxa"/>
              <w:right w:w="80" w:type="dxa"/>
            </w:tcMar>
            <w:shd w:val="clear" w:color="auto" w:fill="F2F6FB"/>
          </w:tcPr>
          <w:p>
            <w:pPr>
              <w:spacing w:after="0"/>
            </w:pPr>
            <w:r>
              <w:rPr>
                <w:b w:val="0"/>
                <w:i w:val="0"/>
                <w:sz w:val="17"/>
              </w:rPr>
              <w:t>3.73 days</w:t>
            </w:r>
          </w:p>
        </w:tc>
        <w:tc>
          <w:tcPr>
            <w:tcW w:type="dxa" w:w="1247"/>
            <w:tcMar>
              <w:top w:w="50" w:type="dxa"/>
              <w:left w:w="80" w:type="dxa"/>
              <w:bottom w:w="50" w:type="dxa"/>
              <w:right w:w="80" w:type="dxa"/>
            </w:tcMar>
            <w:shd w:val="clear" w:color="auto" w:fill="F2F6FB"/>
          </w:tcPr>
          <w:p>
            <w:pPr>
              <w:spacing w:after="0"/>
            </w:pPr>
            <w:r>
              <w:rPr>
                <w:b w:val="0"/>
                <w:i w:val="0"/>
                <w:sz w:val="17"/>
              </w:rPr>
              <w:t>&lt;= 3.5 days</w:t>
            </w:r>
          </w:p>
        </w:tc>
      </w:tr>
      <w:tr>
        <w:trPr>
          <w:cantSplit w:val="true"/>
        </w:trPr>
        <w:tc>
          <w:tcPr>
            <w:tcW w:type="dxa" w:w="1928"/>
            <w:tcMar>
              <w:top w:w="50" w:type="dxa"/>
              <w:left w:w="80" w:type="dxa"/>
              <w:bottom w:w="50" w:type="dxa"/>
              <w:right w:w="80" w:type="dxa"/>
            </w:tcMar>
          </w:tcPr>
          <w:p>
            <w:pPr>
              <w:spacing w:after="0"/>
            </w:pPr>
            <w:r>
              <w:rPr>
                <w:b w:val="0"/>
                <w:i w:val="0"/>
                <w:sz w:val="17"/>
              </w:rPr>
              <w:t>Average delay when late</w:t>
            </w:r>
          </w:p>
        </w:tc>
        <w:tc>
          <w:tcPr>
            <w:tcW w:type="dxa" w:w="2608"/>
            <w:tcMar>
              <w:top w:w="50" w:type="dxa"/>
              <w:left w:w="80" w:type="dxa"/>
              <w:bottom w:w="50" w:type="dxa"/>
              <w:right w:w="80" w:type="dxa"/>
            </w:tcMar>
          </w:tcPr>
          <w:p>
            <w:pPr>
              <w:spacing w:after="0"/>
            </w:pPr>
            <w:r>
              <w:rPr>
                <w:b w:val="0"/>
                <w:i w:val="0"/>
                <w:sz w:val="17"/>
              </w:rPr>
              <w:t>Mean of (actual - planned) for late shipments</w:t>
            </w:r>
          </w:p>
        </w:tc>
        <w:tc>
          <w:tcPr>
            <w:tcW w:type="dxa" w:w="2381"/>
            <w:tcMar>
              <w:top w:w="50" w:type="dxa"/>
              <w:left w:w="80" w:type="dxa"/>
              <w:bottom w:w="50" w:type="dxa"/>
              <w:right w:w="80" w:type="dxa"/>
            </w:tcMar>
          </w:tcPr>
          <w:p>
            <w:pPr>
              <w:spacing w:after="0"/>
            </w:pPr>
            <w:r>
              <w:rPr>
                <w:b w:val="0"/>
                <w:i w:val="0"/>
                <w:sz w:val="17"/>
              </w:rPr>
              <w:t>Severity of failures, not just frequency</w:t>
            </w:r>
          </w:p>
        </w:tc>
        <w:tc>
          <w:tcPr>
            <w:tcW w:type="dxa" w:w="1361"/>
            <w:tcMar>
              <w:top w:w="50" w:type="dxa"/>
              <w:left w:w="80" w:type="dxa"/>
              <w:bottom w:w="50" w:type="dxa"/>
              <w:right w:w="80" w:type="dxa"/>
            </w:tcMar>
          </w:tcPr>
          <w:p>
            <w:pPr>
              <w:spacing w:after="0"/>
            </w:pPr>
            <w:r>
              <w:rPr>
                <w:b w:val="0"/>
                <w:i w:val="0"/>
                <w:sz w:val="17"/>
              </w:rPr>
              <w:t>0.58 days</w:t>
            </w:r>
          </w:p>
        </w:tc>
        <w:tc>
          <w:tcPr>
            <w:tcW w:type="dxa" w:w="1247"/>
            <w:tcMar>
              <w:top w:w="50" w:type="dxa"/>
              <w:left w:w="80" w:type="dxa"/>
              <w:bottom w:w="50" w:type="dxa"/>
              <w:right w:w="80" w:type="dxa"/>
            </w:tcMar>
          </w:tcPr>
          <w:p>
            <w:pPr>
              <w:spacing w:after="0"/>
            </w:pPr>
            <w:r>
              <w:rPr>
                <w:b w:val="0"/>
                <w:i w:val="0"/>
                <w:sz w:val="17"/>
              </w:rPr>
              <w:t>&lt;= 0.4 days</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7"/>
              </w:rPr>
              <w:t>Cost per km (median)</w:t>
            </w:r>
          </w:p>
        </w:tc>
        <w:tc>
          <w:tcPr>
            <w:tcW w:type="dxa" w:w="2608"/>
            <w:tcMar>
              <w:top w:w="50" w:type="dxa"/>
              <w:left w:w="80" w:type="dxa"/>
              <w:bottom w:w="50" w:type="dxa"/>
              <w:right w:w="80" w:type="dxa"/>
            </w:tcMar>
            <w:shd w:val="clear" w:color="auto" w:fill="F2F6FB"/>
          </w:tcPr>
          <w:p>
            <w:pPr>
              <w:spacing w:after="0"/>
            </w:pPr>
            <w:r>
              <w:rPr>
                <w:b w:val="0"/>
                <w:i w:val="0"/>
                <w:sz w:val="17"/>
              </w:rPr>
              <w:t>delivery_cost_inr / distance_km</w:t>
            </w:r>
          </w:p>
        </w:tc>
        <w:tc>
          <w:tcPr>
            <w:tcW w:type="dxa" w:w="2381"/>
            <w:tcMar>
              <w:top w:w="50" w:type="dxa"/>
              <w:left w:w="80" w:type="dxa"/>
              <w:bottom w:w="50" w:type="dxa"/>
              <w:right w:w="80" w:type="dxa"/>
            </w:tcMar>
            <w:shd w:val="clear" w:color="auto" w:fill="F2F6FB"/>
          </w:tcPr>
          <w:p>
            <w:pPr>
              <w:spacing w:after="0"/>
            </w:pPr>
            <w:r>
              <w:rPr>
                <w:b w:val="0"/>
                <w:i w:val="0"/>
                <w:sz w:val="17"/>
              </w:rPr>
              <w:t>Transport efficiency; comparable across lanes</w:t>
            </w:r>
          </w:p>
        </w:tc>
        <w:tc>
          <w:tcPr>
            <w:tcW w:type="dxa" w:w="1361"/>
            <w:tcMar>
              <w:top w:w="50" w:type="dxa"/>
              <w:left w:w="80" w:type="dxa"/>
              <w:bottom w:w="50" w:type="dxa"/>
              <w:right w:w="80" w:type="dxa"/>
            </w:tcMar>
            <w:shd w:val="clear" w:color="auto" w:fill="F2F6FB"/>
          </w:tcPr>
          <w:p>
            <w:pPr>
              <w:spacing w:after="0"/>
            </w:pPr>
            <w:r>
              <w:rPr>
                <w:b w:val="0"/>
                <w:i w:val="0"/>
                <w:sz w:val="17"/>
              </w:rPr>
              <w:t>INR 0.573</w:t>
            </w:r>
          </w:p>
        </w:tc>
        <w:tc>
          <w:tcPr>
            <w:tcW w:type="dxa" w:w="1247"/>
            <w:tcMar>
              <w:top w:w="50" w:type="dxa"/>
              <w:left w:w="80" w:type="dxa"/>
              <w:bottom w:w="50" w:type="dxa"/>
              <w:right w:w="80" w:type="dxa"/>
            </w:tcMar>
            <w:shd w:val="clear" w:color="auto" w:fill="F2F6FB"/>
          </w:tcPr>
          <w:p>
            <w:pPr>
              <w:spacing w:after="0"/>
            </w:pPr>
            <w:r>
              <w:rPr>
                <w:b w:val="0"/>
                <w:i w:val="0"/>
                <w:sz w:val="17"/>
              </w:rPr>
              <w:t>-10%</w:t>
            </w:r>
          </w:p>
        </w:tc>
      </w:tr>
      <w:tr>
        <w:trPr>
          <w:cantSplit w:val="true"/>
        </w:trPr>
        <w:tc>
          <w:tcPr>
            <w:tcW w:type="dxa" w:w="1928"/>
            <w:tcMar>
              <w:top w:w="50" w:type="dxa"/>
              <w:left w:w="80" w:type="dxa"/>
              <w:bottom w:w="50" w:type="dxa"/>
              <w:right w:w="80" w:type="dxa"/>
            </w:tcMar>
          </w:tcPr>
          <w:p>
            <w:pPr>
              <w:spacing w:after="0"/>
            </w:pPr>
            <w:r>
              <w:rPr>
                <w:b w:val="0"/>
                <w:i w:val="0"/>
                <w:sz w:val="17"/>
              </w:rPr>
              <w:t>Cost per kg (median)</w:t>
            </w:r>
          </w:p>
        </w:tc>
        <w:tc>
          <w:tcPr>
            <w:tcW w:type="dxa" w:w="2608"/>
            <w:tcMar>
              <w:top w:w="50" w:type="dxa"/>
              <w:left w:w="80" w:type="dxa"/>
              <w:bottom w:w="50" w:type="dxa"/>
              <w:right w:w="80" w:type="dxa"/>
            </w:tcMar>
          </w:tcPr>
          <w:p>
            <w:pPr>
              <w:spacing w:after="0"/>
            </w:pPr>
            <w:r>
              <w:rPr>
                <w:b w:val="0"/>
                <w:i w:val="0"/>
                <w:sz w:val="17"/>
              </w:rPr>
              <w:t>delivery_cost_inr / weight_kg</w:t>
            </w:r>
          </w:p>
        </w:tc>
        <w:tc>
          <w:tcPr>
            <w:tcW w:type="dxa" w:w="2381"/>
            <w:tcMar>
              <w:top w:w="50" w:type="dxa"/>
              <w:left w:w="80" w:type="dxa"/>
              <w:bottom w:w="50" w:type="dxa"/>
              <w:right w:w="80" w:type="dxa"/>
            </w:tcMar>
          </w:tcPr>
          <w:p>
            <w:pPr>
              <w:spacing w:after="0"/>
            </w:pPr>
            <w:r>
              <w:rPr>
                <w:b w:val="0"/>
                <w:i w:val="0"/>
                <w:sz w:val="17"/>
              </w:rPr>
              <w:t>Pricing and load-density efficiency</w:t>
            </w:r>
          </w:p>
        </w:tc>
        <w:tc>
          <w:tcPr>
            <w:tcW w:type="dxa" w:w="1361"/>
            <w:tcMar>
              <w:top w:w="50" w:type="dxa"/>
              <w:left w:w="80" w:type="dxa"/>
              <w:bottom w:w="50" w:type="dxa"/>
              <w:right w:w="80" w:type="dxa"/>
            </w:tcMar>
          </w:tcPr>
          <w:p>
            <w:pPr>
              <w:spacing w:after="0"/>
            </w:pPr>
            <w:r>
              <w:rPr>
                <w:b w:val="0"/>
                <w:i w:val="0"/>
                <w:sz w:val="17"/>
              </w:rPr>
              <w:t>INR 127.54</w:t>
            </w:r>
          </w:p>
        </w:tc>
        <w:tc>
          <w:tcPr>
            <w:tcW w:type="dxa" w:w="1247"/>
            <w:tcMar>
              <w:top w:w="50" w:type="dxa"/>
              <w:left w:w="80" w:type="dxa"/>
              <w:bottom w:w="50" w:type="dxa"/>
              <w:right w:w="80" w:type="dxa"/>
            </w:tcMar>
          </w:tcPr>
          <w:p>
            <w:pPr>
              <w:spacing w:after="0"/>
            </w:pPr>
            <w:r>
              <w:rPr>
                <w:b w:val="0"/>
                <w:i w:val="0"/>
                <w:sz w:val="17"/>
              </w:rPr>
              <w:t>-10%</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7"/>
              </w:rPr>
              <w:t>Customer rating</w:t>
            </w:r>
          </w:p>
        </w:tc>
        <w:tc>
          <w:tcPr>
            <w:tcW w:type="dxa" w:w="2608"/>
            <w:tcMar>
              <w:top w:w="50" w:type="dxa"/>
              <w:left w:w="80" w:type="dxa"/>
              <w:bottom w:w="50" w:type="dxa"/>
              <w:right w:w="80" w:type="dxa"/>
            </w:tcMar>
            <w:shd w:val="clear" w:color="auto" w:fill="F2F6FB"/>
          </w:tcPr>
          <w:p>
            <w:pPr>
              <w:spacing w:after="0"/>
            </w:pPr>
            <w:r>
              <w:rPr>
                <w:b w:val="0"/>
                <w:i w:val="0"/>
                <w:sz w:val="17"/>
              </w:rPr>
              <w:t>Mean post-delivery rating, 1 to 5</w:t>
            </w:r>
          </w:p>
        </w:tc>
        <w:tc>
          <w:tcPr>
            <w:tcW w:type="dxa" w:w="2381"/>
            <w:tcMar>
              <w:top w:w="50" w:type="dxa"/>
              <w:left w:w="80" w:type="dxa"/>
              <w:bottom w:w="50" w:type="dxa"/>
              <w:right w:w="80" w:type="dxa"/>
            </w:tcMar>
            <w:shd w:val="clear" w:color="auto" w:fill="F2F6FB"/>
          </w:tcPr>
          <w:p>
            <w:pPr>
              <w:spacing w:after="0"/>
            </w:pPr>
            <w:r>
              <w:rPr>
                <w:b w:val="0"/>
                <w:i w:val="0"/>
                <w:sz w:val="17"/>
              </w:rPr>
              <w:t>Outcome KPI linked to lateness</w:t>
            </w:r>
          </w:p>
        </w:tc>
        <w:tc>
          <w:tcPr>
            <w:tcW w:type="dxa" w:w="1361"/>
            <w:tcMar>
              <w:top w:w="50" w:type="dxa"/>
              <w:left w:w="80" w:type="dxa"/>
              <w:bottom w:w="50" w:type="dxa"/>
              <w:right w:w="80" w:type="dxa"/>
            </w:tcMar>
            <w:shd w:val="clear" w:color="auto" w:fill="F2F6FB"/>
          </w:tcPr>
          <w:p>
            <w:pPr>
              <w:spacing w:after="0"/>
            </w:pPr>
            <w:r>
              <w:rPr>
                <w:b w:val="0"/>
                <w:i w:val="0"/>
                <w:sz w:val="17"/>
              </w:rPr>
              <w:t>4.6</w:t>
            </w:r>
          </w:p>
        </w:tc>
        <w:tc>
          <w:tcPr>
            <w:tcW w:type="dxa" w:w="1247"/>
            <w:tcMar>
              <w:top w:w="50" w:type="dxa"/>
              <w:left w:w="80" w:type="dxa"/>
              <w:bottom w:w="50" w:type="dxa"/>
              <w:right w:w="80" w:type="dxa"/>
            </w:tcMar>
            <w:shd w:val="clear" w:color="auto" w:fill="F2F6FB"/>
          </w:tcPr>
          <w:p>
            <w:pPr>
              <w:spacing w:after="0"/>
            </w:pPr>
            <w:r>
              <w:rPr>
                <w:b w:val="0"/>
                <w:i w:val="0"/>
                <w:sz w:val="17"/>
              </w:rPr>
              <w:t>&gt;= 4.7</w:t>
            </w:r>
          </w:p>
        </w:tc>
      </w:tr>
    </w:tbl>
    <w:p>
      <w:pPr>
        <w:spacing w:after="40"/>
      </w:pPr>
    </w:p>
    <w:p>
      <w:r>
        <w:rPr>
          <w:b w:val="0"/>
          <w:i w:val="0"/>
        </w:rPr>
        <w:t>Inventory performance is tracked separately through fill rate (target 97%) and the reorder-point policy derived in Section 6.4.</w:t>
      </w:r>
    </w:p>
    <w:p>
      <w:pPr>
        <w:pStyle w:val="Heading1"/>
      </w:pPr>
      <w:r>
        <w:t>4. Background research and public data sources</w:t>
      </w:r>
    </w:p>
    <w:p>
      <w:pPr>
        <w:pStyle w:val="Heading2"/>
      </w:pPr>
      <w:r>
        <w:t>4.1 What the literature says</w:t>
      </w:r>
    </w:p>
    <w:p>
      <w:pPr>
        <w:pStyle w:val="ListBullet"/>
      </w:pPr>
      <w:r>
        <w:rPr>
          <w:b/>
          <w:i w:val="0"/>
        </w:rPr>
        <w:t>Service and cost trade-offs.</w:t>
      </w:r>
      <w:r>
        <w:rPr>
          <w:b w:val="0"/>
          <w:i w:val="0"/>
        </w:rPr>
        <w:t xml:space="preserve"> Christopher (2016) frames logistics as the management of the trade-off between service level and total cost, which is why this project always reports a service KPI (OTD) next to a cost KPI. Chopra and Meindl (2016) add that responsiveness and efficiency pull in opposite directions and must be balanced deliberately.</w:t>
      </w:r>
    </w:p>
    <w:p>
      <w:pPr>
        <w:pStyle w:val="ListBullet"/>
      </w:pPr>
      <w:r>
        <w:rPr>
          <w:b/>
          <w:i w:val="0"/>
        </w:rPr>
        <w:t>Network and lane decisions are optimisation problems.</w:t>
      </w:r>
      <w:r>
        <w:rPr>
          <w:b w:val="0"/>
          <w:i w:val="0"/>
        </w:rPr>
        <w:t xml:space="preserve"> The transportation and vehicle-routing family started with Dantzig and Ramser's truck-dispatching formulation (1959) and is surveyed in Toth and Vigo (2014). Allocating shipments from warehouses to hubs under capacity is the classic linear-programming case, solved in Week 4.</w:t>
      </w:r>
    </w:p>
    <w:p>
      <w:pPr>
        <w:pStyle w:val="ListBullet"/>
      </w:pPr>
      <w:r>
        <w:rPr>
          <w:b/>
          <w:i w:val="0"/>
        </w:rPr>
        <w:t>Inventory policies have closed forms.</w:t>
      </w:r>
      <w:r>
        <w:rPr>
          <w:b w:val="0"/>
          <w:i w:val="0"/>
        </w:rPr>
        <w:t xml:space="preserve"> Harris's economic order quantity (1913) and the safety-stock formulas in Silver, Pyke and Thomas (2017) give reorder policies from demand, variability and lead time; Section 6.4 applies them.</w:t>
      </w:r>
    </w:p>
    <w:p>
      <w:pPr>
        <w:pStyle w:val="ListBullet"/>
      </w:pPr>
      <w:r>
        <w:rPr>
          <w:b/>
          <w:i w:val="0"/>
        </w:rPr>
        <w:t>Tree ensembles are strong tabular baselines.</w:t>
      </w:r>
      <w:r>
        <w:rPr>
          <w:b w:val="0"/>
          <w:i w:val="0"/>
        </w:rPr>
        <w:t xml:space="preserve"> Random forests (Breiman, 2001) and gradient boosting (Friedman, 2001) are standard for predicting delivery time and late-delivery risk from mixed numeric and categorical features, and are implemented in scikit-learn (Pedregosa et al., 2011).</w:t>
      </w:r>
    </w:p>
    <w:p>
      <w:pPr>
        <w:pStyle w:val="ListBullet"/>
      </w:pPr>
      <w:r>
        <w:rPr>
          <w:b/>
          <w:i w:val="0"/>
        </w:rPr>
        <w:t>National context.</w:t>
      </w:r>
      <w:r>
        <w:rPr>
          <w:b w:val="0"/>
          <w:i w:val="0"/>
        </w:rPr>
        <w:t xml:space="preserve"> India ranked 38th of 139 economies in the World Bank Logistics Performance Index 2023 (World Bank, 2023), and the National Logistics Policy (Government of India, 2022) sets out the aim of lowering logistics cost and improving reliability. Network analytics of the kind planned here is a direct contribution to those goals at company level.</w:t>
      </w:r>
    </w:p>
    <w:p>
      <w:pPr>
        <w:pStyle w:val="Heading2"/>
      </w:pPr>
      <w:r>
        <w:t>4.2 Public datasets that support the scenario</w:t>
      </w:r>
    </w:p>
    <w:p>
      <w:r>
        <w:rPr>
          <w:b w:val="0"/>
          <w:i w:val="0"/>
        </w:rPr>
        <w:t>The following open datasets contain the same kinds of fields used in this project. They are the recommended real-world sources if the pipeline is moved from simulation to production research.</w:t>
      </w:r>
    </w:p>
    <w:p>
      <w:pPr>
        <w:keepNext/>
        <w:spacing w:after="60"/>
      </w:pPr>
      <w:r>
        <w:rPr>
          <w:b/>
          <w:color w:val="1F3864"/>
          <w:sz w:val="18"/>
        </w:rPr>
        <w:t xml:space="preserve">Table 2. </w:t>
      </w:r>
      <w:r>
        <w:rPr>
          <w:color w:val="52514E"/>
          <w:sz w:val="18"/>
        </w:rPr>
        <w:t>Public datasets relevant to the logistics scenario.</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53"/>
        <w:gridCol w:w="2353"/>
        <w:gridCol w:w="2353"/>
        <w:gridCol w:w="2353"/>
      </w:tblGrid>
      <w:tr>
        <w:trPr>
          <w:tblHeader w:val="true"/>
        </w:trPr>
        <w:tc>
          <w:tcPr>
            <w:tcW w:type="dxa" w:w="1814"/>
            <w:shd w:val="clear" w:color="auto" w:fill="1F3864"/>
            <w:tcMar>
              <w:top w:w="50" w:type="dxa"/>
              <w:left w:w="80" w:type="dxa"/>
              <w:bottom w:w="50" w:type="dxa"/>
              <w:right w:w="80" w:type="dxa"/>
            </w:tcMar>
          </w:tcPr>
          <w:p>
            <w:pPr>
              <w:spacing w:after="0"/>
            </w:pPr>
            <w:r>
              <w:rPr>
                <w:b/>
                <w:color w:val="FFFFFF"/>
                <w:sz w:val="17"/>
              </w:rPr>
              <w:t>Dataset</w:t>
            </w:r>
          </w:p>
        </w:tc>
        <w:tc>
          <w:tcPr>
            <w:tcW w:type="dxa" w:w="2154"/>
            <w:shd w:val="clear" w:color="auto" w:fill="1F3864"/>
            <w:tcMar>
              <w:top w:w="50" w:type="dxa"/>
              <w:left w:w="80" w:type="dxa"/>
              <w:bottom w:w="50" w:type="dxa"/>
              <w:right w:w="80" w:type="dxa"/>
            </w:tcMar>
          </w:tcPr>
          <w:p>
            <w:pPr>
              <w:spacing w:after="0"/>
            </w:pPr>
            <w:r>
              <w:rPr>
                <w:b/>
                <w:color w:val="FFFFFF"/>
                <w:sz w:val="17"/>
              </w:rPr>
              <w:t>Publisher / location</w:t>
            </w:r>
          </w:p>
        </w:tc>
        <w:tc>
          <w:tcPr>
            <w:tcW w:type="dxa" w:w="3061"/>
            <w:shd w:val="clear" w:color="auto" w:fill="1F3864"/>
            <w:tcMar>
              <w:top w:w="50" w:type="dxa"/>
              <w:left w:w="80" w:type="dxa"/>
              <w:bottom w:w="50" w:type="dxa"/>
              <w:right w:w="80" w:type="dxa"/>
            </w:tcMar>
          </w:tcPr>
          <w:p>
            <w:pPr>
              <w:spacing w:after="0"/>
            </w:pPr>
            <w:r>
              <w:rPr>
                <w:b/>
                <w:color w:val="FFFFFF"/>
                <w:sz w:val="17"/>
              </w:rPr>
              <w:t>Content</w:t>
            </w:r>
          </w:p>
        </w:tc>
        <w:tc>
          <w:tcPr>
            <w:tcW w:type="dxa" w:w="2494"/>
            <w:shd w:val="clear" w:color="auto" w:fill="1F3864"/>
            <w:tcMar>
              <w:top w:w="50" w:type="dxa"/>
              <w:left w:w="80" w:type="dxa"/>
              <w:bottom w:w="50" w:type="dxa"/>
              <w:right w:w="80" w:type="dxa"/>
            </w:tcMar>
          </w:tcPr>
          <w:p>
            <w:pPr>
              <w:spacing w:after="0"/>
            </w:pPr>
            <w:r>
              <w:rPr>
                <w:b/>
                <w:color w:val="FFFFFF"/>
                <w:sz w:val="17"/>
              </w:rPr>
              <w:t>Relevance to this project</w:t>
            </w:r>
          </w:p>
        </w:tc>
      </w:tr>
      <w:tr>
        <w:trPr>
          <w:cantSplit w:val="true"/>
        </w:trPr>
        <w:tc>
          <w:tcPr>
            <w:tcW w:type="dxa" w:w="1814"/>
            <w:tcMar>
              <w:top w:w="50" w:type="dxa"/>
              <w:left w:w="80" w:type="dxa"/>
              <w:bottom w:w="50" w:type="dxa"/>
              <w:right w:w="80" w:type="dxa"/>
            </w:tcMar>
          </w:tcPr>
          <w:p>
            <w:pPr>
              <w:spacing w:after="0"/>
            </w:pPr>
            <w:r>
              <w:rPr>
                <w:b w:val="0"/>
                <w:i w:val="0"/>
                <w:sz w:val="17"/>
              </w:rPr>
              <w:t>DataCo Smart Supply Chain</w:t>
            </w:r>
          </w:p>
        </w:tc>
        <w:tc>
          <w:tcPr>
            <w:tcW w:type="dxa" w:w="2154"/>
            <w:tcMar>
              <w:top w:w="50" w:type="dxa"/>
              <w:left w:w="80" w:type="dxa"/>
              <w:bottom w:w="50" w:type="dxa"/>
              <w:right w:w="80" w:type="dxa"/>
            </w:tcMar>
          </w:tcPr>
          <w:p>
            <w:pPr>
              <w:spacing w:after="0"/>
            </w:pPr>
            <w:r>
              <w:rPr>
                <w:b w:val="0"/>
                <w:i w:val="0"/>
                <w:sz w:val="17"/>
              </w:rPr>
              <w:t>Constante, Silva &amp; Pereira (2019), Mendeley Data; mirrored on Kaggle</w:t>
            </w:r>
          </w:p>
        </w:tc>
        <w:tc>
          <w:tcPr>
            <w:tcW w:type="dxa" w:w="3061"/>
            <w:tcMar>
              <w:top w:w="50" w:type="dxa"/>
              <w:left w:w="80" w:type="dxa"/>
              <w:bottom w:w="50" w:type="dxa"/>
              <w:right w:w="80" w:type="dxa"/>
            </w:tcMar>
          </w:tcPr>
          <w:p>
            <w:pPr>
              <w:spacing w:after="0"/>
            </w:pPr>
            <w:r>
              <w:rPr>
                <w:b w:val="0"/>
                <w:i w:val="0"/>
                <w:sz w:val="17"/>
              </w:rPr>
              <w:t>About 180,000 order records with shipping mode, scheduled vs real shipping days, late-delivery flag, region, sales and profit</w:t>
            </w:r>
          </w:p>
        </w:tc>
        <w:tc>
          <w:tcPr>
            <w:tcW w:type="dxa" w:w="2494"/>
            <w:tcMar>
              <w:top w:w="50" w:type="dxa"/>
              <w:left w:w="80" w:type="dxa"/>
              <w:bottom w:w="50" w:type="dxa"/>
              <w:right w:w="80" w:type="dxa"/>
            </w:tcMar>
          </w:tcPr>
          <w:p>
            <w:pPr>
              <w:spacing w:after="0"/>
            </w:pPr>
            <w:r>
              <w:rPr>
                <w:b w:val="0"/>
                <w:i w:val="0"/>
                <w:sz w:val="17"/>
              </w:rPr>
              <w:t>Closest analogue: supports OTD, lead-time prediction and late-risk classification</w:t>
            </w:r>
          </w:p>
        </w:tc>
      </w:tr>
      <w:tr>
        <w:trPr>
          <w:cantSplit w:val="true"/>
        </w:trPr>
        <w:tc>
          <w:tcPr>
            <w:tcW w:type="dxa" w:w="1814"/>
            <w:tcMar>
              <w:top w:w="50" w:type="dxa"/>
              <w:left w:w="80" w:type="dxa"/>
              <w:bottom w:w="50" w:type="dxa"/>
              <w:right w:w="80" w:type="dxa"/>
            </w:tcMar>
            <w:shd w:val="clear" w:color="auto" w:fill="F2F6FB"/>
          </w:tcPr>
          <w:p>
            <w:pPr>
              <w:spacing w:after="0"/>
            </w:pPr>
            <w:r>
              <w:rPr>
                <w:b w:val="0"/>
                <w:i w:val="0"/>
                <w:sz w:val="17"/>
              </w:rPr>
              <w:t>Olist Brazilian E-Commerce</w:t>
            </w:r>
          </w:p>
        </w:tc>
        <w:tc>
          <w:tcPr>
            <w:tcW w:type="dxa" w:w="2154"/>
            <w:tcMar>
              <w:top w:w="50" w:type="dxa"/>
              <w:left w:w="80" w:type="dxa"/>
              <w:bottom w:w="50" w:type="dxa"/>
              <w:right w:w="80" w:type="dxa"/>
            </w:tcMar>
            <w:shd w:val="clear" w:color="auto" w:fill="F2F6FB"/>
          </w:tcPr>
          <w:p>
            <w:pPr>
              <w:spacing w:after="0"/>
            </w:pPr>
            <w:r>
              <w:rPr>
                <w:b w:val="0"/>
                <w:i w:val="0"/>
                <w:sz w:val="17"/>
              </w:rPr>
              <w:t>Olist, Kaggle</w:t>
            </w:r>
          </w:p>
        </w:tc>
        <w:tc>
          <w:tcPr>
            <w:tcW w:type="dxa" w:w="3061"/>
            <w:tcMar>
              <w:top w:w="50" w:type="dxa"/>
              <w:left w:w="80" w:type="dxa"/>
              <w:bottom w:w="50" w:type="dxa"/>
              <w:right w:w="80" w:type="dxa"/>
            </w:tcMar>
            <w:shd w:val="clear" w:color="auto" w:fill="F2F6FB"/>
          </w:tcPr>
          <w:p>
            <w:pPr>
              <w:spacing w:after="0"/>
            </w:pPr>
            <w:r>
              <w:rPr>
                <w:b w:val="0"/>
                <w:i w:val="0"/>
                <w:sz w:val="17"/>
              </w:rPr>
              <w:t>About 100,000 marketplace orders (2016-2018) with purchase, estimated and actual delivery dates, freight value, product weight, review score</w:t>
            </w:r>
          </w:p>
        </w:tc>
        <w:tc>
          <w:tcPr>
            <w:tcW w:type="dxa" w:w="2494"/>
            <w:tcMar>
              <w:top w:w="50" w:type="dxa"/>
              <w:left w:w="80" w:type="dxa"/>
              <w:bottom w:w="50" w:type="dxa"/>
              <w:right w:w="80" w:type="dxa"/>
            </w:tcMar>
            <w:shd w:val="clear" w:color="auto" w:fill="F2F6FB"/>
          </w:tcPr>
          <w:p>
            <w:pPr>
              <w:spacing w:after="0"/>
            </w:pPr>
            <w:r>
              <w:rPr>
                <w:b w:val="0"/>
                <w:i w:val="0"/>
                <w:sz w:val="17"/>
              </w:rPr>
              <w:t>Delivery-time regression, freight cost per kg, link between lateness and review score</w:t>
            </w:r>
          </w:p>
        </w:tc>
      </w:tr>
      <w:tr>
        <w:trPr>
          <w:cantSplit w:val="true"/>
        </w:trPr>
        <w:tc>
          <w:tcPr>
            <w:tcW w:type="dxa" w:w="1814"/>
            <w:tcMar>
              <w:top w:w="50" w:type="dxa"/>
              <w:left w:w="80" w:type="dxa"/>
              <w:bottom w:w="50" w:type="dxa"/>
              <w:right w:w="80" w:type="dxa"/>
            </w:tcMar>
          </w:tcPr>
          <w:p>
            <w:pPr>
              <w:spacing w:after="0"/>
            </w:pPr>
            <w:r>
              <w:rPr>
                <w:b w:val="0"/>
                <w:i w:val="0"/>
                <w:sz w:val="17"/>
              </w:rPr>
              <w:t>Amazon Last Mile Routing Research Challenge</w:t>
            </w:r>
          </w:p>
        </w:tc>
        <w:tc>
          <w:tcPr>
            <w:tcW w:type="dxa" w:w="2154"/>
            <w:tcMar>
              <w:top w:w="50" w:type="dxa"/>
              <w:left w:w="80" w:type="dxa"/>
              <w:bottom w:w="50" w:type="dxa"/>
              <w:right w:w="80" w:type="dxa"/>
            </w:tcMar>
          </w:tcPr>
          <w:p>
            <w:pPr>
              <w:spacing w:after="0"/>
            </w:pPr>
            <w:r>
              <w:rPr>
                <w:b w:val="0"/>
                <w:i w:val="0"/>
                <w:sz w:val="17"/>
              </w:rPr>
              <w:t>Merchan et al. (2024); AWS open data</w:t>
            </w:r>
          </w:p>
        </w:tc>
        <w:tc>
          <w:tcPr>
            <w:tcW w:type="dxa" w:w="3061"/>
            <w:tcMar>
              <w:top w:w="50" w:type="dxa"/>
              <w:left w:w="80" w:type="dxa"/>
              <w:bottom w:w="50" w:type="dxa"/>
              <w:right w:w="80" w:type="dxa"/>
            </w:tcMar>
          </w:tcPr>
          <w:p>
            <w:pPr>
              <w:spacing w:after="0"/>
            </w:pPr>
            <w:r>
              <w:rPr>
                <w:b w:val="0"/>
                <w:i w:val="0"/>
                <w:sz w:val="17"/>
              </w:rPr>
              <w:t>Real delivery routes, stops and travel times for last-mile operations in US metros</w:t>
            </w:r>
          </w:p>
        </w:tc>
        <w:tc>
          <w:tcPr>
            <w:tcW w:type="dxa" w:w="2494"/>
            <w:tcMar>
              <w:top w:w="50" w:type="dxa"/>
              <w:left w:w="80" w:type="dxa"/>
              <w:bottom w:w="50" w:type="dxa"/>
              <w:right w:w="80" w:type="dxa"/>
            </w:tcMar>
          </w:tcPr>
          <w:p>
            <w:pPr>
              <w:spacing w:after="0"/>
            </w:pPr>
            <w:r>
              <w:rPr>
                <w:b w:val="0"/>
                <w:i w:val="0"/>
                <w:sz w:val="17"/>
              </w:rPr>
              <w:t>Route-level optimisation and travel-time modelling (future extension)</w:t>
            </w:r>
          </w:p>
        </w:tc>
      </w:tr>
      <w:tr>
        <w:trPr>
          <w:cantSplit w:val="true"/>
        </w:trPr>
        <w:tc>
          <w:tcPr>
            <w:tcW w:type="dxa" w:w="1814"/>
            <w:tcMar>
              <w:top w:w="50" w:type="dxa"/>
              <w:left w:w="80" w:type="dxa"/>
              <w:bottom w:w="50" w:type="dxa"/>
              <w:right w:w="80" w:type="dxa"/>
            </w:tcMar>
            <w:shd w:val="clear" w:color="auto" w:fill="F2F6FB"/>
          </w:tcPr>
          <w:p>
            <w:pPr>
              <w:spacing w:after="0"/>
            </w:pPr>
            <w:r>
              <w:rPr>
                <w:b w:val="0"/>
                <w:i w:val="0"/>
                <w:sz w:val="17"/>
              </w:rPr>
              <w:t>M5 Forecasting (Walmart)</w:t>
            </w:r>
          </w:p>
        </w:tc>
        <w:tc>
          <w:tcPr>
            <w:tcW w:type="dxa" w:w="2154"/>
            <w:tcMar>
              <w:top w:w="50" w:type="dxa"/>
              <w:left w:w="80" w:type="dxa"/>
              <w:bottom w:w="50" w:type="dxa"/>
              <w:right w:w="80" w:type="dxa"/>
            </w:tcMar>
            <w:shd w:val="clear" w:color="auto" w:fill="F2F6FB"/>
          </w:tcPr>
          <w:p>
            <w:pPr>
              <w:spacing w:after="0"/>
            </w:pPr>
            <w:r>
              <w:rPr>
                <w:b w:val="0"/>
                <w:i w:val="0"/>
                <w:sz w:val="17"/>
              </w:rPr>
              <w:t>Makridakis et al. (2022); Kaggle</w:t>
            </w:r>
          </w:p>
        </w:tc>
        <w:tc>
          <w:tcPr>
            <w:tcW w:type="dxa" w:w="3061"/>
            <w:tcMar>
              <w:top w:w="50" w:type="dxa"/>
              <w:left w:w="80" w:type="dxa"/>
              <w:bottom w:w="50" w:type="dxa"/>
              <w:right w:w="80" w:type="dxa"/>
            </w:tcMar>
            <w:shd w:val="clear" w:color="auto" w:fill="F2F6FB"/>
          </w:tcPr>
          <w:p>
            <w:pPr>
              <w:spacing w:after="0"/>
            </w:pPr>
            <w:r>
              <w:rPr>
                <w:b w:val="0"/>
                <w:i w:val="0"/>
                <w:sz w:val="17"/>
              </w:rPr>
              <w:t>Daily unit sales for thousands of items across stores</w:t>
            </w:r>
          </w:p>
        </w:tc>
        <w:tc>
          <w:tcPr>
            <w:tcW w:type="dxa" w:w="2494"/>
            <w:tcMar>
              <w:top w:w="50" w:type="dxa"/>
              <w:left w:w="80" w:type="dxa"/>
              <w:bottom w:w="50" w:type="dxa"/>
              <w:right w:w="80" w:type="dxa"/>
            </w:tcMar>
            <w:shd w:val="clear" w:color="auto" w:fill="F2F6FB"/>
          </w:tcPr>
          <w:p>
            <w:pPr>
              <w:spacing w:after="0"/>
            </w:pPr>
            <w:r>
              <w:rPr>
                <w:b w:val="0"/>
                <w:i w:val="0"/>
                <w:sz w:val="17"/>
              </w:rPr>
              <w:t>Demand forecasting and inventory policy (safety stock, reorder point)</w:t>
            </w:r>
          </w:p>
        </w:tc>
      </w:tr>
      <w:tr>
        <w:trPr>
          <w:cantSplit w:val="true"/>
        </w:trPr>
        <w:tc>
          <w:tcPr>
            <w:tcW w:type="dxa" w:w="1814"/>
            <w:tcMar>
              <w:top w:w="50" w:type="dxa"/>
              <w:left w:w="80" w:type="dxa"/>
              <w:bottom w:w="50" w:type="dxa"/>
              <w:right w:w="80" w:type="dxa"/>
            </w:tcMar>
          </w:tcPr>
          <w:p>
            <w:pPr>
              <w:spacing w:after="0"/>
            </w:pPr>
            <w:r>
              <w:rPr>
                <w:b w:val="0"/>
                <w:i w:val="0"/>
                <w:sz w:val="17"/>
              </w:rPr>
              <w:t>World Bank Logistics Performance Index</w:t>
            </w:r>
          </w:p>
        </w:tc>
        <w:tc>
          <w:tcPr>
            <w:tcW w:type="dxa" w:w="2154"/>
            <w:tcMar>
              <w:top w:w="50" w:type="dxa"/>
              <w:left w:w="80" w:type="dxa"/>
              <w:bottom w:w="50" w:type="dxa"/>
              <w:right w:w="80" w:type="dxa"/>
            </w:tcMar>
          </w:tcPr>
          <w:p>
            <w:pPr>
              <w:spacing w:after="0"/>
            </w:pPr>
            <w:r>
              <w:rPr>
                <w:b w:val="0"/>
                <w:i w:val="0"/>
                <w:sz w:val="17"/>
              </w:rPr>
              <w:t>World Bank (2023)</w:t>
            </w:r>
          </w:p>
        </w:tc>
        <w:tc>
          <w:tcPr>
            <w:tcW w:type="dxa" w:w="3061"/>
            <w:tcMar>
              <w:top w:w="50" w:type="dxa"/>
              <w:left w:w="80" w:type="dxa"/>
              <w:bottom w:w="50" w:type="dxa"/>
              <w:right w:w="80" w:type="dxa"/>
            </w:tcMar>
          </w:tcPr>
          <w:p>
            <w:pPr>
              <w:spacing w:after="0"/>
            </w:pPr>
            <w:r>
              <w:rPr>
                <w:b w:val="0"/>
                <w:i w:val="0"/>
                <w:sz w:val="17"/>
              </w:rPr>
              <w:t>Country scores for customs, infrastructure, timeliness, tracking</w:t>
            </w:r>
          </w:p>
        </w:tc>
        <w:tc>
          <w:tcPr>
            <w:tcW w:type="dxa" w:w="2494"/>
            <w:tcMar>
              <w:top w:w="50" w:type="dxa"/>
              <w:left w:w="80" w:type="dxa"/>
              <w:bottom w:w="50" w:type="dxa"/>
              <w:right w:w="80" w:type="dxa"/>
            </w:tcMar>
          </w:tcPr>
          <w:p>
            <w:pPr>
              <w:spacing w:after="0"/>
            </w:pPr>
            <w:r>
              <w:rPr>
                <w:b w:val="0"/>
                <w:i w:val="0"/>
                <w:sz w:val="17"/>
              </w:rPr>
              <w:t>Benchmarking context for reliability targets</w:t>
            </w:r>
          </w:p>
        </w:tc>
      </w:tr>
    </w:tbl>
    <w:p>
      <w:pPr>
        <w:spacing w:after="40"/>
      </w:pPr>
    </w:p>
    <w:p>
      <w:pPr>
        <w:pStyle w:val="Heading2"/>
      </w:pPr>
      <w:r>
        <w:t>4.3 How the simulated feed mirrors the real datasets</w:t>
      </w:r>
    </w:p>
    <w:p>
      <w:r>
        <w:rPr>
          <w:b w:val="0"/>
          <w:i w:val="0"/>
        </w:rPr>
        <w:t>Because the real files are large and carry their own licences, the project generates a seeded simulation whose columns are deliberately aligned with them. The mapping below shows which real fields each simulated field represents, so every method in this report transfers directly to DataCo or Olist.</w:t>
      </w:r>
    </w:p>
    <w:p>
      <w:pPr>
        <w:keepNext/>
        <w:spacing w:after="60"/>
      </w:pPr>
      <w:r>
        <w:rPr>
          <w:b/>
          <w:color w:val="1F3864"/>
          <w:sz w:val="18"/>
        </w:rPr>
        <w:t xml:space="preserve">Table 3. </w:t>
      </w:r>
      <w:r>
        <w:rPr>
          <w:color w:val="52514E"/>
          <w:sz w:val="18"/>
        </w:rPr>
        <w:t>Field mapping between the simulation and public datasets.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53"/>
        <w:gridCol w:w="2353"/>
        <w:gridCol w:w="2353"/>
        <w:gridCol w:w="2353"/>
      </w:tblGrid>
      <w:tr>
        <w:trPr>
          <w:tblHeader w:val="true"/>
        </w:trPr>
        <w:tc>
          <w:tcPr>
            <w:tcW w:type="dxa" w:w="1928"/>
            <w:shd w:val="clear" w:color="auto" w:fill="1F3864"/>
            <w:tcMar>
              <w:top w:w="50" w:type="dxa"/>
              <w:left w:w="80" w:type="dxa"/>
              <w:bottom w:w="50" w:type="dxa"/>
              <w:right w:w="80" w:type="dxa"/>
            </w:tcMar>
          </w:tcPr>
          <w:p>
            <w:pPr>
              <w:spacing w:after="0"/>
            </w:pPr>
            <w:r>
              <w:rPr>
                <w:b/>
                <w:color w:val="FFFFFF"/>
                <w:sz w:val="17"/>
              </w:rPr>
              <w:t>Simulated field</w:t>
            </w:r>
          </w:p>
        </w:tc>
        <w:tc>
          <w:tcPr>
            <w:tcW w:type="dxa" w:w="2438"/>
            <w:shd w:val="clear" w:color="auto" w:fill="1F3864"/>
            <w:tcMar>
              <w:top w:w="50" w:type="dxa"/>
              <w:left w:w="80" w:type="dxa"/>
              <w:bottom w:w="50" w:type="dxa"/>
              <w:right w:w="80" w:type="dxa"/>
            </w:tcMar>
          </w:tcPr>
          <w:p>
            <w:pPr>
              <w:spacing w:after="0"/>
            </w:pPr>
            <w:r>
              <w:rPr>
                <w:b/>
                <w:color w:val="FFFFFF"/>
                <w:sz w:val="17"/>
              </w:rPr>
              <w:t>DataCo analogue</w:t>
            </w:r>
          </w:p>
        </w:tc>
        <w:tc>
          <w:tcPr>
            <w:tcW w:type="dxa" w:w="2835"/>
            <w:shd w:val="clear" w:color="auto" w:fill="1F3864"/>
            <w:tcMar>
              <w:top w:w="50" w:type="dxa"/>
              <w:left w:w="80" w:type="dxa"/>
              <w:bottom w:w="50" w:type="dxa"/>
              <w:right w:w="80" w:type="dxa"/>
            </w:tcMar>
          </w:tcPr>
          <w:p>
            <w:pPr>
              <w:spacing w:after="0"/>
            </w:pPr>
            <w:r>
              <w:rPr>
                <w:b/>
                <w:color w:val="FFFFFF"/>
                <w:sz w:val="17"/>
              </w:rPr>
              <w:t>Olist analogue</w:t>
            </w:r>
          </w:p>
        </w:tc>
        <w:tc>
          <w:tcPr>
            <w:tcW w:type="dxa" w:w="2324"/>
            <w:shd w:val="clear" w:color="auto" w:fill="1F3864"/>
            <w:tcMar>
              <w:top w:w="50" w:type="dxa"/>
              <w:left w:w="80" w:type="dxa"/>
              <w:bottom w:w="50" w:type="dxa"/>
              <w:right w:w="80" w:type="dxa"/>
            </w:tcMar>
          </w:tcPr>
          <w:p>
            <w:pPr>
              <w:spacing w:after="0"/>
            </w:pPr>
            <w:r>
              <w:rPr>
                <w:b/>
                <w:color w:val="FFFFFF"/>
                <w:sz w:val="17"/>
              </w:rPr>
              <w:t>Used for</w:t>
            </w:r>
          </w:p>
        </w:tc>
      </w:tr>
      <w:tr>
        <w:trPr>
          <w:cantSplit w:val="true"/>
        </w:trPr>
        <w:tc>
          <w:tcPr>
            <w:tcW w:type="dxa" w:w="1928"/>
            <w:tcMar>
              <w:top w:w="50" w:type="dxa"/>
              <w:left w:w="80" w:type="dxa"/>
              <w:bottom w:w="50" w:type="dxa"/>
              <w:right w:w="80" w:type="dxa"/>
            </w:tcMar>
          </w:tcPr>
          <w:p>
            <w:pPr>
              <w:spacing w:after="0"/>
            </w:pPr>
            <w:r>
              <w:rPr>
                <w:b w:val="0"/>
                <w:i w:val="0"/>
                <w:sz w:val="17"/>
              </w:rPr>
              <w:t>actual_days</w:t>
            </w:r>
          </w:p>
        </w:tc>
        <w:tc>
          <w:tcPr>
            <w:tcW w:type="dxa" w:w="2438"/>
            <w:tcMar>
              <w:top w:w="50" w:type="dxa"/>
              <w:left w:w="80" w:type="dxa"/>
              <w:bottom w:w="50" w:type="dxa"/>
              <w:right w:w="80" w:type="dxa"/>
            </w:tcMar>
          </w:tcPr>
          <w:p>
            <w:pPr>
              <w:spacing w:after="0"/>
            </w:pPr>
            <w:r>
              <w:rPr>
                <w:b w:val="0"/>
                <w:i w:val="0"/>
                <w:sz w:val="17"/>
              </w:rPr>
              <w:t>Days for shipping (real)</w:t>
            </w:r>
          </w:p>
        </w:tc>
        <w:tc>
          <w:tcPr>
            <w:tcW w:type="dxa" w:w="2835"/>
            <w:tcMar>
              <w:top w:w="50" w:type="dxa"/>
              <w:left w:w="80" w:type="dxa"/>
              <w:bottom w:w="50" w:type="dxa"/>
              <w:right w:w="80" w:type="dxa"/>
            </w:tcMar>
          </w:tcPr>
          <w:p>
            <w:pPr>
              <w:spacing w:after="0"/>
            </w:pPr>
            <w:r>
              <w:rPr>
                <w:b w:val="0"/>
                <w:i w:val="0"/>
                <w:sz w:val="17"/>
              </w:rPr>
              <w:t>delivered_customer_date minus purchase_timestamp</w:t>
            </w:r>
          </w:p>
        </w:tc>
        <w:tc>
          <w:tcPr>
            <w:tcW w:type="dxa" w:w="2324"/>
            <w:tcMar>
              <w:top w:w="50" w:type="dxa"/>
              <w:left w:w="80" w:type="dxa"/>
              <w:bottom w:w="50" w:type="dxa"/>
              <w:right w:w="80" w:type="dxa"/>
            </w:tcMar>
          </w:tcPr>
          <w:p>
            <w:pPr>
              <w:spacing w:after="0"/>
            </w:pPr>
            <w:r>
              <w:rPr>
                <w:b w:val="0"/>
                <w:i w:val="0"/>
                <w:sz w:val="17"/>
              </w:rPr>
              <w:t>Lead-time KPI, regression target</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7"/>
              </w:rPr>
              <w:t>planned_days</w:t>
            </w:r>
          </w:p>
        </w:tc>
        <w:tc>
          <w:tcPr>
            <w:tcW w:type="dxa" w:w="2438"/>
            <w:tcMar>
              <w:top w:w="50" w:type="dxa"/>
              <w:left w:w="80" w:type="dxa"/>
              <w:bottom w:w="50" w:type="dxa"/>
              <w:right w:w="80" w:type="dxa"/>
            </w:tcMar>
            <w:shd w:val="clear" w:color="auto" w:fill="F2F6FB"/>
          </w:tcPr>
          <w:p>
            <w:pPr>
              <w:spacing w:after="0"/>
            </w:pPr>
            <w:r>
              <w:rPr>
                <w:b w:val="0"/>
                <w:i w:val="0"/>
                <w:sz w:val="17"/>
              </w:rPr>
              <w:t>Days for shipment (scheduled)</w:t>
            </w:r>
          </w:p>
        </w:tc>
        <w:tc>
          <w:tcPr>
            <w:tcW w:type="dxa" w:w="2835"/>
            <w:tcMar>
              <w:top w:w="50" w:type="dxa"/>
              <w:left w:w="80" w:type="dxa"/>
              <w:bottom w:w="50" w:type="dxa"/>
              <w:right w:w="80" w:type="dxa"/>
            </w:tcMar>
            <w:shd w:val="clear" w:color="auto" w:fill="F2F6FB"/>
          </w:tcPr>
          <w:p>
            <w:pPr>
              <w:spacing w:after="0"/>
            </w:pPr>
            <w:r>
              <w:rPr>
                <w:b w:val="0"/>
                <w:i w:val="0"/>
                <w:sz w:val="17"/>
              </w:rPr>
              <w:t>estimated_delivery_date minus purchase_timestamp</w:t>
            </w:r>
          </w:p>
        </w:tc>
        <w:tc>
          <w:tcPr>
            <w:tcW w:type="dxa" w:w="2324"/>
            <w:tcMar>
              <w:top w:w="50" w:type="dxa"/>
              <w:left w:w="80" w:type="dxa"/>
              <w:bottom w:w="50" w:type="dxa"/>
              <w:right w:w="80" w:type="dxa"/>
            </w:tcMar>
            <w:shd w:val="clear" w:color="auto" w:fill="F2F6FB"/>
          </w:tcPr>
          <w:p>
            <w:pPr>
              <w:spacing w:after="0"/>
            </w:pPr>
            <w:r>
              <w:rPr>
                <w:b w:val="0"/>
                <w:i w:val="0"/>
                <w:sz w:val="17"/>
              </w:rPr>
              <w:t>Promise window; OTD definition</w:t>
            </w:r>
          </w:p>
        </w:tc>
      </w:tr>
      <w:tr>
        <w:trPr>
          <w:cantSplit w:val="true"/>
        </w:trPr>
        <w:tc>
          <w:tcPr>
            <w:tcW w:type="dxa" w:w="1928"/>
            <w:tcMar>
              <w:top w:w="50" w:type="dxa"/>
              <w:left w:w="80" w:type="dxa"/>
              <w:bottom w:w="50" w:type="dxa"/>
              <w:right w:w="80" w:type="dxa"/>
            </w:tcMar>
          </w:tcPr>
          <w:p>
            <w:pPr>
              <w:spacing w:after="0"/>
            </w:pPr>
            <w:r>
              <w:rPr>
                <w:b w:val="0"/>
                <w:i w:val="0"/>
                <w:sz w:val="17"/>
              </w:rPr>
              <w:t>delayed (derived)</w:t>
            </w:r>
          </w:p>
        </w:tc>
        <w:tc>
          <w:tcPr>
            <w:tcW w:type="dxa" w:w="2438"/>
            <w:tcMar>
              <w:top w:w="50" w:type="dxa"/>
              <w:left w:w="80" w:type="dxa"/>
              <w:bottom w:w="50" w:type="dxa"/>
              <w:right w:w="80" w:type="dxa"/>
            </w:tcMar>
          </w:tcPr>
          <w:p>
            <w:pPr>
              <w:spacing w:after="0"/>
            </w:pPr>
            <w:r>
              <w:rPr>
                <w:b w:val="0"/>
                <w:i w:val="0"/>
                <w:sz w:val="17"/>
              </w:rPr>
              <w:t>Late_delivery_risk</w:t>
            </w:r>
          </w:p>
        </w:tc>
        <w:tc>
          <w:tcPr>
            <w:tcW w:type="dxa" w:w="2835"/>
            <w:tcMar>
              <w:top w:w="50" w:type="dxa"/>
              <w:left w:w="80" w:type="dxa"/>
              <w:bottom w:w="50" w:type="dxa"/>
              <w:right w:w="80" w:type="dxa"/>
            </w:tcMar>
          </w:tcPr>
          <w:p>
            <w:pPr>
              <w:spacing w:after="0"/>
            </w:pPr>
            <w:r>
              <w:rPr>
                <w:b w:val="0"/>
                <w:i w:val="0"/>
                <w:sz w:val="17"/>
              </w:rPr>
              <w:t>delivered &gt; estimated date</w:t>
            </w:r>
          </w:p>
        </w:tc>
        <w:tc>
          <w:tcPr>
            <w:tcW w:type="dxa" w:w="2324"/>
            <w:tcMar>
              <w:top w:w="50" w:type="dxa"/>
              <w:left w:w="80" w:type="dxa"/>
              <w:bottom w:w="50" w:type="dxa"/>
              <w:right w:w="80" w:type="dxa"/>
            </w:tcMar>
          </w:tcPr>
          <w:p>
            <w:pPr>
              <w:spacing w:after="0"/>
            </w:pPr>
            <w:r>
              <w:rPr>
                <w:b w:val="0"/>
                <w:i w:val="0"/>
                <w:sz w:val="17"/>
              </w:rPr>
              <w:t>OTD KPI, classification target</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7"/>
              </w:rPr>
              <w:t>shipping_mode</w:t>
            </w:r>
          </w:p>
        </w:tc>
        <w:tc>
          <w:tcPr>
            <w:tcW w:type="dxa" w:w="2438"/>
            <w:tcMar>
              <w:top w:w="50" w:type="dxa"/>
              <w:left w:w="80" w:type="dxa"/>
              <w:bottom w:w="50" w:type="dxa"/>
              <w:right w:w="80" w:type="dxa"/>
            </w:tcMar>
            <w:shd w:val="clear" w:color="auto" w:fill="F2F6FB"/>
          </w:tcPr>
          <w:p>
            <w:pPr>
              <w:spacing w:after="0"/>
            </w:pPr>
            <w:r>
              <w:rPr>
                <w:b w:val="0"/>
                <w:i w:val="0"/>
                <w:sz w:val="17"/>
              </w:rPr>
              <w:t>Shipping Mode</w:t>
            </w:r>
          </w:p>
        </w:tc>
        <w:tc>
          <w:tcPr>
            <w:tcW w:type="dxa" w:w="2835"/>
            <w:tcMar>
              <w:top w:w="50" w:type="dxa"/>
              <w:left w:w="80" w:type="dxa"/>
              <w:bottom w:w="50" w:type="dxa"/>
              <w:right w:w="80" w:type="dxa"/>
            </w:tcMar>
            <w:shd w:val="clear" w:color="auto" w:fill="F2F6FB"/>
          </w:tcPr>
          <w:p>
            <w:pPr>
              <w:spacing w:after="0"/>
            </w:pPr>
            <w:r>
              <w:rPr>
                <w:b w:val="0"/>
                <w:i w:val="0"/>
                <w:sz w:val="17"/>
              </w:rPr>
              <w:t>-</w:t>
            </w:r>
          </w:p>
        </w:tc>
        <w:tc>
          <w:tcPr>
            <w:tcW w:type="dxa" w:w="2324"/>
            <w:tcMar>
              <w:top w:w="50" w:type="dxa"/>
              <w:left w:w="80" w:type="dxa"/>
              <w:bottom w:w="50" w:type="dxa"/>
              <w:right w:w="80" w:type="dxa"/>
            </w:tcMar>
            <w:shd w:val="clear" w:color="auto" w:fill="F2F6FB"/>
          </w:tcPr>
          <w:p>
            <w:pPr>
              <w:spacing w:after="0"/>
            </w:pPr>
            <w:r>
              <w:rPr>
                <w:b w:val="0"/>
                <w:i w:val="0"/>
                <w:sz w:val="17"/>
              </w:rPr>
              <w:t>Service-level cost and speed comparison</w:t>
            </w:r>
          </w:p>
        </w:tc>
      </w:tr>
      <w:tr>
        <w:trPr>
          <w:cantSplit w:val="true"/>
        </w:trPr>
        <w:tc>
          <w:tcPr>
            <w:tcW w:type="dxa" w:w="1928"/>
            <w:tcMar>
              <w:top w:w="50" w:type="dxa"/>
              <w:left w:w="80" w:type="dxa"/>
              <w:bottom w:w="50" w:type="dxa"/>
              <w:right w:w="80" w:type="dxa"/>
            </w:tcMar>
          </w:tcPr>
          <w:p>
            <w:pPr>
              <w:spacing w:after="0"/>
            </w:pPr>
            <w:r>
              <w:rPr>
                <w:b w:val="0"/>
                <w:i w:val="0"/>
                <w:sz w:val="17"/>
              </w:rPr>
              <w:t>delivery_cost_inr</w:t>
            </w:r>
          </w:p>
        </w:tc>
        <w:tc>
          <w:tcPr>
            <w:tcW w:type="dxa" w:w="2438"/>
            <w:tcMar>
              <w:top w:w="50" w:type="dxa"/>
              <w:left w:w="80" w:type="dxa"/>
              <w:bottom w:w="50" w:type="dxa"/>
              <w:right w:w="80" w:type="dxa"/>
            </w:tcMar>
          </w:tcPr>
          <w:p>
            <w:pPr>
              <w:spacing w:after="0"/>
            </w:pPr>
            <w:r>
              <w:rPr>
                <w:b w:val="0"/>
                <w:i w:val="0"/>
                <w:sz w:val="17"/>
              </w:rPr>
              <w:t>-</w:t>
            </w:r>
          </w:p>
        </w:tc>
        <w:tc>
          <w:tcPr>
            <w:tcW w:type="dxa" w:w="2835"/>
            <w:tcMar>
              <w:top w:w="50" w:type="dxa"/>
              <w:left w:w="80" w:type="dxa"/>
              <w:bottom w:w="50" w:type="dxa"/>
              <w:right w:w="80" w:type="dxa"/>
            </w:tcMar>
          </w:tcPr>
          <w:p>
            <w:pPr>
              <w:spacing w:after="0"/>
            </w:pPr>
            <w:r>
              <w:rPr>
                <w:b w:val="0"/>
                <w:i w:val="0"/>
                <w:sz w:val="17"/>
              </w:rPr>
              <w:t>freight_value</w:t>
            </w:r>
          </w:p>
        </w:tc>
        <w:tc>
          <w:tcPr>
            <w:tcW w:type="dxa" w:w="2324"/>
            <w:tcMar>
              <w:top w:w="50" w:type="dxa"/>
              <w:left w:w="80" w:type="dxa"/>
              <w:bottom w:w="50" w:type="dxa"/>
              <w:right w:w="80" w:type="dxa"/>
            </w:tcMar>
          </w:tcPr>
          <w:p>
            <w:pPr>
              <w:spacing w:after="0"/>
            </w:pPr>
            <w:r>
              <w:rPr>
                <w:b w:val="0"/>
                <w:i w:val="0"/>
                <w:sz w:val="17"/>
              </w:rPr>
              <w:t>Cost per km / per kg</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7"/>
              </w:rPr>
              <w:t>weight_kg, volume_m3</w:t>
            </w:r>
          </w:p>
        </w:tc>
        <w:tc>
          <w:tcPr>
            <w:tcW w:type="dxa" w:w="2438"/>
            <w:tcMar>
              <w:top w:w="50" w:type="dxa"/>
              <w:left w:w="80" w:type="dxa"/>
              <w:bottom w:w="50" w:type="dxa"/>
              <w:right w:w="80" w:type="dxa"/>
            </w:tcMar>
            <w:shd w:val="clear" w:color="auto" w:fill="F2F6FB"/>
          </w:tcPr>
          <w:p>
            <w:pPr>
              <w:spacing w:after="0"/>
            </w:pPr>
            <w:r>
              <w:rPr>
                <w:b w:val="0"/>
                <w:i w:val="0"/>
                <w:sz w:val="17"/>
              </w:rPr>
              <w:t>-</w:t>
            </w:r>
          </w:p>
        </w:tc>
        <w:tc>
          <w:tcPr>
            <w:tcW w:type="dxa" w:w="2835"/>
            <w:tcMar>
              <w:top w:w="50" w:type="dxa"/>
              <w:left w:w="80" w:type="dxa"/>
              <w:bottom w:w="50" w:type="dxa"/>
              <w:right w:w="80" w:type="dxa"/>
            </w:tcMar>
            <w:shd w:val="clear" w:color="auto" w:fill="F2F6FB"/>
          </w:tcPr>
          <w:p>
            <w:pPr>
              <w:spacing w:after="0"/>
            </w:pPr>
            <w:r>
              <w:rPr>
                <w:b w:val="0"/>
                <w:i w:val="0"/>
                <w:sz w:val="17"/>
              </w:rPr>
              <w:t>product_weight_g, product dimensions</w:t>
            </w:r>
          </w:p>
        </w:tc>
        <w:tc>
          <w:tcPr>
            <w:tcW w:type="dxa" w:w="2324"/>
            <w:tcMar>
              <w:top w:w="50" w:type="dxa"/>
              <w:left w:w="80" w:type="dxa"/>
              <w:bottom w:w="50" w:type="dxa"/>
              <w:right w:w="80" w:type="dxa"/>
            </w:tcMar>
            <w:shd w:val="clear" w:color="auto" w:fill="F2F6FB"/>
          </w:tcPr>
          <w:p>
            <w:pPr>
              <w:spacing w:after="0"/>
            </w:pPr>
            <w:r>
              <w:rPr>
                <w:b w:val="0"/>
                <w:i w:val="0"/>
                <w:sz w:val="17"/>
              </w:rPr>
              <w:t>Cost drivers, load density</w:t>
            </w:r>
          </w:p>
        </w:tc>
      </w:tr>
      <w:tr>
        <w:trPr>
          <w:cantSplit w:val="true"/>
        </w:trPr>
        <w:tc>
          <w:tcPr>
            <w:tcW w:type="dxa" w:w="1928"/>
            <w:tcMar>
              <w:top w:w="50" w:type="dxa"/>
              <w:left w:w="80" w:type="dxa"/>
              <w:bottom w:w="50" w:type="dxa"/>
              <w:right w:w="80" w:type="dxa"/>
            </w:tcMar>
          </w:tcPr>
          <w:p>
            <w:pPr>
              <w:spacing w:after="0"/>
            </w:pPr>
            <w:r>
              <w:rPr>
                <w:b w:val="0"/>
                <w:i w:val="0"/>
                <w:sz w:val="17"/>
              </w:rPr>
              <w:t>destination_zone / hub</w:t>
            </w:r>
          </w:p>
        </w:tc>
        <w:tc>
          <w:tcPr>
            <w:tcW w:type="dxa" w:w="2438"/>
            <w:tcMar>
              <w:top w:w="50" w:type="dxa"/>
              <w:left w:w="80" w:type="dxa"/>
              <w:bottom w:w="50" w:type="dxa"/>
              <w:right w:w="80" w:type="dxa"/>
            </w:tcMar>
          </w:tcPr>
          <w:p>
            <w:pPr>
              <w:spacing w:after="0"/>
            </w:pPr>
            <w:r>
              <w:rPr>
                <w:b w:val="0"/>
                <w:i w:val="0"/>
                <w:sz w:val="17"/>
              </w:rPr>
              <w:t>Order Region</w:t>
            </w:r>
          </w:p>
        </w:tc>
        <w:tc>
          <w:tcPr>
            <w:tcW w:type="dxa" w:w="2835"/>
            <w:tcMar>
              <w:top w:w="50" w:type="dxa"/>
              <w:left w:w="80" w:type="dxa"/>
              <w:bottom w:w="50" w:type="dxa"/>
              <w:right w:w="80" w:type="dxa"/>
            </w:tcMar>
          </w:tcPr>
          <w:p>
            <w:pPr>
              <w:spacing w:after="0"/>
            </w:pPr>
            <w:r>
              <w:rPr>
                <w:b w:val="0"/>
                <w:i w:val="0"/>
                <w:sz w:val="17"/>
              </w:rPr>
              <w:t>customer_state, customer_city</w:t>
            </w:r>
          </w:p>
        </w:tc>
        <w:tc>
          <w:tcPr>
            <w:tcW w:type="dxa" w:w="2324"/>
            <w:tcMar>
              <w:top w:w="50" w:type="dxa"/>
              <w:left w:w="80" w:type="dxa"/>
              <w:bottom w:w="50" w:type="dxa"/>
              <w:right w:w="80" w:type="dxa"/>
            </w:tcMar>
          </w:tcPr>
          <w:p>
            <w:pPr>
              <w:spacing w:after="0"/>
            </w:pPr>
            <w:r>
              <w:rPr>
                <w:b w:val="0"/>
                <w:i w:val="0"/>
                <w:sz w:val="17"/>
              </w:rPr>
              <w:t>Zone and lane analysis</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7"/>
              </w:rPr>
              <w:t>customer_rating</w:t>
            </w:r>
          </w:p>
        </w:tc>
        <w:tc>
          <w:tcPr>
            <w:tcW w:type="dxa" w:w="2438"/>
            <w:tcMar>
              <w:top w:w="50" w:type="dxa"/>
              <w:left w:w="80" w:type="dxa"/>
              <w:bottom w:w="50" w:type="dxa"/>
              <w:right w:w="80" w:type="dxa"/>
            </w:tcMar>
            <w:shd w:val="clear" w:color="auto" w:fill="F2F6FB"/>
          </w:tcPr>
          <w:p>
            <w:pPr>
              <w:spacing w:after="0"/>
            </w:pPr>
            <w:r>
              <w:rPr>
                <w:b w:val="0"/>
                <w:i w:val="0"/>
                <w:sz w:val="17"/>
              </w:rPr>
              <w:t>-</w:t>
            </w:r>
          </w:p>
        </w:tc>
        <w:tc>
          <w:tcPr>
            <w:tcW w:type="dxa" w:w="2835"/>
            <w:tcMar>
              <w:top w:w="50" w:type="dxa"/>
              <w:left w:w="80" w:type="dxa"/>
              <w:bottom w:w="50" w:type="dxa"/>
              <w:right w:w="80" w:type="dxa"/>
            </w:tcMar>
            <w:shd w:val="clear" w:color="auto" w:fill="F2F6FB"/>
          </w:tcPr>
          <w:p>
            <w:pPr>
              <w:spacing w:after="0"/>
            </w:pPr>
            <w:r>
              <w:rPr>
                <w:b w:val="0"/>
                <w:i w:val="0"/>
                <w:sz w:val="17"/>
              </w:rPr>
              <w:t>review_score</w:t>
            </w:r>
          </w:p>
        </w:tc>
        <w:tc>
          <w:tcPr>
            <w:tcW w:type="dxa" w:w="2324"/>
            <w:tcMar>
              <w:top w:w="50" w:type="dxa"/>
              <w:left w:w="80" w:type="dxa"/>
              <w:bottom w:w="50" w:type="dxa"/>
              <w:right w:w="80" w:type="dxa"/>
            </w:tcMar>
            <w:shd w:val="clear" w:color="auto" w:fill="F2F6FB"/>
          </w:tcPr>
          <w:p>
            <w:pPr>
              <w:spacing w:after="0"/>
            </w:pPr>
            <w:r>
              <w:rPr>
                <w:b w:val="0"/>
                <w:i w:val="0"/>
                <w:sz w:val="17"/>
              </w:rPr>
              <w:t>Satisfaction impact of lateness</w:t>
            </w:r>
          </w:p>
        </w:tc>
      </w:tr>
    </w:tbl>
    <w:p>
      <w:pPr>
        <w:spacing w:after="40"/>
      </w:pPr>
    </w:p>
    <w:p>
      <w:r>
        <w:rPr>
          <w:b w:val="0"/>
          <w:i w:val="0"/>
        </w:rPr>
        <w:t>The simulation also reproduces typical data-quality problems (missing values, duplicate IDs, inconsistent labels, mixed date formats and extreme values) so that Week 2 has a realistic cleaning task.</w:t>
      </w:r>
    </w:p>
    <w:p>
      <w:pPr>
        <w:pStyle w:val="Heading1"/>
      </w:pPr>
      <w:r>
        <w:t>5. How data-science concepts apply to this scenario</w:t>
      </w:r>
    </w:p>
    <w:p>
      <w:pPr>
        <w:keepNext/>
        <w:spacing w:after="60"/>
      </w:pPr>
      <w:r>
        <w:rPr>
          <w:b/>
          <w:color w:val="1F3864"/>
          <w:sz w:val="18"/>
        </w:rPr>
        <w:t xml:space="preserve">Table 4. </w:t>
      </w:r>
      <w:r>
        <w:rPr>
          <w:color w:val="52514E"/>
          <w:sz w:val="18"/>
        </w:rPr>
        <w:t>Mapping of data-science methods to logistics decisions.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53"/>
        <w:gridCol w:w="2353"/>
        <w:gridCol w:w="2353"/>
        <w:gridCol w:w="2353"/>
      </w:tblGrid>
      <w:tr>
        <w:trPr>
          <w:tblHeader w:val="true"/>
        </w:trPr>
        <w:tc>
          <w:tcPr>
            <w:tcW w:type="dxa" w:w="2098"/>
            <w:shd w:val="clear" w:color="auto" w:fill="1F3864"/>
            <w:tcMar>
              <w:top w:w="50" w:type="dxa"/>
              <w:left w:w="80" w:type="dxa"/>
              <w:bottom w:w="50" w:type="dxa"/>
              <w:right w:w="80" w:type="dxa"/>
            </w:tcMar>
          </w:tcPr>
          <w:p>
            <w:pPr>
              <w:spacing w:after="0"/>
            </w:pPr>
            <w:r>
              <w:rPr>
                <w:b/>
                <w:color w:val="FFFFFF"/>
                <w:sz w:val="17"/>
              </w:rPr>
              <w:t>Technique</w:t>
            </w:r>
          </w:p>
        </w:tc>
        <w:tc>
          <w:tcPr>
            <w:tcW w:type="dxa" w:w="2835"/>
            <w:shd w:val="clear" w:color="auto" w:fill="1F3864"/>
            <w:tcMar>
              <w:top w:w="50" w:type="dxa"/>
              <w:left w:w="80" w:type="dxa"/>
              <w:bottom w:w="50" w:type="dxa"/>
              <w:right w:w="80" w:type="dxa"/>
            </w:tcMar>
          </w:tcPr>
          <w:p>
            <w:pPr>
              <w:spacing w:after="0"/>
            </w:pPr>
            <w:r>
              <w:rPr>
                <w:b/>
                <w:color w:val="FFFFFF"/>
                <w:sz w:val="17"/>
              </w:rPr>
              <w:t>Logistics question</w:t>
            </w:r>
          </w:p>
        </w:tc>
        <w:tc>
          <w:tcPr>
            <w:tcW w:type="dxa" w:w="1587"/>
            <w:shd w:val="clear" w:color="auto" w:fill="1F3864"/>
            <w:tcMar>
              <w:top w:w="50" w:type="dxa"/>
              <w:left w:w="80" w:type="dxa"/>
              <w:bottom w:w="50" w:type="dxa"/>
              <w:right w:w="80" w:type="dxa"/>
            </w:tcMar>
          </w:tcPr>
          <w:p>
            <w:pPr>
              <w:spacing w:after="0"/>
            </w:pPr>
            <w:r>
              <w:rPr>
                <w:b/>
                <w:color w:val="FFFFFF"/>
                <w:sz w:val="17"/>
              </w:rPr>
              <w:t>Python tools</w:t>
            </w:r>
          </w:p>
        </w:tc>
        <w:tc>
          <w:tcPr>
            <w:tcW w:type="dxa" w:w="3005"/>
            <w:shd w:val="clear" w:color="auto" w:fill="1F3864"/>
            <w:tcMar>
              <w:top w:w="50" w:type="dxa"/>
              <w:left w:w="80" w:type="dxa"/>
              <w:bottom w:w="50" w:type="dxa"/>
              <w:right w:w="80" w:type="dxa"/>
            </w:tcMar>
          </w:tcPr>
          <w:p>
            <w:pPr>
              <w:spacing w:after="0"/>
            </w:pPr>
            <w:r>
              <w:rPr>
                <w:b/>
                <w:color w:val="FFFFFF"/>
                <w:sz w:val="17"/>
              </w:rPr>
              <w:t>Planned output</w:t>
            </w:r>
          </w:p>
        </w:tc>
      </w:tr>
      <w:tr>
        <w:trPr>
          <w:cantSplit w:val="true"/>
        </w:trPr>
        <w:tc>
          <w:tcPr>
            <w:tcW w:type="dxa" w:w="2098"/>
            <w:tcMar>
              <w:top w:w="50" w:type="dxa"/>
              <w:left w:w="80" w:type="dxa"/>
              <w:bottom w:w="50" w:type="dxa"/>
              <w:right w:w="80" w:type="dxa"/>
            </w:tcMar>
          </w:tcPr>
          <w:p>
            <w:pPr>
              <w:spacing w:after="0"/>
            </w:pPr>
            <w:r>
              <w:rPr>
                <w:b w:val="0"/>
                <w:i w:val="0"/>
                <w:sz w:val="17"/>
              </w:rPr>
              <w:t>Descriptive statistics and correlation</w:t>
            </w:r>
          </w:p>
        </w:tc>
        <w:tc>
          <w:tcPr>
            <w:tcW w:type="dxa" w:w="2835"/>
            <w:tcMar>
              <w:top w:w="50" w:type="dxa"/>
              <w:left w:w="80" w:type="dxa"/>
              <w:bottom w:w="50" w:type="dxa"/>
              <w:right w:w="80" w:type="dxa"/>
            </w:tcMar>
          </w:tcPr>
          <w:p>
            <w:pPr>
              <w:spacing w:after="0"/>
            </w:pPr>
            <w:r>
              <w:rPr>
                <w:b w:val="0"/>
                <w:i w:val="0"/>
                <w:sz w:val="17"/>
              </w:rPr>
              <w:t>Which factors move with delay and cost?</w:t>
            </w:r>
          </w:p>
        </w:tc>
        <w:tc>
          <w:tcPr>
            <w:tcW w:type="dxa" w:w="1587"/>
            <w:tcMar>
              <w:top w:w="50" w:type="dxa"/>
              <w:left w:w="80" w:type="dxa"/>
              <w:bottom w:w="50" w:type="dxa"/>
              <w:right w:w="80" w:type="dxa"/>
            </w:tcMar>
          </w:tcPr>
          <w:p>
            <w:pPr>
              <w:spacing w:after="0"/>
            </w:pPr>
            <w:r>
              <w:rPr>
                <w:b w:val="0"/>
                <w:i w:val="0"/>
                <w:sz w:val="17"/>
              </w:rPr>
              <w:t>pandas, SciPy</w:t>
            </w:r>
          </w:p>
        </w:tc>
        <w:tc>
          <w:tcPr>
            <w:tcW w:type="dxa" w:w="3005"/>
            <w:tcMar>
              <w:top w:w="50" w:type="dxa"/>
              <w:left w:w="80" w:type="dxa"/>
              <w:bottom w:w="50" w:type="dxa"/>
              <w:right w:w="80" w:type="dxa"/>
            </w:tcMar>
          </w:tcPr>
          <w:p>
            <w:pPr>
              <w:spacing w:after="0"/>
            </w:pPr>
            <w:r>
              <w:rPr>
                <w:b w:val="0"/>
                <w:i w:val="0"/>
                <w:sz w:val="17"/>
              </w:rPr>
              <w:t>KPI tables, correlation matrix (Week 3)</w:t>
            </w:r>
          </w:p>
        </w:tc>
      </w:tr>
      <w:tr>
        <w:trPr>
          <w:cantSplit w:val="true"/>
        </w:trPr>
        <w:tc>
          <w:tcPr>
            <w:tcW w:type="dxa" w:w="2098"/>
            <w:tcMar>
              <w:top w:w="50" w:type="dxa"/>
              <w:left w:w="80" w:type="dxa"/>
              <w:bottom w:w="50" w:type="dxa"/>
              <w:right w:w="80" w:type="dxa"/>
            </w:tcMar>
            <w:shd w:val="clear" w:color="auto" w:fill="F2F6FB"/>
          </w:tcPr>
          <w:p>
            <w:pPr>
              <w:spacing w:after="0"/>
            </w:pPr>
            <w:r>
              <w:rPr>
                <w:b w:val="0"/>
                <w:i w:val="0"/>
                <w:sz w:val="17"/>
              </w:rPr>
              <w:t>Linear and multiple regression</w:t>
            </w:r>
          </w:p>
        </w:tc>
        <w:tc>
          <w:tcPr>
            <w:tcW w:type="dxa" w:w="2835"/>
            <w:tcMar>
              <w:top w:w="50" w:type="dxa"/>
              <w:left w:w="80" w:type="dxa"/>
              <w:bottom w:w="50" w:type="dxa"/>
              <w:right w:w="80" w:type="dxa"/>
            </w:tcMar>
            <w:shd w:val="clear" w:color="auto" w:fill="F2F6FB"/>
          </w:tcPr>
          <w:p>
            <w:pPr>
              <w:spacing w:after="0"/>
            </w:pPr>
            <w:r>
              <w:rPr>
                <w:b w:val="0"/>
                <w:i w:val="0"/>
                <w:sz w:val="17"/>
              </w:rPr>
              <w:t>How does cost scale with distance, weight and service level?</w:t>
            </w:r>
          </w:p>
        </w:tc>
        <w:tc>
          <w:tcPr>
            <w:tcW w:type="dxa" w:w="1587"/>
            <w:tcMar>
              <w:top w:w="50" w:type="dxa"/>
              <w:left w:w="80" w:type="dxa"/>
              <w:bottom w:w="50" w:type="dxa"/>
              <w:right w:w="80" w:type="dxa"/>
            </w:tcMar>
            <w:shd w:val="clear" w:color="auto" w:fill="F2F6FB"/>
          </w:tcPr>
          <w:p>
            <w:pPr>
              <w:spacing w:after="0"/>
            </w:pPr>
            <w:r>
              <w:rPr>
                <w:b w:val="0"/>
                <w:i w:val="0"/>
                <w:sz w:val="17"/>
              </w:rPr>
              <w:t>scikit-learn, SciPy</w:t>
            </w:r>
          </w:p>
        </w:tc>
        <w:tc>
          <w:tcPr>
            <w:tcW w:type="dxa" w:w="3005"/>
            <w:tcMar>
              <w:top w:w="50" w:type="dxa"/>
              <w:left w:w="80" w:type="dxa"/>
              <w:bottom w:w="50" w:type="dxa"/>
              <w:right w:w="80" w:type="dxa"/>
            </w:tcMar>
            <w:shd w:val="clear" w:color="auto" w:fill="F2F6FB"/>
          </w:tcPr>
          <w:p>
            <w:pPr>
              <w:spacing w:after="0"/>
            </w:pPr>
            <w:r>
              <w:rPr>
                <w:b w:val="0"/>
                <w:i w:val="0"/>
                <w:sz w:val="17"/>
              </w:rPr>
              <w:t>Cost model and cost benchmarks (this week, Week 4)</w:t>
            </w:r>
          </w:p>
        </w:tc>
      </w:tr>
      <w:tr>
        <w:trPr>
          <w:cantSplit w:val="true"/>
        </w:trPr>
        <w:tc>
          <w:tcPr>
            <w:tcW w:type="dxa" w:w="2098"/>
            <w:tcMar>
              <w:top w:w="50" w:type="dxa"/>
              <w:left w:w="80" w:type="dxa"/>
              <w:bottom w:w="50" w:type="dxa"/>
              <w:right w:w="80" w:type="dxa"/>
            </w:tcMar>
          </w:tcPr>
          <w:p>
            <w:pPr>
              <w:spacing w:after="0"/>
            </w:pPr>
            <w:r>
              <w:rPr>
                <w:b w:val="0"/>
                <w:i w:val="0"/>
                <w:sz w:val="17"/>
              </w:rPr>
              <w:t>Clustering (K-Means)</w:t>
            </w:r>
          </w:p>
        </w:tc>
        <w:tc>
          <w:tcPr>
            <w:tcW w:type="dxa" w:w="2835"/>
            <w:tcMar>
              <w:top w:w="50" w:type="dxa"/>
              <w:left w:w="80" w:type="dxa"/>
              <w:bottom w:w="50" w:type="dxa"/>
              <w:right w:w="80" w:type="dxa"/>
            </w:tcMar>
          </w:tcPr>
          <w:p>
            <w:pPr>
              <w:spacing w:after="0"/>
            </w:pPr>
            <w:r>
              <w:rPr>
                <w:b w:val="0"/>
                <w:i w:val="0"/>
                <w:sz w:val="17"/>
              </w:rPr>
              <w:t>Which lanes behave alike and need the same policy?</w:t>
            </w:r>
          </w:p>
        </w:tc>
        <w:tc>
          <w:tcPr>
            <w:tcW w:type="dxa" w:w="1587"/>
            <w:tcMar>
              <w:top w:w="50" w:type="dxa"/>
              <w:left w:w="80" w:type="dxa"/>
              <w:bottom w:w="50" w:type="dxa"/>
              <w:right w:w="80" w:type="dxa"/>
            </w:tcMar>
          </w:tcPr>
          <w:p>
            <w:pPr>
              <w:spacing w:after="0"/>
            </w:pPr>
            <w:r>
              <w:rPr>
                <w:b w:val="0"/>
                <w:i w:val="0"/>
                <w:sz w:val="17"/>
              </w:rPr>
              <w:t>scikit-learn</w:t>
            </w:r>
          </w:p>
        </w:tc>
        <w:tc>
          <w:tcPr>
            <w:tcW w:type="dxa" w:w="3005"/>
            <w:tcMar>
              <w:top w:w="50" w:type="dxa"/>
              <w:left w:w="80" w:type="dxa"/>
              <w:bottom w:w="50" w:type="dxa"/>
              <w:right w:w="80" w:type="dxa"/>
            </w:tcMar>
          </w:tcPr>
          <w:p>
            <w:pPr>
              <w:spacing w:after="0"/>
            </w:pPr>
            <w:r>
              <w:rPr>
                <w:b w:val="0"/>
                <w:i w:val="0"/>
                <w:sz w:val="17"/>
              </w:rPr>
              <w:t>Lane segments with tailored actions (this week)</w:t>
            </w:r>
          </w:p>
        </w:tc>
      </w:tr>
      <w:tr>
        <w:trPr>
          <w:cantSplit w:val="true"/>
        </w:trPr>
        <w:tc>
          <w:tcPr>
            <w:tcW w:type="dxa" w:w="2098"/>
            <w:tcMar>
              <w:top w:w="50" w:type="dxa"/>
              <w:left w:w="80" w:type="dxa"/>
              <w:bottom w:w="50" w:type="dxa"/>
              <w:right w:w="80" w:type="dxa"/>
            </w:tcMar>
            <w:shd w:val="clear" w:color="auto" w:fill="F2F6FB"/>
          </w:tcPr>
          <w:p>
            <w:pPr>
              <w:spacing w:after="0"/>
            </w:pPr>
            <w:r>
              <w:rPr>
                <w:b w:val="0"/>
                <w:i w:val="0"/>
                <w:sz w:val="17"/>
              </w:rPr>
              <w:t>Tree ensembles (regression)</w:t>
            </w:r>
          </w:p>
        </w:tc>
        <w:tc>
          <w:tcPr>
            <w:tcW w:type="dxa" w:w="2835"/>
            <w:tcMar>
              <w:top w:w="50" w:type="dxa"/>
              <w:left w:w="80" w:type="dxa"/>
              <w:bottom w:w="50" w:type="dxa"/>
              <w:right w:w="80" w:type="dxa"/>
            </w:tcMar>
            <w:shd w:val="clear" w:color="auto" w:fill="F2F6FB"/>
          </w:tcPr>
          <w:p>
            <w:pPr>
              <w:spacing w:after="0"/>
            </w:pPr>
            <w:r>
              <w:rPr>
                <w:b w:val="0"/>
                <w:i w:val="0"/>
                <w:sz w:val="17"/>
              </w:rPr>
              <w:t>How many days will this shipment take?</w:t>
            </w:r>
          </w:p>
        </w:tc>
        <w:tc>
          <w:tcPr>
            <w:tcW w:type="dxa" w:w="1587"/>
            <w:tcMar>
              <w:top w:w="50" w:type="dxa"/>
              <w:left w:w="80" w:type="dxa"/>
              <w:bottom w:w="50" w:type="dxa"/>
              <w:right w:w="80" w:type="dxa"/>
            </w:tcMar>
            <w:shd w:val="clear" w:color="auto" w:fill="F2F6FB"/>
          </w:tcPr>
          <w:p>
            <w:pPr>
              <w:spacing w:after="0"/>
            </w:pPr>
            <w:r>
              <w:rPr>
                <w:b w:val="0"/>
                <w:i w:val="0"/>
                <w:sz w:val="17"/>
              </w:rPr>
              <w:t>scikit-learn</w:t>
            </w:r>
          </w:p>
        </w:tc>
        <w:tc>
          <w:tcPr>
            <w:tcW w:type="dxa" w:w="3005"/>
            <w:tcMar>
              <w:top w:w="50" w:type="dxa"/>
              <w:left w:w="80" w:type="dxa"/>
              <w:bottom w:w="50" w:type="dxa"/>
              <w:right w:w="80" w:type="dxa"/>
            </w:tcMar>
            <w:shd w:val="clear" w:color="auto" w:fill="F2F6FB"/>
          </w:tcPr>
          <w:p>
            <w:pPr>
              <w:spacing w:after="0"/>
            </w:pPr>
            <w:r>
              <w:rPr>
                <w:b w:val="0"/>
                <w:i w:val="0"/>
                <w:sz w:val="17"/>
              </w:rPr>
              <w:t>Delivery-time predictor, quantile promise dates (Week 4)</w:t>
            </w:r>
          </w:p>
        </w:tc>
      </w:tr>
      <w:tr>
        <w:trPr>
          <w:cantSplit w:val="true"/>
        </w:trPr>
        <w:tc>
          <w:tcPr>
            <w:tcW w:type="dxa" w:w="2098"/>
            <w:tcMar>
              <w:top w:w="50" w:type="dxa"/>
              <w:left w:w="80" w:type="dxa"/>
              <w:bottom w:w="50" w:type="dxa"/>
              <w:right w:w="80" w:type="dxa"/>
            </w:tcMar>
          </w:tcPr>
          <w:p>
            <w:pPr>
              <w:spacing w:after="0"/>
            </w:pPr>
            <w:r>
              <w:rPr>
                <w:b w:val="0"/>
                <w:i w:val="0"/>
                <w:sz w:val="17"/>
              </w:rPr>
              <w:t>Classification</w:t>
            </w:r>
          </w:p>
        </w:tc>
        <w:tc>
          <w:tcPr>
            <w:tcW w:type="dxa" w:w="2835"/>
            <w:tcMar>
              <w:top w:w="50" w:type="dxa"/>
              <w:left w:w="80" w:type="dxa"/>
              <w:bottom w:w="50" w:type="dxa"/>
              <w:right w:w="80" w:type="dxa"/>
            </w:tcMar>
          </w:tcPr>
          <w:p>
            <w:pPr>
              <w:spacing w:after="0"/>
            </w:pPr>
            <w:r>
              <w:rPr>
                <w:b w:val="0"/>
                <w:i w:val="0"/>
                <w:sz w:val="17"/>
              </w:rPr>
              <w:t>Which shipments are likely to be late?</w:t>
            </w:r>
          </w:p>
        </w:tc>
        <w:tc>
          <w:tcPr>
            <w:tcW w:type="dxa" w:w="1587"/>
            <w:tcMar>
              <w:top w:w="50" w:type="dxa"/>
              <w:left w:w="80" w:type="dxa"/>
              <w:bottom w:w="50" w:type="dxa"/>
              <w:right w:w="80" w:type="dxa"/>
            </w:tcMar>
          </w:tcPr>
          <w:p>
            <w:pPr>
              <w:spacing w:after="0"/>
            </w:pPr>
            <w:r>
              <w:rPr>
                <w:b w:val="0"/>
                <w:i w:val="0"/>
                <w:sz w:val="17"/>
              </w:rPr>
              <w:t>scikit-learn</w:t>
            </w:r>
          </w:p>
        </w:tc>
        <w:tc>
          <w:tcPr>
            <w:tcW w:type="dxa" w:w="3005"/>
            <w:tcMar>
              <w:top w:w="50" w:type="dxa"/>
              <w:left w:w="80" w:type="dxa"/>
              <w:bottom w:w="50" w:type="dxa"/>
              <w:right w:w="80" w:type="dxa"/>
            </w:tcMar>
          </w:tcPr>
          <w:p>
            <w:pPr>
              <w:spacing w:after="0"/>
            </w:pPr>
            <w:r>
              <w:rPr>
                <w:b w:val="0"/>
                <w:i w:val="0"/>
                <w:sz w:val="17"/>
              </w:rPr>
              <w:t>Risk ranking for proactive intervention (Week 4)</w:t>
            </w:r>
          </w:p>
        </w:tc>
      </w:tr>
      <w:tr>
        <w:trPr>
          <w:cantSplit w:val="true"/>
        </w:trPr>
        <w:tc>
          <w:tcPr>
            <w:tcW w:type="dxa" w:w="2098"/>
            <w:tcMar>
              <w:top w:w="50" w:type="dxa"/>
              <w:left w:w="80" w:type="dxa"/>
              <w:bottom w:w="50" w:type="dxa"/>
              <w:right w:w="80" w:type="dxa"/>
            </w:tcMar>
            <w:shd w:val="clear" w:color="auto" w:fill="F2F6FB"/>
          </w:tcPr>
          <w:p>
            <w:pPr>
              <w:spacing w:after="0"/>
            </w:pPr>
            <w:r>
              <w:rPr>
                <w:b w:val="0"/>
                <w:i w:val="0"/>
                <w:sz w:val="17"/>
              </w:rPr>
              <w:t>Linear programming</w:t>
            </w:r>
          </w:p>
        </w:tc>
        <w:tc>
          <w:tcPr>
            <w:tcW w:type="dxa" w:w="2835"/>
            <w:tcMar>
              <w:top w:w="50" w:type="dxa"/>
              <w:left w:w="80" w:type="dxa"/>
              <w:bottom w:w="50" w:type="dxa"/>
              <w:right w:w="80" w:type="dxa"/>
            </w:tcMar>
            <w:shd w:val="clear" w:color="auto" w:fill="F2F6FB"/>
          </w:tcPr>
          <w:p>
            <w:pPr>
              <w:spacing w:after="0"/>
            </w:pPr>
            <w:r>
              <w:rPr>
                <w:b w:val="0"/>
                <w:i w:val="0"/>
                <w:sz w:val="17"/>
              </w:rPr>
              <w:t>Which warehouse and which carrier should serve each flow?</w:t>
            </w:r>
          </w:p>
        </w:tc>
        <w:tc>
          <w:tcPr>
            <w:tcW w:type="dxa" w:w="1587"/>
            <w:tcMar>
              <w:top w:w="50" w:type="dxa"/>
              <w:left w:w="80" w:type="dxa"/>
              <w:bottom w:w="50" w:type="dxa"/>
              <w:right w:w="80" w:type="dxa"/>
            </w:tcMar>
            <w:shd w:val="clear" w:color="auto" w:fill="F2F6FB"/>
          </w:tcPr>
          <w:p>
            <w:pPr>
              <w:spacing w:after="0"/>
            </w:pPr>
            <w:r>
              <w:rPr>
                <w:b w:val="0"/>
                <w:i w:val="0"/>
                <w:sz w:val="17"/>
              </w:rPr>
              <w:t>SciPy (HiGHS)</w:t>
            </w:r>
          </w:p>
        </w:tc>
        <w:tc>
          <w:tcPr>
            <w:tcW w:type="dxa" w:w="3005"/>
            <w:tcMar>
              <w:top w:w="50" w:type="dxa"/>
              <w:left w:w="80" w:type="dxa"/>
              <w:bottom w:w="50" w:type="dxa"/>
              <w:right w:w="80" w:type="dxa"/>
            </w:tcMar>
            <w:shd w:val="clear" w:color="auto" w:fill="F2F6FB"/>
          </w:tcPr>
          <w:p>
            <w:pPr>
              <w:spacing w:after="0"/>
            </w:pPr>
            <w:r>
              <w:rPr>
                <w:b w:val="0"/>
                <w:i w:val="0"/>
                <w:sz w:val="17"/>
              </w:rPr>
              <w:t>Cost-minimising allocation under service constraints (Week 4)</w:t>
            </w:r>
          </w:p>
        </w:tc>
      </w:tr>
      <w:tr>
        <w:trPr>
          <w:cantSplit w:val="true"/>
        </w:trPr>
        <w:tc>
          <w:tcPr>
            <w:tcW w:type="dxa" w:w="2098"/>
            <w:tcMar>
              <w:top w:w="50" w:type="dxa"/>
              <w:left w:w="80" w:type="dxa"/>
              <w:bottom w:w="50" w:type="dxa"/>
              <w:right w:w="80" w:type="dxa"/>
            </w:tcMar>
          </w:tcPr>
          <w:p>
            <w:pPr>
              <w:spacing w:after="0"/>
            </w:pPr>
            <w:r>
              <w:rPr>
                <w:b w:val="0"/>
                <w:i w:val="0"/>
                <w:sz w:val="17"/>
              </w:rPr>
              <w:t>Inventory models (EOQ, safety stock)</w:t>
            </w:r>
          </w:p>
        </w:tc>
        <w:tc>
          <w:tcPr>
            <w:tcW w:type="dxa" w:w="2835"/>
            <w:tcMar>
              <w:top w:w="50" w:type="dxa"/>
              <w:left w:w="80" w:type="dxa"/>
              <w:bottom w:w="50" w:type="dxa"/>
              <w:right w:w="80" w:type="dxa"/>
            </w:tcMar>
          </w:tcPr>
          <w:p>
            <w:pPr>
              <w:spacing w:after="0"/>
            </w:pPr>
            <w:r>
              <w:rPr>
                <w:b w:val="0"/>
                <w:i w:val="0"/>
                <w:sz w:val="17"/>
              </w:rPr>
              <w:t>How much to order and when?</w:t>
            </w:r>
          </w:p>
        </w:tc>
        <w:tc>
          <w:tcPr>
            <w:tcW w:type="dxa" w:w="1587"/>
            <w:tcMar>
              <w:top w:w="50" w:type="dxa"/>
              <w:left w:w="80" w:type="dxa"/>
              <w:bottom w:w="50" w:type="dxa"/>
              <w:right w:w="80" w:type="dxa"/>
            </w:tcMar>
          </w:tcPr>
          <w:p>
            <w:pPr>
              <w:spacing w:after="0"/>
            </w:pPr>
            <w:r>
              <w:rPr>
                <w:b w:val="0"/>
                <w:i w:val="0"/>
                <w:sz w:val="17"/>
              </w:rPr>
              <w:t>NumPy</w:t>
            </w:r>
          </w:p>
        </w:tc>
        <w:tc>
          <w:tcPr>
            <w:tcW w:type="dxa" w:w="3005"/>
            <w:tcMar>
              <w:top w:w="50" w:type="dxa"/>
              <w:left w:w="80" w:type="dxa"/>
              <w:bottom w:w="50" w:type="dxa"/>
              <w:right w:w="80" w:type="dxa"/>
            </w:tcMar>
          </w:tcPr>
          <w:p>
            <w:pPr>
              <w:spacing w:after="0"/>
            </w:pPr>
            <w:r>
              <w:rPr>
                <w:b w:val="0"/>
                <w:i w:val="0"/>
                <w:sz w:val="17"/>
              </w:rPr>
              <w:t>Reorder policy per warehouse (this week)</w:t>
            </w:r>
          </w:p>
        </w:tc>
      </w:tr>
    </w:tbl>
    <w:p>
      <w:pPr>
        <w:spacing w:after="40"/>
      </w:pPr>
    </w:p>
    <w:p>
      <w:pPr>
        <w:pStyle w:val="Heading1"/>
      </w:pPr>
      <w:r>
        <w:t>6. Pilot exploration of the data</w:t>
      </w:r>
    </w:p>
    <w:p>
      <w:pPr>
        <w:pStyle w:val="Heading2"/>
      </w:pPr>
      <w:r>
        <w:t>6.1 KPI baselines by zone, carrier and mode</w:t>
      </w:r>
    </w:p>
    <w:p>
      <w:pPr>
        <w:keepNext/>
        <w:spacing w:after="40"/>
        <w:jc w:val="center"/>
      </w:pPr>
      <w:r>
        <w:drawing>
          <wp:inline xmlns:a="http://schemas.openxmlformats.org/drawingml/2006/main" xmlns:pic="http://schemas.openxmlformats.org/drawingml/2006/picture">
            <wp:extent cx="5120640" cy="2522106"/>
            <wp:docPr id="1" name="Picture 1"/>
            <wp:cNvGraphicFramePr>
              <a:graphicFrameLocks noChangeAspect="1"/>
            </wp:cNvGraphicFramePr>
            <a:graphic>
              <a:graphicData uri="http://schemas.openxmlformats.org/drawingml/2006/picture">
                <pic:pic>
                  <pic:nvPicPr>
                    <pic:cNvPr id="0" name="w1_on_time_by_zone.png"/>
                    <pic:cNvPicPr/>
                  </pic:nvPicPr>
                  <pic:blipFill>
                    <a:blip r:embed="rId11"/>
                    <a:stretch>
                      <a:fillRect/>
                    </a:stretch>
                  </pic:blipFill>
                  <pic:spPr>
                    <a:xfrm>
                      <a:off x="0" y="0"/>
                      <a:ext cx="5120640" cy="2522106"/>
                    </a:xfrm>
                    <a:prstGeom prst="rect"/>
                  </pic:spPr>
                </pic:pic>
              </a:graphicData>
            </a:graphic>
          </wp:inline>
        </w:drawing>
      </w:r>
    </w:p>
    <w:p>
      <w:pPr>
        <w:pStyle w:val="Cap"/>
      </w:pPr>
      <w:r>
        <w:rPr>
          <w:b/>
          <w:i w:val="0"/>
        </w:rPr>
        <w:t xml:space="preserve">Figure 1. </w:t>
      </w:r>
      <w:r>
        <w:t>On-time delivery rate by destination zone. North-East is the weakest zone (53.2%).</w:t>
      </w:r>
    </w:p>
    <w:p>
      <w:pPr>
        <w:keepNext/>
        <w:spacing w:after="60"/>
      </w:pPr>
      <w:r>
        <w:rPr>
          <w:b/>
          <w:color w:val="1F3864"/>
          <w:sz w:val="18"/>
        </w:rPr>
        <w:t xml:space="preserve">Table 5. </w:t>
      </w:r>
      <w:r>
        <w:rPr>
          <w:color w:val="52514E"/>
          <w:sz w:val="18"/>
        </w:rPr>
        <w:t>Carrier scorecard (pilot data), sorted from weakest to strongest on-time rate.</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69"/>
        <w:gridCol w:w="1569"/>
        <w:gridCol w:w="1569"/>
        <w:gridCol w:w="1569"/>
        <w:gridCol w:w="1569"/>
        <w:gridCol w:w="1569"/>
      </w:tblGrid>
      <w:tr>
        <w:trPr>
          <w:tblHeader w:val="true"/>
        </w:trPr>
        <w:tc>
          <w:tcPr>
            <w:tcW w:type="dxa" w:w="2041"/>
            <w:shd w:val="clear" w:color="auto" w:fill="1F3864"/>
            <w:tcMar>
              <w:top w:w="50" w:type="dxa"/>
              <w:left w:w="80" w:type="dxa"/>
              <w:bottom w:w="50" w:type="dxa"/>
              <w:right w:w="80" w:type="dxa"/>
            </w:tcMar>
          </w:tcPr>
          <w:p>
            <w:pPr>
              <w:spacing w:after="0"/>
            </w:pPr>
            <w:r>
              <w:rPr>
                <w:b/>
                <w:color w:val="FFFFFF"/>
                <w:sz w:val="18"/>
              </w:rPr>
              <w:t>Carrier</w:t>
            </w:r>
          </w:p>
        </w:tc>
        <w:tc>
          <w:tcPr>
            <w:tcW w:type="dxa" w:w="1361"/>
            <w:shd w:val="clear" w:color="auto" w:fill="1F3864"/>
            <w:tcMar>
              <w:top w:w="50" w:type="dxa"/>
              <w:left w:w="80" w:type="dxa"/>
              <w:bottom w:w="50" w:type="dxa"/>
              <w:right w:w="80" w:type="dxa"/>
            </w:tcMar>
          </w:tcPr>
          <w:p>
            <w:pPr>
              <w:spacing w:after="0"/>
              <w:jc w:val="right"/>
            </w:pPr>
            <w:r>
              <w:rPr>
                <w:b/>
                <w:color w:val="FFFFFF"/>
                <w:sz w:val="18"/>
              </w:rPr>
              <w:t>Shipments</w:t>
            </w:r>
          </w:p>
        </w:tc>
        <w:tc>
          <w:tcPr>
            <w:tcW w:type="dxa" w:w="1361"/>
            <w:shd w:val="clear" w:color="auto" w:fill="1F3864"/>
            <w:tcMar>
              <w:top w:w="50" w:type="dxa"/>
              <w:left w:w="80" w:type="dxa"/>
              <w:bottom w:w="50" w:type="dxa"/>
              <w:right w:w="80" w:type="dxa"/>
            </w:tcMar>
          </w:tcPr>
          <w:p>
            <w:pPr>
              <w:spacing w:after="0"/>
              <w:jc w:val="right"/>
            </w:pPr>
            <w:r>
              <w:rPr>
                <w:b/>
                <w:color w:val="FFFFFF"/>
                <w:sz w:val="18"/>
              </w:rPr>
              <w:t>On-time</w:t>
            </w:r>
          </w:p>
        </w:tc>
        <w:tc>
          <w:tcPr>
            <w:tcW w:type="dxa" w:w="1587"/>
            <w:shd w:val="clear" w:color="auto" w:fill="1F3864"/>
            <w:tcMar>
              <w:top w:w="50" w:type="dxa"/>
              <w:left w:w="80" w:type="dxa"/>
              <w:bottom w:w="50" w:type="dxa"/>
              <w:right w:w="80" w:type="dxa"/>
            </w:tcMar>
          </w:tcPr>
          <w:p>
            <w:pPr>
              <w:spacing w:after="0"/>
              <w:jc w:val="right"/>
            </w:pPr>
            <w:r>
              <w:rPr>
                <w:b/>
                <w:color w:val="FFFFFF"/>
                <w:sz w:val="18"/>
              </w:rPr>
              <w:t>Lead time (d)</w:t>
            </w:r>
          </w:p>
        </w:tc>
        <w:tc>
          <w:tcPr>
            <w:tcW w:type="dxa" w:w="1701"/>
            <w:shd w:val="clear" w:color="auto" w:fill="1F3864"/>
            <w:tcMar>
              <w:top w:w="50" w:type="dxa"/>
              <w:left w:w="80" w:type="dxa"/>
              <w:bottom w:w="50" w:type="dxa"/>
              <w:right w:w="80" w:type="dxa"/>
            </w:tcMar>
          </w:tcPr>
          <w:p>
            <w:pPr>
              <w:spacing w:after="0"/>
              <w:jc w:val="right"/>
            </w:pPr>
            <w:r>
              <w:rPr>
                <w:b/>
                <w:color w:val="FFFFFF"/>
                <w:sz w:val="18"/>
              </w:rPr>
              <w:t>Median cost/km</w:t>
            </w:r>
          </w:p>
        </w:tc>
        <w:tc>
          <w:tcPr>
            <w:tcW w:type="dxa" w:w="1134"/>
            <w:shd w:val="clear" w:color="auto" w:fill="1F3864"/>
            <w:tcMar>
              <w:top w:w="50" w:type="dxa"/>
              <w:left w:w="80" w:type="dxa"/>
              <w:bottom w:w="50" w:type="dxa"/>
              <w:right w:w="80" w:type="dxa"/>
            </w:tcMar>
          </w:tcPr>
          <w:p>
            <w:pPr>
              <w:spacing w:after="0"/>
              <w:jc w:val="right"/>
            </w:pPr>
            <w:r>
              <w:rPr>
                <w:b/>
                <w:color w:val="FFFFFF"/>
                <w:sz w:val="18"/>
              </w:rPr>
              <w:t>Rating</w:t>
            </w:r>
          </w:p>
        </w:tc>
      </w:tr>
      <w:tr>
        <w:trPr>
          <w:cantSplit w:val="true"/>
        </w:trPr>
        <w:tc>
          <w:tcPr>
            <w:tcW w:type="dxa" w:w="2041"/>
            <w:tcMar>
              <w:top w:w="50" w:type="dxa"/>
              <w:left w:w="80" w:type="dxa"/>
              <w:bottom w:w="50" w:type="dxa"/>
              <w:right w:w="80" w:type="dxa"/>
            </w:tcMar>
          </w:tcPr>
          <w:p>
            <w:pPr>
              <w:spacing w:after="0"/>
            </w:pPr>
            <w:r>
              <w:rPr>
                <w:b w:val="0"/>
                <w:i w:val="0"/>
                <w:sz w:val="18"/>
              </w:rPr>
              <w:t>RoadRunner</w:t>
            </w:r>
          </w:p>
        </w:tc>
        <w:tc>
          <w:tcPr>
            <w:tcW w:type="dxa" w:w="1361"/>
            <w:tcMar>
              <w:top w:w="50" w:type="dxa"/>
              <w:left w:w="80" w:type="dxa"/>
              <w:bottom w:w="50" w:type="dxa"/>
              <w:right w:w="80" w:type="dxa"/>
            </w:tcMar>
          </w:tcPr>
          <w:p>
            <w:pPr>
              <w:spacing w:after="0"/>
              <w:jc w:val="right"/>
            </w:pPr>
            <w:r>
              <w:rPr>
                <w:b w:val="0"/>
                <w:i w:val="0"/>
                <w:sz w:val="18"/>
              </w:rPr>
              <w:t>2,305</w:t>
            </w:r>
          </w:p>
        </w:tc>
        <w:tc>
          <w:tcPr>
            <w:tcW w:type="dxa" w:w="1361"/>
            <w:tcMar>
              <w:top w:w="50" w:type="dxa"/>
              <w:left w:w="80" w:type="dxa"/>
              <w:bottom w:w="50" w:type="dxa"/>
              <w:right w:w="80" w:type="dxa"/>
            </w:tcMar>
          </w:tcPr>
          <w:p>
            <w:pPr>
              <w:spacing w:after="0"/>
              <w:jc w:val="right"/>
            </w:pPr>
            <w:r>
              <w:rPr>
                <w:b w:val="0"/>
                <w:i w:val="0"/>
                <w:sz w:val="18"/>
              </w:rPr>
              <w:t>63.9%</w:t>
            </w:r>
          </w:p>
        </w:tc>
        <w:tc>
          <w:tcPr>
            <w:tcW w:type="dxa" w:w="1587"/>
            <w:tcMar>
              <w:top w:w="50" w:type="dxa"/>
              <w:left w:w="80" w:type="dxa"/>
              <w:bottom w:w="50" w:type="dxa"/>
              <w:right w:w="80" w:type="dxa"/>
            </w:tcMar>
          </w:tcPr>
          <w:p>
            <w:pPr>
              <w:spacing w:after="0"/>
              <w:jc w:val="right"/>
            </w:pPr>
            <w:r>
              <w:rPr>
                <w:b w:val="0"/>
                <w:i w:val="0"/>
                <w:sz w:val="18"/>
              </w:rPr>
              <w:t>3.75</w:t>
            </w:r>
          </w:p>
        </w:tc>
        <w:tc>
          <w:tcPr>
            <w:tcW w:type="dxa" w:w="1701"/>
            <w:tcMar>
              <w:top w:w="50" w:type="dxa"/>
              <w:left w:w="80" w:type="dxa"/>
              <w:bottom w:w="50" w:type="dxa"/>
              <w:right w:w="80" w:type="dxa"/>
            </w:tcMar>
          </w:tcPr>
          <w:p>
            <w:pPr>
              <w:spacing w:after="0"/>
              <w:jc w:val="right"/>
            </w:pPr>
            <w:r>
              <w:rPr>
                <w:b w:val="0"/>
                <w:i w:val="0"/>
                <w:sz w:val="18"/>
              </w:rPr>
              <w:t>0.511</w:t>
            </w:r>
          </w:p>
        </w:tc>
        <w:tc>
          <w:tcPr>
            <w:tcW w:type="dxa" w:w="1134"/>
            <w:tcMar>
              <w:top w:w="50" w:type="dxa"/>
              <w:left w:w="80" w:type="dxa"/>
              <w:bottom w:w="50" w:type="dxa"/>
              <w:right w:w="80" w:type="dxa"/>
            </w:tcMar>
          </w:tcPr>
          <w:p>
            <w:pPr>
              <w:spacing w:after="0"/>
              <w:jc w:val="right"/>
            </w:pPr>
            <w:r>
              <w:rPr>
                <w:b w:val="0"/>
                <w:i w:val="0"/>
                <w:sz w:val="18"/>
              </w:rPr>
              <w:t>4.57</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8"/>
              </w:rPr>
              <w:t>CityLink</w:t>
            </w:r>
          </w:p>
        </w:tc>
        <w:tc>
          <w:tcPr>
            <w:tcW w:type="dxa" w:w="1361"/>
            <w:tcMar>
              <w:top w:w="50" w:type="dxa"/>
              <w:left w:w="80" w:type="dxa"/>
              <w:bottom w:w="50" w:type="dxa"/>
              <w:right w:w="80" w:type="dxa"/>
            </w:tcMar>
            <w:shd w:val="clear" w:color="auto" w:fill="F2F6FB"/>
          </w:tcPr>
          <w:p>
            <w:pPr>
              <w:spacing w:after="0"/>
              <w:jc w:val="right"/>
            </w:pPr>
            <w:r>
              <w:rPr>
                <w:b w:val="0"/>
                <w:i w:val="0"/>
                <w:sz w:val="18"/>
              </w:rPr>
              <w:t>1,935</w:t>
            </w:r>
          </w:p>
        </w:tc>
        <w:tc>
          <w:tcPr>
            <w:tcW w:type="dxa" w:w="1361"/>
            <w:tcMar>
              <w:top w:w="50" w:type="dxa"/>
              <w:left w:w="80" w:type="dxa"/>
              <w:bottom w:w="50" w:type="dxa"/>
              <w:right w:w="80" w:type="dxa"/>
            </w:tcMar>
            <w:shd w:val="clear" w:color="auto" w:fill="F2F6FB"/>
          </w:tcPr>
          <w:p>
            <w:pPr>
              <w:spacing w:after="0"/>
              <w:jc w:val="right"/>
            </w:pPr>
            <w:r>
              <w:rPr>
                <w:b w:val="0"/>
                <w:i w:val="0"/>
                <w:sz w:val="18"/>
              </w:rPr>
              <w:t>70.1%</w:t>
            </w:r>
          </w:p>
        </w:tc>
        <w:tc>
          <w:tcPr>
            <w:tcW w:type="dxa" w:w="1587"/>
            <w:tcMar>
              <w:top w:w="50" w:type="dxa"/>
              <w:left w:w="80" w:type="dxa"/>
              <w:bottom w:w="50" w:type="dxa"/>
              <w:right w:w="80" w:type="dxa"/>
            </w:tcMar>
            <w:shd w:val="clear" w:color="auto" w:fill="F2F6FB"/>
          </w:tcPr>
          <w:p>
            <w:pPr>
              <w:spacing w:after="0"/>
              <w:jc w:val="right"/>
            </w:pPr>
            <w:r>
              <w:rPr>
                <w:b w:val="0"/>
                <w:i w:val="0"/>
                <w:sz w:val="18"/>
              </w:rPr>
              <w:t>3.81</w:t>
            </w:r>
          </w:p>
        </w:tc>
        <w:tc>
          <w:tcPr>
            <w:tcW w:type="dxa" w:w="1701"/>
            <w:tcMar>
              <w:top w:w="50" w:type="dxa"/>
              <w:left w:w="80" w:type="dxa"/>
              <w:bottom w:w="50" w:type="dxa"/>
              <w:right w:w="80" w:type="dxa"/>
            </w:tcMar>
            <w:shd w:val="clear" w:color="auto" w:fill="F2F6FB"/>
          </w:tcPr>
          <w:p>
            <w:pPr>
              <w:spacing w:after="0"/>
              <w:jc w:val="right"/>
            </w:pPr>
            <w:r>
              <w:rPr>
                <w:b w:val="0"/>
                <w:i w:val="0"/>
                <w:sz w:val="18"/>
              </w:rPr>
              <w:t>0.537</w:t>
            </w:r>
          </w:p>
        </w:tc>
        <w:tc>
          <w:tcPr>
            <w:tcW w:type="dxa" w:w="1134"/>
            <w:tcMar>
              <w:top w:w="50" w:type="dxa"/>
              <w:left w:w="80" w:type="dxa"/>
              <w:bottom w:w="50" w:type="dxa"/>
              <w:right w:w="80" w:type="dxa"/>
            </w:tcMar>
            <w:shd w:val="clear" w:color="auto" w:fill="F2F6FB"/>
          </w:tcPr>
          <w:p>
            <w:pPr>
              <w:spacing w:after="0"/>
              <w:jc w:val="right"/>
            </w:pPr>
            <w:r>
              <w:rPr>
                <w:b w:val="0"/>
                <w:i w:val="0"/>
                <w:sz w:val="18"/>
              </w:rPr>
              <w:t>4.6</w:t>
            </w:r>
          </w:p>
        </w:tc>
      </w:tr>
      <w:tr>
        <w:trPr>
          <w:cantSplit w:val="true"/>
        </w:trPr>
        <w:tc>
          <w:tcPr>
            <w:tcW w:type="dxa" w:w="2041"/>
            <w:tcMar>
              <w:top w:w="50" w:type="dxa"/>
              <w:left w:w="80" w:type="dxa"/>
              <w:bottom w:w="50" w:type="dxa"/>
              <w:right w:w="80" w:type="dxa"/>
            </w:tcMar>
          </w:tcPr>
          <w:p>
            <w:pPr>
              <w:spacing w:after="0"/>
            </w:pPr>
            <w:r>
              <w:rPr>
                <w:b w:val="0"/>
                <w:i w:val="0"/>
                <w:sz w:val="18"/>
              </w:rPr>
              <w:t>SwiftTrans</w:t>
            </w:r>
          </w:p>
        </w:tc>
        <w:tc>
          <w:tcPr>
            <w:tcW w:type="dxa" w:w="1361"/>
            <w:tcMar>
              <w:top w:w="50" w:type="dxa"/>
              <w:left w:w="80" w:type="dxa"/>
              <w:bottom w:w="50" w:type="dxa"/>
              <w:right w:w="80" w:type="dxa"/>
            </w:tcMar>
          </w:tcPr>
          <w:p>
            <w:pPr>
              <w:spacing w:after="0"/>
              <w:jc w:val="right"/>
            </w:pPr>
            <w:r>
              <w:rPr>
                <w:b w:val="0"/>
                <w:i w:val="0"/>
                <w:sz w:val="18"/>
              </w:rPr>
              <w:t>3,340</w:t>
            </w:r>
          </w:p>
        </w:tc>
        <w:tc>
          <w:tcPr>
            <w:tcW w:type="dxa" w:w="1361"/>
            <w:tcMar>
              <w:top w:w="50" w:type="dxa"/>
              <w:left w:w="80" w:type="dxa"/>
              <w:bottom w:w="50" w:type="dxa"/>
              <w:right w:w="80" w:type="dxa"/>
            </w:tcMar>
          </w:tcPr>
          <w:p>
            <w:pPr>
              <w:spacing w:after="0"/>
              <w:jc w:val="right"/>
            </w:pPr>
            <w:r>
              <w:rPr>
                <w:b w:val="0"/>
                <w:i w:val="0"/>
                <w:sz w:val="18"/>
              </w:rPr>
              <w:t>71.3%</w:t>
            </w:r>
          </w:p>
        </w:tc>
        <w:tc>
          <w:tcPr>
            <w:tcW w:type="dxa" w:w="1587"/>
            <w:tcMar>
              <w:top w:w="50" w:type="dxa"/>
              <w:left w:w="80" w:type="dxa"/>
              <w:bottom w:w="50" w:type="dxa"/>
              <w:right w:w="80" w:type="dxa"/>
            </w:tcMar>
          </w:tcPr>
          <w:p>
            <w:pPr>
              <w:spacing w:after="0"/>
              <w:jc w:val="right"/>
            </w:pPr>
            <w:r>
              <w:rPr>
                <w:b w:val="0"/>
                <w:i w:val="0"/>
                <w:sz w:val="18"/>
              </w:rPr>
              <w:t>3.73</w:t>
            </w:r>
          </w:p>
        </w:tc>
        <w:tc>
          <w:tcPr>
            <w:tcW w:type="dxa" w:w="1701"/>
            <w:tcMar>
              <w:top w:w="50" w:type="dxa"/>
              <w:left w:w="80" w:type="dxa"/>
              <w:bottom w:w="50" w:type="dxa"/>
              <w:right w:w="80" w:type="dxa"/>
            </w:tcMar>
          </w:tcPr>
          <w:p>
            <w:pPr>
              <w:spacing w:after="0"/>
              <w:jc w:val="right"/>
            </w:pPr>
            <w:r>
              <w:rPr>
                <w:b w:val="0"/>
                <w:i w:val="0"/>
                <w:sz w:val="18"/>
              </w:rPr>
              <w:t>0.577</w:t>
            </w:r>
          </w:p>
        </w:tc>
        <w:tc>
          <w:tcPr>
            <w:tcW w:type="dxa" w:w="1134"/>
            <w:tcMar>
              <w:top w:w="50" w:type="dxa"/>
              <w:left w:w="80" w:type="dxa"/>
              <w:bottom w:w="50" w:type="dxa"/>
              <w:right w:w="80" w:type="dxa"/>
            </w:tcMar>
          </w:tcPr>
          <w:p>
            <w:pPr>
              <w:spacing w:after="0"/>
              <w:jc w:val="right"/>
            </w:pPr>
            <w:r>
              <w:rPr>
                <w:b w:val="0"/>
                <w:i w:val="0"/>
                <w:sz w:val="18"/>
              </w:rPr>
              <w:t>4.61</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8"/>
              </w:rPr>
              <w:t>BlueDart Lite</w:t>
            </w:r>
          </w:p>
        </w:tc>
        <w:tc>
          <w:tcPr>
            <w:tcW w:type="dxa" w:w="1361"/>
            <w:tcMar>
              <w:top w:w="50" w:type="dxa"/>
              <w:left w:w="80" w:type="dxa"/>
              <w:bottom w:w="50" w:type="dxa"/>
              <w:right w:w="80" w:type="dxa"/>
            </w:tcMar>
            <w:shd w:val="clear" w:color="auto" w:fill="F2F6FB"/>
          </w:tcPr>
          <w:p>
            <w:pPr>
              <w:spacing w:after="0"/>
              <w:jc w:val="right"/>
            </w:pPr>
            <w:r>
              <w:rPr>
                <w:b w:val="0"/>
                <w:i w:val="0"/>
                <w:sz w:val="18"/>
              </w:rPr>
              <w:t>2,881</w:t>
            </w:r>
          </w:p>
        </w:tc>
        <w:tc>
          <w:tcPr>
            <w:tcW w:type="dxa" w:w="1361"/>
            <w:tcMar>
              <w:top w:w="50" w:type="dxa"/>
              <w:left w:w="80" w:type="dxa"/>
              <w:bottom w:w="50" w:type="dxa"/>
              <w:right w:w="80" w:type="dxa"/>
            </w:tcMar>
            <w:shd w:val="clear" w:color="auto" w:fill="F2F6FB"/>
          </w:tcPr>
          <w:p>
            <w:pPr>
              <w:spacing w:after="0"/>
              <w:jc w:val="right"/>
            </w:pPr>
            <w:r>
              <w:rPr>
                <w:b w:val="0"/>
                <w:i w:val="0"/>
                <w:sz w:val="18"/>
              </w:rPr>
              <w:t>74.8%</w:t>
            </w:r>
          </w:p>
        </w:tc>
        <w:tc>
          <w:tcPr>
            <w:tcW w:type="dxa" w:w="1587"/>
            <w:tcMar>
              <w:top w:w="50" w:type="dxa"/>
              <w:left w:w="80" w:type="dxa"/>
              <w:bottom w:w="50" w:type="dxa"/>
              <w:right w:w="80" w:type="dxa"/>
            </w:tcMar>
            <w:shd w:val="clear" w:color="auto" w:fill="F2F6FB"/>
          </w:tcPr>
          <w:p>
            <w:pPr>
              <w:spacing w:after="0"/>
              <w:jc w:val="right"/>
            </w:pPr>
            <w:r>
              <w:rPr>
                <w:b w:val="0"/>
                <w:i w:val="0"/>
                <w:sz w:val="18"/>
              </w:rPr>
              <w:t>3.65</w:t>
            </w:r>
          </w:p>
        </w:tc>
        <w:tc>
          <w:tcPr>
            <w:tcW w:type="dxa" w:w="1701"/>
            <w:tcMar>
              <w:top w:w="50" w:type="dxa"/>
              <w:left w:w="80" w:type="dxa"/>
              <w:bottom w:w="50" w:type="dxa"/>
              <w:right w:w="80" w:type="dxa"/>
            </w:tcMar>
            <w:shd w:val="clear" w:color="auto" w:fill="F2F6FB"/>
          </w:tcPr>
          <w:p>
            <w:pPr>
              <w:spacing w:after="0"/>
              <w:jc w:val="right"/>
            </w:pPr>
            <w:r>
              <w:rPr>
                <w:b w:val="0"/>
                <w:i w:val="0"/>
                <w:sz w:val="18"/>
              </w:rPr>
              <w:t>0.644</w:t>
            </w:r>
          </w:p>
        </w:tc>
        <w:tc>
          <w:tcPr>
            <w:tcW w:type="dxa" w:w="1134"/>
            <w:tcMar>
              <w:top w:w="50" w:type="dxa"/>
              <w:left w:w="80" w:type="dxa"/>
              <w:bottom w:w="50" w:type="dxa"/>
              <w:right w:w="80" w:type="dxa"/>
            </w:tcMar>
            <w:shd w:val="clear" w:color="auto" w:fill="F2F6FB"/>
          </w:tcPr>
          <w:p>
            <w:pPr>
              <w:spacing w:after="0"/>
              <w:jc w:val="right"/>
            </w:pPr>
            <w:r>
              <w:rPr>
                <w:b w:val="0"/>
                <w:i w:val="0"/>
                <w:sz w:val="18"/>
              </w:rPr>
              <w:t>4.61</w:t>
            </w:r>
          </w:p>
        </w:tc>
      </w:tr>
    </w:tbl>
    <w:p>
      <w:pPr>
        <w:spacing w:after="40"/>
      </w:pPr>
    </w:p>
    <w:p>
      <w:r>
        <w:rPr>
          <w:b w:val="0"/>
          <w:i w:val="0"/>
        </w:rPr>
        <w:t>RoadRunner has the lowest on-time rate (63.9%) and BlueDart Lite the highest (74.8%). Mode matters too: Express shipments average 2.71 days against 4.63 days for Economy, but their median cost per km is roughly twice as high (INR 0.914 versus INR 0.434).</w:t>
      </w:r>
    </w:p>
    <w:p>
      <w:pPr>
        <w:pStyle w:val="Heading2"/>
      </w:pPr>
      <w:r>
        <w:t>6.2 Clustering: segmenting delivery lanes</w:t>
      </w:r>
    </w:p>
    <w:p>
      <w:r>
        <w:rPr>
          <w:b w:val="0"/>
          <w:i w:val="0"/>
        </w:rPr>
        <w:t xml:space="preserve">The 40 origin-destination lanes were described by five standardised features: average distance, late-delivery rate, median cost per km, average lead time and shipment count. K-Means was run for k = 2 to 7; the silhouette score (Rousseeuw, 1987) and the elbow curve guided the choice. Silhouette values for k = 2, 3, 4 were 0.372, 0.369 and 0.274. k = 2 is too coarse to act on, so the best score among k = 3 to 6 was selected: </w:t>
      </w:r>
      <w:r>
        <w:rPr>
          <w:b/>
          <w:i w:val="0"/>
        </w:rPr>
        <w:t>k = 3</w:t>
      </w:r>
      <w:r>
        <w:rPr>
          <w:b w:val="0"/>
          <w:i w:val="0"/>
        </w:rPr>
        <w:t>.</w:t>
      </w:r>
    </w:p>
    <w:p>
      <w:pPr>
        <w:keepNext/>
        <w:spacing w:after="40"/>
        <w:jc w:val="center"/>
      </w:pPr>
      <w:r>
        <w:drawing>
          <wp:inline xmlns:a="http://schemas.openxmlformats.org/drawingml/2006/main" xmlns:pic="http://schemas.openxmlformats.org/drawingml/2006/picture">
            <wp:extent cx="5303520" cy="2027363"/>
            <wp:docPr id="2" name="Picture 2"/>
            <wp:cNvGraphicFramePr>
              <a:graphicFrameLocks noChangeAspect="1"/>
            </wp:cNvGraphicFramePr>
            <a:graphic>
              <a:graphicData uri="http://schemas.openxmlformats.org/drawingml/2006/picture">
                <pic:pic>
                  <pic:nvPicPr>
                    <pic:cNvPr id="0" name="w1_cluster_selection.png"/>
                    <pic:cNvPicPr/>
                  </pic:nvPicPr>
                  <pic:blipFill>
                    <a:blip r:embed="rId12"/>
                    <a:stretch>
                      <a:fillRect/>
                    </a:stretch>
                  </pic:blipFill>
                  <pic:spPr>
                    <a:xfrm>
                      <a:off x="0" y="0"/>
                      <a:ext cx="5303520" cy="2027363"/>
                    </a:xfrm>
                    <a:prstGeom prst="rect"/>
                  </pic:spPr>
                </pic:pic>
              </a:graphicData>
            </a:graphic>
          </wp:inline>
        </w:drawing>
      </w:r>
    </w:p>
    <w:p>
      <w:pPr>
        <w:pStyle w:val="Cap"/>
      </w:pPr>
      <w:r>
        <w:rPr>
          <w:b/>
          <w:i w:val="0"/>
        </w:rPr>
        <w:t xml:space="preserve">Figure 2. </w:t>
      </w:r>
      <w:r>
        <w:t>Elbow and silhouette diagnostics for K-Means on lane features.</w:t>
      </w:r>
    </w:p>
    <w:p>
      <w:pPr>
        <w:keepNext/>
        <w:spacing w:after="40"/>
        <w:jc w:val="center"/>
      </w:pPr>
      <w:r>
        <w:drawing>
          <wp:inline xmlns:a="http://schemas.openxmlformats.org/drawingml/2006/main" xmlns:pic="http://schemas.openxmlformats.org/drawingml/2006/picture">
            <wp:extent cx="5120640" cy="3243921"/>
            <wp:docPr id="3" name="Picture 3"/>
            <wp:cNvGraphicFramePr>
              <a:graphicFrameLocks noChangeAspect="1"/>
            </wp:cNvGraphicFramePr>
            <a:graphic>
              <a:graphicData uri="http://schemas.openxmlformats.org/drawingml/2006/picture">
                <pic:pic>
                  <pic:nvPicPr>
                    <pic:cNvPr id="0" name="w1_lane_clusters.png"/>
                    <pic:cNvPicPr/>
                  </pic:nvPicPr>
                  <pic:blipFill>
                    <a:blip r:embed="rId13"/>
                    <a:stretch>
                      <a:fillRect/>
                    </a:stretch>
                  </pic:blipFill>
                  <pic:spPr>
                    <a:xfrm>
                      <a:off x="0" y="0"/>
                      <a:ext cx="5120640" cy="3243921"/>
                    </a:xfrm>
                    <a:prstGeom prst="rect"/>
                  </pic:spPr>
                </pic:pic>
              </a:graphicData>
            </a:graphic>
          </wp:inline>
        </w:drawing>
      </w:r>
    </w:p>
    <w:p>
      <w:pPr>
        <w:pStyle w:val="Cap"/>
      </w:pPr>
      <w:r>
        <w:rPr>
          <w:b/>
          <w:i w:val="0"/>
        </w:rPr>
        <w:t xml:space="preserve">Figure 3. </w:t>
      </w:r>
      <w:r>
        <w:t>Lanes projected onto the first two principal components and coloured by cluster.</w:t>
      </w:r>
    </w:p>
    <w:p>
      <w:pPr>
        <w:keepNext/>
        <w:spacing w:after="60"/>
      </w:pPr>
      <w:r>
        <w:rPr>
          <w:b/>
          <w:color w:val="1F3864"/>
          <w:sz w:val="18"/>
        </w:rPr>
        <w:t xml:space="preserve">Table 6. </w:t>
      </w:r>
      <w:r>
        <w:rPr>
          <w:color w:val="52514E"/>
          <w:sz w:val="18"/>
        </w:rPr>
        <w:t>Cluster profiles (means of lane features).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176"/>
        <w:gridCol w:w="1176"/>
        <w:gridCol w:w="1176"/>
        <w:gridCol w:w="1176"/>
        <w:gridCol w:w="1176"/>
        <w:gridCol w:w="1176"/>
        <w:gridCol w:w="1176"/>
        <w:gridCol w:w="1176"/>
      </w:tblGrid>
      <w:tr>
        <w:trPr>
          <w:tblHeader w:val="true"/>
        </w:trPr>
        <w:tc>
          <w:tcPr>
            <w:tcW w:type="dxa" w:w="794"/>
            <w:shd w:val="clear" w:color="auto" w:fill="1F3864"/>
            <w:tcMar>
              <w:top w:w="50" w:type="dxa"/>
              <w:left w:w="80" w:type="dxa"/>
              <w:bottom w:w="50" w:type="dxa"/>
              <w:right w:w="80" w:type="dxa"/>
            </w:tcMar>
          </w:tcPr>
          <w:p>
            <w:pPr>
              <w:spacing w:after="0"/>
            </w:pPr>
            <w:r>
              <w:rPr>
                <w:b/>
                <w:color w:val="FFFFFF"/>
                <w:sz w:val="17"/>
              </w:rPr>
              <w:t>Cluster</w:t>
            </w:r>
          </w:p>
        </w:tc>
        <w:tc>
          <w:tcPr>
            <w:tcW w:type="dxa" w:w="2835"/>
            <w:shd w:val="clear" w:color="auto" w:fill="1F3864"/>
            <w:tcMar>
              <w:top w:w="50" w:type="dxa"/>
              <w:left w:w="80" w:type="dxa"/>
              <w:bottom w:w="50" w:type="dxa"/>
              <w:right w:w="80" w:type="dxa"/>
            </w:tcMar>
          </w:tcPr>
          <w:p>
            <w:pPr>
              <w:spacing w:after="0"/>
            </w:pPr>
            <w:r>
              <w:rPr>
                <w:b/>
                <w:color w:val="FFFFFF"/>
                <w:sz w:val="17"/>
              </w:rPr>
              <w:t>Segment (auto-labelled)</w:t>
            </w:r>
          </w:p>
        </w:tc>
        <w:tc>
          <w:tcPr>
            <w:tcW w:type="dxa" w:w="737"/>
            <w:shd w:val="clear" w:color="auto" w:fill="1F3864"/>
            <w:tcMar>
              <w:top w:w="50" w:type="dxa"/>
              <w:left w:w="80" w:type="dxa"/>
              <w:bottom w:w="50" w:type="dxa"/>
              <w:right w:w="80" w:type="dxa"/>
            </w:tcMar>
          </w:tcPr>
          <w:p>
            <w:pPr>
              <w:spacing w:after="0"/>
            </w:pPr>
            <w:r>
              <w:rPr>
                <w:b/>
                <w:color w:val="FFFFFF"/>
                <w:sz w:val="17"/>
              </w:rPr>
              <w:t>Lanes</w:t>
            </w:r>
          </w:p>
        </w:tc>
        <w:tc>
          <w:tcPr>
            <w:tcW w:type="dxa" w:w="1134"/>
            <w:shd w:val="clear" w:color="auto" w:fill="1F3864"/>
            <w:tcMar>
              <w:top w:w="50" w:type="dxa"/>
              <w:left w:w="80" w:type="dxa"/>
              <w:bottom w:w="50" w:type="dxa"/>
              <w:right w:w="80" w:type="dxa"/>
            </w:tcMar>
          </w:tcPr>
          <w:p>
            <w:pPr>
              <w:spacing w:after="0"/>
            </w:pPr>
            <w:r>
              <w:rPr>
                <w:b/>
                <w:color w:val="FFFFFF"/>
                <w:sz w:val="17"/>
              </w:rPr>
              <w:t>Shipments</w:t>
            </w:r>
          </w:p>
        </w:tc>
        <w:tc>
          <w:tcPr>
            <w:tcW w:type="dxa" w:w="907"/>
            <w:shd w:val="clear" w:color="auto" w:fill="1F3864"/>
            <w:tcMar>
              <w:top w:w="50" w:type="dxa"/>
              <w:left w:w="80" w:type="dxa"/>
              <w:bottom w:w="50" w:type="dxa"/>
              <w:right w:w="80" w:type="dxa"/>
            </w:tcMar>
          </w:tcPr>
          <w:p>
            <w:pPr>
              <w:spacing w:after="0"/>
            </w:pPr>
            <w:r>
              <w:rPr>
                <w:b/>
                <w:color w:val="FFFFFF"/>
                <w:sz w:val="17"/>
              </w:rPr>
              <w:t>Avg km</w:t>
            </w:r>
          </w:p>
        </w:tc>
        <w:tc>
          <w:tcPr>
            <w:tcW w:type="dxa" w:w="964"/>
            <w:shd w:val="clear" w:color="auto" w:fill="1F3864"/>
            <w:tcMar>
              <w:top w:w="50" w:type="dxa"/>
              <w:left w:w="80" w:type="dxa"/>
              <w:bottom w:w="50" w:type="dxa"/>
              <w:right w:w="80" w:type="dxa"/>
            </w:tcMar>
          </w:tcPr>
          <w:p>
            <w:pPr>
              <w:spacing w:after="0"/>
            </w:pPr>
            <w:r>
              <w:rPr>
                <w:b/>
                <w:color w:val="FFFFFF"/>
                <w:sz w:val="17"/>
              </w:rPr>
              <w:t>Late rate</w:t>
            </w:r>
          </w:p>
        </w:tc>
        <w:tc>
          <w:tcPr>
            <w:tcW w:type="dxa" w:w="907"/>
            <w:shd w:val="clear" w:color="auto" w:fill="1F3864"/>
            <w:tcMar>
              <w:top w:w="50" w:type="dxa"/>
              <w:left w:w="80" w:type="dxa"/>
              <w:bottom w:w="50" w:type="dxa"/>
              <w:right w:w="80" w:type="dxa"/>
            </w:tcMar>
          </w:tcPr>
          <w:p>
            <w:pPr>
              <w:spacing w:after="0"/>
            </w:pPr>
            <w:r>
              <w:rPr>
                <w:b/>
                <w:color w:val="FFFFFF"/>
                <w:sz w:val="17"/>
              </w:rPr>
              <w:t>Cost/km</w:t>
            </w:r>
          </w:p>
        </w:tc>
        <w:tc>
          <w:tcPr>
            <w:tcW w:type="dxa" w:w="907"/>
            <w:shd w:val="clear" w:color="auto" w:fill="1F3864"/>
            <w:tcMar>
              <w:top w:w="50" w:type="dxa"/>
              <w:left w:w="80" w:type="dxa"/>
              <w:bottom w:w="50" w:type="dxa"/>
              <w:right w:w="80" w:type="dxa"/>
            </w:tcMar>
          </w:tcPr>
          <w:p>
            <w:pPr>
              <w:spacing w:after="0"/>
            </w:pPr>
            <w:r>
              <w:rPr>
                <w:b/>
                <w:color w:val="FFFFFF"/>
                <w:sz w:val="17"/>
              </w:rPr>
              <w:t>Lead (d)</w:t>
            </w:r>
          </w:p>
        </w:tc>
      </w:tr>
      <w:tr>
        <w:trPr>
          <w:cantSplit w:val="true"/>
        </w:trPr>
        <w:tc>
          <w:tcPr>
            <w:tcW w:type="dxa" w:w="794"/>
            <w:tcMar>
              <w:top w:w="50" w:type="dxa"/>
              <w:left w:w="80" w:type="dxa"/>
              <w:bottom w:w="50" w:type="dxa"/>
              <w:right w:w="80" w:type="dxa"/>
            </w:tcMar>
          </w:tcPr>
          <w:p>
            <w:pPr>
              <w:spacing w:after="0"/>
            </w:pPr>
            <w:r>
              <w:rPr>
                <w:b w:val="0"/>
                <w:i w:val="0"/>
                <w:sz w:val="17"/>
              </w:rPr>
              <w:t>C0</w:t>
            </w:r>
          </w:p>
        </w:tc>
        <w:tc>
          <w:tcPr>
            <w:tcW w:type="dxa" w:w="2835"/>
            <w:tcMar>
              <w:top w:w="50" w:type="dxa"/>
              <w:left w:w="80" w:type="dxa"/>
              <w:bottom w:w="50" w:type="dxa"/>
              <w:right w:w="80" w:type="dxa"/>
            </w:tcMar>
          </w:tcPr>
          <w:p>
            <w:pPr>
              <w:spacing w:after="0"/>
            </w:pPr>
            <w:r>
              <w:rPr>
                <w:b w:val="0"/>
                <w:i w:val="0"/>
                <w:sz w:val="17"/>
              </w:rPr>
              <w:t>long-haul, high-delay, low-cost/km</w:t>
            </w:r>
          </w:p>
        </w:tc>
        <w:tc>
          <w:tcPr>
            <w:tcW w:type="dxa" w:w="737"/>
            <w:tcMar>
              <w:top w:w="50" w:type="dxa"/>
              <w:left w:w="80" w:type="dxa"/>
              <w:bottom w:w="50" w:type="dxa"/>
              <w:right w:w="80" w:type="dxa"/>
            </w:tcMar>
          </w:tcPr>
          <w:p>
            <w:pPr>
              <w:spacing w:after="0"/>
            </w:pPr>
            <w:r>
              <w:rPr>
                <w:b w:val="0"/>
                <w:i w:val="0"/>
                <w:sz w:val="17"/>
              </w:rPr>
              <w:t>5</w:t>
            </w:r>
          </w:p>
        </w:tc>
        <w:tc>
          <w:tcPr>
            <w:tcW w:type="dxa" w:w="1134"/>
            <w:tcMar>
              <w:top w:w="50" w:type="dxa"/>
              <w:left w:w="80" w:type="dxa"/>
              <w:bottom w:w="50" w:type="dxa"/>
              <w:right w:w="80" w:type="dxa"/>
            </w:tcMar>
          </w:tcPr>
          <w:p>
            <w:pPr>
              <w:spacing w:after="0"/>
            </w:pPr>
            <w:r>
              <w:rPr>
                <w:b w:val="0"/>
                <w:i w:val="0"/>
                <w:sz w:val="17"/>
              </w:rPr>
              <w:t>1,064</w:t>
            </w:r>
          </w:p>
        </w:tc>
        <w:tc>
          <w:tcPr>
            <w:tcW w:type="dxa" w:w="907"/>
            <w:tcMar>
              <w:top w:w="50" w:type="dxa"/>
              <w:left w:w="80" w:type="dxa"/>
              <w:bottom w:w="50" w:type="dxa"/>
              <w:right w:w="80" w:type="dxa"/>
            </w:tcMar>
          </w:tcPr>
          <w:p>
            <w:pPr>
              <w:spacing w:after="0"/>
            </w:pPr>
            <w:r>
              <w:rPr>
                <w:b w:val="0"/>
                <w:i w:val="0"/>
                <w:sz w:val="17"/>
              </w:rPr>
              <w:t>2444</w:t>
            </w:r>
          </w:p>
        </w:tc>
        <w:tc>
          <w:tcPr>
            <w:tcW w:type="dxa" w:w="964"/>
            <w:tcMar>
              <w:top w:w="50" w:type="dxa"/>
              <w:left w:w="80" w:type="dxa"/>
              <w:bottom w:w="50" w:type="dxa"/>
              <w:right w:w="80" w:type="dxa"/>
            </w:tcMar>
          </w:tcPr>
          <w:p>
            <w:pPr>
              <w:spacing w:after="0"/>
            </w:pPr>
            <w:r>
              <w:rPr>
                <w:b w:val="0"/>
                <w:i w:val="0"/>
                <w:sz w:val="17"/>
              </w:rPr>
              <w:t>43.5%</w:t>
            </w:r>
          </w:p>
        </w:tc>
        <w:tc>
          <w:tcPr>
            <w:tcW w:type="dxa" w:w="907"/>
            <w:tcMar>
              <w:top w:w="50" w:type="dxa"/>
              <w:left w:w="80" w:type="dxa"/>
              <w:bottom w:w="50" w:type="dxa"/>
              <w:right w:w="80" w:type="dxa"/>
            </w:tcMar>
          </w:tcPr>
          <w:p>
            <w:pPr>
              <w:spacing w:after="0"/>
            </w:pPr>
            <w:r>
              <w:rPr>
                <w:b w:val="0"/>
                <w:i w:val="0"/>
                <w:sz w:val="17"/>
              </w:rPr>
              <w:t>0.541</w:t>
            </w:r>
          </w:p>
        </w:tc>
        <w:tc>
          <w:tcPr>
            <w:tcW w:type="dxa" w:w="907"/>
            <w:tcMar>
              <w:top w:w="50" w:type="dxa"/>
              <w:left w:w="80" w:type="dxa"/>
              <w:bottom w:w="50" w:type="dxa"/>
              <w:right w:w="80" w:type="dxa"/>
            </w:tcMar>
          </w:tcPr>
          <w:p>
            <w:pPr>
              <w:spacing w:after="0"/>
            </w:pPr>
            <w:r>
              <w:rPr>
                <w:b w:val="0"/>
                <w:i w:val="0"/>
                <w:sz w:val="17"/>
              </w:rPr>
              <w:t>6.76</w:t>
            </w:r>
          </w:p>
        </w:tc>
      </w:tr>
      <w:tr>
        <w:trPr>
          <w:cantSplit w:val="true"/>
        </w:trPr>
        <w:tc>
          <w:tcPr>
            <w:tcW w:type="dxa" w:w="794"/>
            <w:tcMar>
              <w:top w:w="50" w:type="dxa"/>
              <w:left w:w="80" w:type="dxa"/>
              <w:bottom w:w="50" w:type="dxa"/>
              <w:right w:w="80" w:type="dxa"/>
            </w:tcMar>
            <w:shd w:val="clear" w:color="auto" w:fill="F2F6FB"/>
          </w:tcPr>
          <w:p>
            <w:pPr>
              <w:spacing w:after="0"/>
            </w:pPr>
            <w:r>
              <w:rPr>
                <w:b w:val="0"/>
                <w:i w:val="0"/>
                <w:sz w:val="17"/>
              </w:rPr>
              <w:t>C1</w:t>
            </w:r>
          </w:p>
        </w:tc>
        <w:tc>
          <w:tcPr>
            <w:tcW w:type="dxa" w:w="2835"/>
            <w:tcMar>
              <w:top w:w="50" w:type="dxa"/>
              <w:left w:w="80" w:type="dxa"/>
              <w:bottom w:w="50" w:type="dxa"/>
              <w:right w:w="80" w:type="dxa"/>
            </w:tcMar>
            <w:shd w:val="clear" w:color="auto" w:fill="F2F6FB"/>
          </w:tcPr>
          <w:p>
            <w:pPr>
              <w:spacing w:after="0"/>
            </w:pPr>
            <w:r>
              <w:rPr>
                <w:b w:val="0"/>
                <w:i w:val="0"/>
                <w:sz w:val="17"/>
              </w:rPr>
              <w:t>mid-range / balanced</w:t>
            </w:r>
          </w:p>
        </w:tc>
        <w:tc>
          <w:tcPr>
            <w:tcW w:type="dxa" w:w="737"/>
            <w:tcMar>
              <w:top w:w="50" w:type="dxa"/>
              <w:left w:w="80" w:type="dxa"/>
              <w:bottom w:w="50" w:type="dxa"/>
              <w:right w:w="80" w:type="dxa"/>
            </w:tcMar>
            <w:shd w:val="clear" w:color="auto" w:fill="F2F6FB"/>
          </w:tcPr>
          <w:p>
            <w:pPr>
              <w:spacing w:after="0"/>
            </w:pPr>
            <w:r>
              <w:rPr>
                <w:b w:val="0"/>
                <w:i w:val="0"/>
                <w:sz w:val="17"/>
              </w:rPr>
              <w:t>22</w:t>
            </w:r>
          </w:p>
        </w:tc>
        <w:tc>
          <w:tcPr>
            <w:tcW w:type="dxa" w:w="1134"/>
            <w:tcMar>
              <w:top w:w="50" w:type="dxa"/>
              <w:left w:w="80" w:type="dxa"/>
              <w:bottom w:w="50" w:type="dxa"/>
              <w:right w:w="80" w:type="dxa"/>
            </w:tcMar>
            <w:shd w:val="clear" w:color="auto" w:fill="F2F6FB"/>
          </w:tcPr>
          <w:p>
            <w:pPr>
              <w:spacing w:after="0"/>
            </w:pPr>
            <w:r>
              <w:rPr>
                <w:b w:val="0"/>
                <w:i w:val="0"/>
                <w:sz w:val="17"/>
              </w:rPr>
              <w:t>4,469</w:t>
            </w:r>
          </w:p>
        </w:tc>
        <w:tc>
          <w:tcPr>
            <w:tcW w:type="dxa" w:w="907"/>
            <w:tcMar>
              <w:top w:w="50" w:type="dxa"/>
              <w:left w:w="80" w:type="dxa"/>
              <w:bottom w:w="50" w:type="dxa"/>
              <w:right w:w="80" w:type="dxa"/>
            </w:tcMar>
            <w:shd w:val="clear" w:color="auto" w:fill="F2F6FB"/>
          </w:tcPr>
          <w:p>
            <w:pPr>
              <w:spacing w:after="0"/>
            </w:pPr>
            <w:r>
              <w:rPr>
                <w:b w:val="0"/>
                <w:i w:val="0"/>
                <w:sz w:val="17"/>
              </w:rPr>
              <w:t>1539</w:t>
            </w:r>
          </w:p>
        </w:tc>
        <w:tc>
          <w:tcPr>
            <w:tcW w:type="dxa" w:w="964"/>
            <w:tcMar>
              <w:top w:w="50" w:type="dxa"/>
              <w:left w:w="80" w:type="dxa"/>
              <w:bottom w:w="50" w:type="dxa"/>
              <w:right w:w="80" w:type="dxa"/>
            </w:tcMar>
            <w:shd w:val="clear" w:color="auto" w:fill="F2F6FB"/>
          </w:tcPr>
          <w:p>
            <w:pPr>
              <w:spacing w:after="0"/>
            </w:pPr>
            <w:r>
              <w:rPr>
                <w:b w:val="0"/>
                <w:i w:val="0"/>
                <w:sz w:val="17"/>
              </w:rPr>
              <w:t>24.8%</w:t>
            </w:r>
          </w:p>
        </w:tc>
        <w:tc>
          <w:tcPr>
            <w:tcW w:type="dxa" w:w="907"/>
            <w:tcMar>
              <w:top w:w="50" w:type="dxa"/>
              <w:left w:w="80" w:type="dxa"/>
              <w:bottom w:w="50" w:type="dxa"/>
              <w:right w:w="80" w:type="dxa"/>
            </w:tcMar>
            <w:shd w:val="clear" w:color="auto" w:fill="F2F6FB"/>
          </w:tcPr>
          <w:p>
            <w:pPr>
              <w:spacing w:after="0"/>
            </w:pPr>
            <w:r>
              <w:rPr>
                <w:b w:val="0"/>
                <w:i w:val="0"/>
                <w:sz w:val="17"/>
              </w:rPr>
              <w:t>0.55</w:t>
            </w:r>
          </w:p>
        </w:tc>
        <w:tc>
          <w:tcPr>
            <w:tcW w:type="dxa" w:w="907"/>
            <w:tcMar>
              <w:top w:w="50" w:type="dxa"/>
              <w:left w:w="80" w:type="dxa"/>
              <w:bottom w:w="50" w:type="dxa"/>
              <w:right w:w="80" w:type="dxa"/>
            </w:tcMar>
            <w:shd w:val="clear" w:color="auto" w:fill="F2F6FB"/>
          </w:tcPr>
          <w:p>
            <w:pPr>
              <w:spacing w:after="0"/>
            </w:pPr>
            <w:r>
              <w:rPr>
                <w:b w:val="0"/>
                <w:i w:val="0"/>
                <w:sz w:val="17"/>
              </w:rPr>
              <w:t>4.47</w:t>
            </w:r>
          </w:p>
        </w:tc>
      </w:tr>
      <w:tr>
        <w:trPr>
          <w:cantSplit w:val="true"/>
        </w:trPr>
        <w:tc>
          <w:tcPr>
            <w:tcW w:type="dxa" w:w="794"/>
            <w:tcMar>
              <w:top w:w="50" w:type="dxa"/>
              <w:left w:w="80" w:type="dxa"/>
              <w:bottom w:w="50" w:type="dxa"/>
              <w:right w:w="80" w:type="dxa"/>
            </w:tcMar>
          </w:tcPr>
          <w:p>
            <w:pPr>
              <w:spacing w:after="0"/>
            </w:pPr>
            <w:r>
              <w:rPr>
                <w:b w:val="0"/>
                <w:i w:val="0"/>
                <w:sz w:val="17"/>
              </w:rPr>
              <w:t>C2</w:t>
            </w:r>
          </w:p>
        </w:tc>
        <w:tc>
          <w:tcPr>
            <w:tcW w:type="dxa" w:w="2835"/>
            <w:tcMar>
              <w:top w:w="50" w:type="dxa"/>
              <w:left w:w="80" w:type="dxa"/>
              <w:bottom w:w="50" w:type="dxa"/>
              <w:right w:w="80" w:type="dxa"/>
            </w:tcMar>
          </w:tcPr>
          <w:p>
            <w:pPr>
              <w:spacing w:after="0"/>
            </w:pPr>
            <w:r>
              <w:rPr>
                <w:b w:val="0"/>
                <w:i w:val="0"/>
                <w:sz w:val="17"/>
              </w:rPr>
              <w:t>short-haul, high-cost/km, high-volume</w:t>
            </w:r>
          </w:p>
        </w:tc>
        <w:tc>
          <w:tcPr>
            <w:tcW w:type="dxa" w:w="737"/>
            <w:tcMar>
              <w:top w:w="50" w:type="dxa"/>
              <w:left w:w="80" w:type="dxa"/>
              <w:bottom w:w="50" w:type="dxa"/>
              <w:right w:w="80" w:type="dxa"/>
            </w:tcMar>
          </w:tcPr>
          <w:p>
            <w:pPr>
              <w:spacing w:after="0"/>
            </w:pPr>
            <w:r>
              <w:rPr>
                <w:b w:val="0"/>
                <w:i w:val="0"/>
                <w:sz w:val="17"/>
              </w:rPr>
              <w:t>13</w:t>
            </w:r>
          </w:p>
        </w:tc>
        <w:tc>
          <w:tcPr>
            <w:tcW w:type="dxa" w:w="1134"/>
            <w:tcMar>
              <w:top w:w="50" w:type="dxa"/>
              <w:left w:w="80" w:type="dxa"/>
              <w:bottom w:w="50" w:type="dxa"/>
              <w:right w:w="80" w:type="dxa"/>
            </w:tcMar>
          </w:tcPr>
          <w:p>
            <w:pPr>
              <w:spacing w:after="0"/>
            </w:pPr>
            <w:r>
              <w:rPr>
                <w:b w:val="0"/>
                <w:i w:val="0"/>
                <w:sz w:val="17"/>
              </w:rPr>
              <w:t>4,928</w:t>
            </w:r>
          </w:p>
        </w:tc>
        <w:tc>
          <w:tcPr>
            <w:tcW w:type="dxa" w:w="907"/>
            <w:tcMar>
              <w:top w:w="50" w:type="dxa"/>
              <w:left w:w="80" w:type="dxa"/>
              <w:bottom w:w="50" w:type="dxa"/>
              <w:right w:w="80" w:type="dxa"/>
            </w:tcMar>
          </w:tcPr>
          <w:p>
            <w:pPr>
              <w:spacing w:after="0"/>
            </w:pPr>
            <w:r>
              <w:rPr>
                <w:b w:val="0"/>
                <w:i w:val="0"/>
                <w:sz w:val="17"/>
              </w:rPr>
              <w:t>650</w:t>
            </w:r>
          </w:p>
        </w:tc>
        <w:tc>
          <w:tcPr>
            <w:tcW w:type="dxa" w:w="964"/>
            <w:tcMar>
              <w:top w:w="50" w:type="dxa"/>
              <w:left w:w="80" w:type="dxa"/>
              <w:bottom w:w="50" w:type="dxa"/>
              <w:right w:w="80" w:type="dxa"/>
            </w:tcMar>
          </w:tcPr>
          <w:p>
            <w:pPr>
              <w:spacing w:after="0"/>
            </w:pPr>
            <w:r>
              <w:rPr>
                <w:b w:val="0"/>
                <w:i w:val="0"/>
                <w:sz w:val="17"/>
              </w:rPr>
              <w:t>31.1%</w:t>
            </w:r>
          </w:p>
        </w:tc>
        <w:tc>
          <w:tcPr>
            <w:tcW w:type="dxa" w:w="907"/>
            <w:tcMar>
              <w:top w:w="50" w:type="dxa"/>
              <w:left w:w="80" w:type="dxa"/>
              <w:bottom w:w="50" w:type="dxa"/>
              <w:right w:w="80" w:type="dxa"/>
            </w:tcMar>
          </w:tcPr>
          <w:p>
            <w:pPr>
              <w:spacing w:after="0"/>
            </w:pPr>
            <w:r>
              <w:rPr>
                <w:b w:val="0"/>
                <w:i w:val="0"/>
                <w:sz w:val="17"/>
              </w:rPr>
              <w:t>0.596</w:t>
            </w:r>
          </w:p>
        </w:tc>
        <w:tc>
          <w:tcPr>
            <w:tcW w:type="dxa" w:w="907"/>
            <w:tcMar>
              <w:top w:w="50" w:type="dxa"/>
              <w:left w:w="80" w:type="dxa"/>
              <w:bottom w:w="50" w:type="dxa"/>
              <w:right w:w="80" w:type="dxa"/>
            </w:tcMar>
          </w:tcPr>
          <w:p>
            <w:pPr>
              <w:spacing w:after="0"/>
            </w:pPr>
            <w:r>
              <w:rPr>
                <w:b w:val="0"/>
                <w:i w:val="0"/>
                <w:sz w:val="17"/>
              </w:rPr>
              <w:t>2.56</w:t>
            </w:r>
          </w:p>
        </w:tc>
      </w:tr>
    </w:tbl>
    <w:p>
      <w:pPr>
        <w:spacing w:after="40"/>
      </w:pPr>
    </w:p>
    <w:p>
      <w:pPr>
        <w:pStyle w:val="Heading3"/>
      </w:pPr>
      <w:r>
        <w:t>Interpretation of the segments</w:t>
      </w:r>
    </w:p>
    <w:p>
      <w:pPr>
        <w:pStyle w:val="ListBullet"/>
      </w:pPr>
      <w:r>
        <w:rPr>
          <w:b/>
          <w:i w:val="0"/>
        </w:rPr>
        <w:t>C0 - long-haul, high-delay, low-cost/km</w:t>
      </w:r>
      <w:r>
        <w:rPr>
          <w:b w:val="0"/>
          <w:i w:val="0"/>
        </w:rPr>
        <w:t xml:space="preserve"> (5 lanes, 1,064 shipments). Average distance 2444 km, late rate 43.5%, lead time 6.76 days, median cost per km INR 0.541. Largest lanes: Delhi -&gt; Guwahati, Pune -&gt; Guwahati, Mumbai -&gt; Guwahati. These are the lanes that the network most needs to fix. They run over long distances where transit variability accumulates and the promise window is the same kind of rule used elsewhere. Recommended actions: promise longer and lane-specific windows, assign the most reliable carriers, and pre-position stock in the nearest warehouse.</w:t>
      </w:r>
    </w:p>
    <w:p>
      <w:pPr>
        <w:pStyle w:val="ListBullet"/>
      </w:pPr>
      <w:r>
        <w:rPr>
          <w:b/>
          <w:i w:val="0"/>
        </w:rPr>
        <w:t>C1 - mid-range / balanced</w:t>
      </w:r>
      <w:r>
        <w:rPr>
          <w:b w:val="0"/>
          <w:i w:val="0"/>
        </w:rPr>
        <w:t xml:space="preserve"> (22 lanes, 4,469 shipments). Average distance 1539 km, late rate 24.8%, lead time 4.47 days, median cost per km INR 0.55. Largest lanes: Pune -&gt; Chennai, Pune -&gt; Bhubaneswar, Pune -&gt; Jaipur. This is the core of the network. Performance is close to the average, so the opportunity is incremental: carrier mix tuning and better promise dates rather than structural change.</w:t>
      </w:r>
    </w:p>
    <w:p>
      <w:pPr>
        <w:pStyle w:val="ListBullet"/>
      </w:pPr>
      <w:r>
        <w:rPr>
          <w:b/>
          <w:i w:val="0"/>
        </w:rPr>
        <w:t>C2 - short-haul, high-cost/km, high-volume</w:t>
      </w:r>
      <w:r>
        <w:rPr>
          <w:b w:val="0"/>
          <w:i w:val="0"/>
        </w:rPr>
        <w:t xml:space="preserve"> (13 lanes, 4,928 shipments). Average distance 650 km, late rate 31.1%, lead time 2.56 days, median cost per km INR 0.596. Largest lanes: Pune -&gt; Hyderabad, Pune -&gt; Ahmedabad, Bengaluru -&gt; Chennai. Cost per km is highest here because fixed handling and pickup charges are spread over few kilometres. These lanes carry the most shipments, so small savings per parcel matter. Recommended actions: consolidate pickups, negotiate flat-rate short-haul tariffs and keep Economy as the default service.</w:t>
      </w:r>
    </w:p>
    <w:p>
      <w:r>
        <w:rPr>
          <w:b w:val="0"/>
          <w:i w:val="0"/>
        </w:rPr>
        <w:t>Two cautions apply. First, K-Means is distance based, so features were standardised; otherwise distance in km would dominate. Second, with only 40 lanes the clusters are descriptive rather than statistically strong (the silhouette is moderate), so they are used to organise policy discussion, not as a final classification.</w:t>
      </w:r>
    </w:p>
    <w:p>
      <w:pPr>
        <w:pStyle w:val="Heading2"/>
      </w:pPr>
      <w:r>
        <w:t>6.3 Regression preview: cost versus distance</w:t>
      </w:r>
    </w:p>
    <w:p>
      <w:pPr>
        <w:keepNext/>
        <w:spacing w:after="40"/>
        <w:jc w:val="center"/>
      </w:pPr>
      <w:r>
        <w:drawing>
          <wp:inline xmlns:a="http://schemas.openxmlformats.org/drawingml/2006/main" xmlns:pic="http://schemas.openxmlformats.org/drawingml/2006/picture">
            <wp:extent cx="4937760" cy="2710445"/>
            <wp:docPr id="4" name="Picture 4"/>
            <wp:cNvGraphicFramePr>
              <a:graphicFrameLocks noChangeAspect="1"/>
            </wp:cNvGraphicFramePr>
            <a:graphic>
              <a:graphicData uri="http://schemas.openxmlformats.org/drawingml/2006/picture">
                <pic:pic>
                  <pic:nvPicPr>
                    <pic:cNvPr id="0" name="w1_cost_regression_preview.png"/>
                    <pic:cNvPicPr/>
                  </pic:nvPicPr>
                  <pic:blipFill>
                    <a:blip r:embed="rId14"/>
                    <a:stretch>
                      <a:fillRect/>
                    </a:stretch>
                  </pic:blipFill>
                  <pic:spPr>
                    <a:xfrm>
                      <a:off x="0" y="0"/>
                      <a:ext cx="4937760" cy="2710445"/>
                    </a:xfrm>
                    <a:prstGeom prst="rect"/>
                  </pic:spPr>
                </pic:pic>
              </a:graphicData>
            </a:graphic>
          </wp:inline>
        </w:drawing>
      </w:r>
    </w:p>
    <w:p>
      <w:pPr>
        <w:pStyle w:val="Cap"/>
      </w:pPr>
      <w:r>
        <w:rPr>
          <w:b/>
          <w:i w:val="0"/>
        </w:rPr>
        <w:t xml:space="preserve">Figure 4. </w:t>
      </w:r>
      <w:r>
        <w:t>Simple linear regression of delivery cost on distance (top 1% of costs trimmed for this preview).</w:t>
      </w:r>
    </w:p>
    <w:p>
      <w:r>
        <w:rPr>
          <w:b w:val="0"/>
          <w:i w:val="0"/>
        </w:rPr>
        <w:t xml:space="preserve">A first fit gives cost = INR 43 + INR 0.563 per km (R-squared 0.67); adding weight and a weight-distance interaction lifts R-squared only to 0.67, so the remaining variation comes from service level, carrier and peak-season surcharges, which Week 4 includes. Importantly, </w:t>
      </w:r>
      <w:r>
        <w:rPr>
          <w:b/>
          <w:i w:val="0"/>
        </w:rPr>
        <w:t>before trimming the top 1% of costs the same fit has an R-squared of only 0.07</w:t>
      </w:r>
      <w:r>
        <w:rPr>
          <w:b w:val="0"/>
          <w:i w:val="0"/>
        </w:rPr>
        <w:t>: a few extreme billing values destroy the apparent relationship. This is the strongest argument for the data-cleaning work planned in Week 2.</w:t>
      </w:r>
    </w:p>
    <w:p>
      <w:pPr>
        <w:pStyle w:val="Heading2"/>
      </w:pPr>
      <w:r>
        <w:t>6.4 Inventory policy: EOQ and safety stock</w:t>
      </w:r>
    </w:p>
    <w:p>
      <w:r>
        <w:rPr>
          <w:b w:val="0"/>
          <w:i w:val="0"/>
        </w:rPr>
        <w:t>For each warehouse, daily shipment counts were treated as demand. Using an ordering cost of INR 4,000 per order, a holding cost of 22% of unit value per year, a supplier lead time of 5 days (standard deviation 1.2 days) and a 95% service level (z = 1.645), the formulas are: EOQ = sqrt(2DS / H); safety stock = z x sqrt(L x sigma_d^2 + d^2 x sigma_L^2); reorder point = d x L + safety stock. These are illustrative parameters to be replaced with real supplier terms.</w:t>
      </w:r>
    </w:p>
    <w:p>
      <w:pPr>
        <w:keepNext/>
        <w:spacing w:after="60"/>
      </w:pPr>
      <w:r>
        <w:rPr>
          <w:b/>
          <w:color w:val="1F3864"/>
          <w:sz w:val="18"/>
        </w:rPr>
        <w:t xml:space="preserve">Table 7. </w:t>
      </w:r>
      <w:r>
        <w:rPr>
          <w:color w:val="52514E"/>
          <w:sz w:val="18"/>
        </w:rPr>
        <w:t>Illustrative inventory policy per warehouse.</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345"/>
        <w:gridCol w:w="1345"/>
        <w:gridCol w:w="1345"/>
        <w:gridCol w:w="1345"/>
        <w:gridCol w:w="1345"/>
        <w:gridCol w:w="1345"/>
        <w:gridCol w:w="1345"/>
      </w:tblGrid>
      <w:tr>
        <w:trPr>
          <w:tblHeader w:val="true"/>
        </w:trPr>
        <w:tc>
          <w:tcPr>
            <w:tcW w:type="dxa" w:w="1587"/>
            <w:shd w:val="clear" w:color="auto" w:fill="1F3864"/>
            <w:tcMar>
              <w:top w:w="50" w:type="dxa"/>
              <w:left w:w="80" w:type="dxa"/>
              <w:bottom w:w="50" w:type="dxa"/>
              <w:right w:w="80" w:type="dxa"/>
            </w:tcMar>
          </w:tcPr>
          <w:p>
            <w:pPr>
              <w:spacing w:after="0"/>
            </w:pPr>
            <w:r>
              <w:rPr>
                <w:b/>
                <w:color w:val="FFFFFF"/>
                <w:sz w:val="18"/>
              </w:rPr>
              <w:t>Warehouse</w:t>
            </w:r>
          </w:p>
        </w:tc>
        <w:tc>
          <w:tcPr>
            <w:tcW w:type="dxa" w:w="1417"/>
            <w:shd w:val="clear" w:color="auto" w:fill="1F3864"/>
            <w:tcMar>
              <w:top w:w="50" w:type="dxa"/>
              <w:left w:w="80" w:type="dxa"/>
              <w:bottom w:w="50" w:type="dxa"/>
              <w:right w:w="80" w:type="dxa"/>
            </w:tcMar>
          </w:tcPr>
          <w:p>
            <w:pPr>
              <w:spacing w:after="0"/>
              <w:jc w:val="right"/>
            </w:pPr>
            <w:r>
              <w:rPr>
                <w:b/>
                <w:color w:val="FFFFFF"/>
                <w:sz w:val="18"/>
              </w:rPr>
              <w:t>Mean daily units</w:t>
            </w:r>
          </w:p>
        </w:tc>
        <w:tc>
          <w:tcPr>
            <w:tcW w:type="dxa" w:w="1020"/>
            <w:shd w:val="clear" w:color="auto" w:fill="1F3864"/>
            <w:tcMar>
              <w:top w:w="50" w:type="dxa"/>
              <w:left w:w="80" w:type="dxa"/>
              <w:bottom w:w="50" w:type="dxa"/>
              <w:right w:w="80" w:type="dxa"/>
            </w:tcMar>
          </w:tcPr>
          <w:p>
            <w:pPr>
              <w:spacing w:after="0"/>
              <w:jc w:val="right"/>
            </w:pPr>
            <w:r>
              <w:rPr>
                <w:b/>
                <w:color w:val="FFFFFF"/>
                <w:sz w:val="18"/>
              </w:rPr>
              <w:t>Std dev</w:t>
            </w:r>
          </w:p>
        </w:tc>
        <w:tc>
          <w:tcPr>
            <w:tcW w:type="dxa" w:w="1361"/>
            <w:shd w:val="clear" w:color="auto" w:fill="1F3864"/>
            <w:tcMar>
              <w:top w:w="50" w:type="dxa"/>
              <w:left w:w="80" w:type="dxa"/>
              <w:bottom w:w="50" w:type="dxa"/>
              <w:right w:w="80" w:type="dxa"/>
            </w:tcMar>
          </w:tcPr>
          <w:p>
            <w:pPr>
              <w:spacing w:after="0"/>
              <w:jc w:val="right"/>
            </w:pPr>
            <w:r>
              <w:rPr>
                <w:b/>
                <w:color w:val="FFFFFF"/>
                <w:sz w:val="18"/>
              </w:rPr>
              <w:t>Annual units</w:t>
            </w:r>
          </w:p>
        </w:tc>
        <w:tc>
          <w:tcPr>
            <w:tcW w:type="dxa" w:w="1361"/>
            <w:shd w:val="clear" w:color="auto" w:fill="1F3864"/>
            <w:tcMar>
              <w:top w:w="50" w:type="dxa"/>
              <w:left w:w="80" w:type="dxa"/>
              <w:bottom w:w="50" w:type="dxa"/>
              <w:right w:w="80" w:type="dxa"/>
            </w:tcMar>
          </w:tcPr>
          <w:p>
            <w:pPr>
              <w:spacing w:after="0"/>
              <w:jc w:val="right"/>
            </w:pPr>
            <w:r>
              <w:rPr>
                <w:b/>
                <w:color w:val="FFFFFF"/>
                <w:sz w:val="18"/>
              </w:rPr>
              <w:t>EOQ (units)</w:t>
            </w:r>
          </w:p>
        </w:tc>
        <w:tc>
          <w:tcPr>
            <w:tcW w:type="dxa" w:w="1361"/>
            <w:shd w:val="clear" w:color="auto" w:fill="1F3864"/>
            <w:tcMar>
              <w:top w:w="50" w:type="dxa"/>
              <w:left w:w="80" w:type="dxa"/>
              <w:bottom w:w="50" w:type="dxa"/>
              <w:right w:w="80" w:type="dxa"/>
            </w:tcMar>
          </w:tcPr>
          <w:p>
            <w:pPr>
              <w:spacing w:after="0"/>
              <w:jc w:val="right"/>
            </w:pPr>
            <w:r>
              <w:rPr>
                <w:b/>
                <w:color w:val="FFFFFF"/>
                <w:sz w:val="18"/>
              </w:rPr>
              <w:t>Safety stock</w:t>
            </w:r>
          </w:p>
        </w:tc>
        <w:tc>
          <w:tcPr>
            <w:tcW w:type="dxa" w:w="1417"/>
            <w:shd w:val="clear" w:color="auto" w:fill="1F3864"/>
            <w:tcMar>
              <w:top w:w="50" w:type="dxa"/>
              <w:left w:w="80" w:type="dxa"/>
              <w:bottom w:w="50" w:type="dxa"/>
              <w:right w:w="80" w:type="dxa"/>
            </w:tcMar>
          </w:tcPr>
          <w:p>
            <w:pPr>
              <w:spacing w:after="0"/>
              <w:jc w:val="right"/>
            </w:pPr>
            <w:r>
              <w:rPr>
                <w:b/>
                <w:color w:val="FFFFFF"/>
                <w:sz w:val="18"/>
              </w:rPr>
              <w:t>Reorder point</w:t>
            </w:r>
          </w:p>
        </w:tc>
      </w:tr>
      <w:tr>
        <w:trPr>
          <w:cantSplit w:val="true"/>
        </w:trPr>
        <w:tc>
          <w:tcPr>
            <w:tcW w:type="dxa" w:w="1587"/>
            <w:tcMar>
              <w:top w:w="50" w:type="dxa"/>
              <w:left w:w="80" w:type="dxa"/>
              <w:bottom w:w="50" w:type="dxa"/>
              <w:right w:w="80" w:type="dxa"/>
            </w:tcMar>
          </w:tcPr>
          <w:p>
            <w:pPr>
              <w:spacing w:after="0"/>
            </w:pPr>
            <w:r>
              <w:rPr>
                <w:b w:val="0"/>
                <w:i w:val="0"/>
                <w:sz w:val="18"/>
              </w:rPr>
              <w:t>Bengaluru</w:t>
            </w:r>
          </w:p>
        </w:tc>
        <w:tc>
          <w:tcPr>
            <w:tcW w:type="dxa" w:w="1417"/>
            <w:tcMar>
              <w:top w:w="50" w:type="dxa"/>
              <w:left w:w="80" w:type="dxa"/>
              <w:bottom w:w="50" w:type="dxa"/>
              <w:right w:w="80" w:type="dxa"/>
            </w:tcMar>
          </w:tcPr>
          <w:p>
            <w:pPr>
              <w:spacing w:after="0"/>
              <w:jc w:val="right"/>
            </w:pPr>
            <w:r>
              <w:rPr>
                <w:b w:val="0"/>
                <w:i w:val="0"/>
                <w:sz w:val="18"/>
              </w:rPr>
              <w:t>4.9</w:t>
            </w:r>
          </w:p>
        </w:tc>
        <w:tc>
          <w:tcPr>
            <w:tcW w:type="dxa" w:w="1020"/>
            <w:tcMar>
              <w:top w:w="50" w:type="dxa"/>
              <w:left w:w="80" w:type="dxa"/>
              <w:bottom w:w="50" w:type="dxa"/>
              <w:right w:w="80" w:type="dxa"/>
            </w:tcMar>
          </w:tcPr>
          <w:p>
            <w:pPr>
              <w:spacing w:after="0"/>
              <w:jc w:val="right"/>
            </w:pPr>
            <w:r>
              <w:rPr>
                <w:b w:val="0"/>
                <w:i w:val="0"/>
                <w:sz w:val="18"/>
              </w:rPr>
              <w:t>2.4</w:t>
            </w:r>
          </w:p>
        </w:tc>
        <w:tc>
          <w:tcPr>
            <w:tcW w:type="dxa" w:w="1361"/>
            <w:tcMar>
              <w:top w:w="50" w:type="dxa"/>
              <w:left w:w="80" w:type="dxa"/>
              <w:bottom w:w="50" w:type="dxa"/>
              <w:right w:w="80" w:type="dxa"/>
            </w:tcMar>
          </w:tcPr>
          <w:p>
            <w:pPr>
              <w:spacing w:after="0"/>
              <w:jc w:val="right"/>
            </w:pPr>
            <w:r>
              <w:rPr>
                <w:b w:val="0"/>
                <w:i w:val="0"/>
                <w:sz w:val="18"/>
              </w:rPr>
              <w:t>1,803</w:t>
            </w:r>
          </w:p>
        </w:tc>
        <w:tc>
          <w:tcPr>
            <w:tcW w:type="dxa" w:w="1361"/>
            <w:tcMar>
              <w:top w:w="50" w:type="dxa"/>
              <w:left w:w="80" w:type="dxa"/>
              <w:bottom w:w="50" w:type="dxa"/>
              <w:right w:w="80" w:type="dxa"/>
            </w:tcMar>
          </w:tcPr>
          <w:p>
            <w:pPr>
              <w:spacing w:after="0"/>
              <w:jc w:val="right"/>
            </w:pPr>
            <w:r>
              <w:rPr>
                <w:b w:val="0"/>
                <w:i w:val="0"/>
                <w:sz w:val="18"/>
              </w:rPr>
              <w:t>106</w:t>
            </w:r>
          </w:p>
        </w:tc>
        <w:tc>
          <w:tcPr>
            <w:tcW w:type="dxa" w:w="1361"/>
            <w:tcMar>
              <w:top w:w="50" w:type="dxa"/>
              <w:left w:w="80" w:type="dxa"/>
              <w:bottom w:w="50" w:type="dxa"/>
              <w:right w:w="80" w:type="dxa"/>
            </w:tcMar>
          </w:tcPr>
          <w:p>
            <w:pPr>
              <w:spacing w:after="0"/>
              <w:jc w:val="right"/>
            </w:pPr>
            <w:r>
              <w:rPr>
                <w:b w:val="0"/>
                <w:i w:val="0"/>
                <w:sz w:val="18"/>
              </w:rPr>
              <w:t>13</w:t>
            </w:r>
          </w:p>
        </w:tc>
        <w:tc>
          <w:tcPr>
            <w:tcW w:type="dxa" w:w="1417"/>
            <w:tcMar>
              <w:top w:w="50" w:type="dxa"/>
              <w:left w:w="80" w:type="dxa"/>
              <w:bottom w:w="50" w:type="dxa"/>
              <w:right w:w="80" w:type="dxa"/>
            </w:tcMar>
          </w:tcPr>
          <w:p>
            <w:pPr>
              <w:spacing w:after="0"/>
              <w:jc w:val="right"/>
            </w:pPr>
            <w:r>
              <w:rPr>
                <w:b w:val="0"/>
                <w:i w:val="0"/>
                <w:sz w:val="18"/>
              </w:rPr>
              <w:t>38</w:t>
            </w:r>
          </w:p>
        </w:tc>
      </w:tr>
      <w:tr>
        <w:trPr>
          <w:cantSplit w:val="true"/>
        </w:trPr>
        <w:tc>
          <w:tcPr>
            <w:tcW w:type="dxa" w:w="1587"/>
            <w:tcMar>
              <w:top w:w="50" w:type="dxa"/>
              <w:left w:w="80" w:type="dxa"/>
              <w:bottom w:w="50" w:type="dxa"/>
              <w:right w:w="80" w:type="dxa"/>
            </w:tcMar>
            <w:shd w:val="clear" w:color="auto" w:fill="F2F6FB"/>
          </w:tcPr>
          <w:p>
            <w:pPr>
              <w:spacing w:after="0"/>
            </w:pPr>
            <w:r>
              <w:rPr>
                <w:b w:val="0"/>
                <w:i w:val="0"/>
                <w:sz w:val="18"/>
              </w:rPr>
              <w:t>Delhi</w:t>
            </w:r>
          </w:p>
        </w:tc>
        <w:tc>
          <w:tcPr>
            <w:tcW w:type="dxa" w:w="1417"/>
            <w:tcMar>
              <w:top w:w="50" w:type="dxa"/>
              <w:left w:w="80" w:type="dxa"/>
              <w:bottom w:w="50" w:type="dxa"/>
              <w:right w:w="80" w:type="dxa"/>
            </w:tcMar>
            <w:shd w:val="clear" w:color="auto" w:fill="F2F6FB"/>
          </w:tcPr>
          <w:p>
            <w:pPr>
              <w:spacing w:after="0"/>
              <w:jc w:val="right"/>
            </w:pPr>
            <w:r>
              <w:rPr>
                <w:b w:val="0"/>
                <w:i w:val="0"/>
                <w:sz w:val="18"/>
              </w:rPr>
              <w:t>6.0</w:t>
            </w:r>
          </w:p>
        </w:tc>
        <w:tc>
          <w:tcPr>
            <w:tcW w:type="dxa" w:w="1020"/>
            <w:tcMar>
              <w:top w:w="50" w:type="dxa"/>
              <w:left w:w="80" w:type="dxa"/>
              <w:bottom w:w="50" w:type="dxa"/>
              <w:right w:w="80" w:type="dxa"/>
            </w:tcMar>
            <w:shd w:val="clear" w:color="auto" w:fill="F2F6FB"/>
          </w:tcPr>
          <w:p>
            <w:pPr>
              <w:spacing w:after="0"/>
              <w:jc w:val="right"/>
            </w:pPr>
            <w:r>
              <w:rPr>
                <w:b w:val="0"/>
                <w:i w:val="0"/>
                <w:sz w:val="18"/>
              </w:rPr>
              <w:t>2.8</w:t>
            </w:r>
          </w:p>
        </w:tc>
        <w:tc>
          <w:tcPr>
            <w:tcW w:type="dxa" w:w="1361"/>
            <w:tcMar>
              <w:top w:w="50" w:type="dxa"/>
              <w:left w:w="80" w:type="dxa"/>
              <w:bottom w:w="50" w:type="dxa"/>
              <w:right w:w="80" w:type="dxa"/>
            </w:tcMar>
            <w:shd w:val="clear" w:color="auto" w:fill="F2F6FB"/>
          </w:tcPr>
          <w:p>
            <w:pPr>
              <w:spacing w:after="0"/>
              <w:jc w:val="right"/>
            </w:pPr>
            <w:r>
              <w:rPr>
                <w:b w:val="0"/>
                <w:i w:val="0"/>
                <w:sz w:val="18"/>
              </w:rPr>
              <w:t>2,191</w:t>
            </w:r>
          </w:p>
        </w:tc>
        <w:tc>
          <w:tcPr>
            <w:tcW w:type="dxa" w:w="1361"/>
            <w:tcMar>
              <w:top w:w="50" w:type="dxa"/>
              <w:left w:w="80" w:type="dxa"/>
              <w:bottom w:w="50" w:type="dxa"/>
              <w:right w:w="80" w:type="dxa"/>
            </w:tcMar>
            <w:shd w:val="clear" w:color="auto" w:fill="F2F6FB"/>
          </w:tcPr>
          <w:p>
            <w:pPr>
              <w:spacing w:after="0"/>
              <w:jc w:val="right"/>
            </w:pPr>
            <w:r>
              <w:rPr>
                <w:b w:val="0"/>
                <w:i w:val="0"/>
                <w:sz w:val="18"/>
              </w:rPr>
              <w:t>120</w:t>
            </w:r>
          </w:p>
        </w:tc>
        <w:tc>
          <w:tcPr>
            <w:tcW w:type="dxa" w:w="1361"/>
            <w:tcMar>
              <w:top w:w="50" w:type="dxa"/>
              <w:left w:w="80" w:type="dxa"/>
              <w:bottom w:w="50" w:type="dxa"/>
              <w:right w:w="80" w:type="dxa"/>
            </w:tcMar>
            <w:shd w:val="clear" w:color="auto" w:fill="F2F6FB"/>
          </w:tcPr>
          <w:p>
            <w:pPr>
              <w:spacing w:after="0"/>
              <w:jc w:val="right"/>
            </w:pPr>
            <w:r>
              <w:rPr>
                <w:b w:val="0"/>
                <w:i w:val="0"/>
                <w:sz w:val="18"/>
              </w:rPr>
              <w:t>16</w:t>
            </w:r>
          </w:p>
        </w:tc>
        <w:tc>
          <w:tcPr>
            <w:tcW w:type="dxa" w:w="1417"/>
            <w:tcMar>
              <w:top w:w="50" w:type="dxa"/>
              <w:left w:w="80" w:type="dxa"/>
              <w:bottom w:w="50" w:type="dxa"/>
              <w:right w:w="80" w:type="dxa"/>
            </w:tcMar>
            <w:shd w:val="clear" w:color="auto" w:fill="F2F6FB"/>
          </w:tcPr>
          <w:p>
            <w:pPr>
              <w:spacing w:after="0"/>
              <w:jc w:val="right"/>
            </w:pPr>
            <w:r>
              <w:rPr>
                <w:b w:val="0"/>
                <w:i w:val="0"/>
                <w:sz w:val="18"/>
              </w:rPr>
              <w:t>46</w:t>
            </w:r>
          </w:p>
        </w:tc>
      </w:tr>
      <w:tr>
        <w:trPr>
          <w:cantSplit w:val="true"/>
        </w:trPr>
        <w:tc>
          <w:tcPr>
            <w:tcW w:type="dxa" w:w="1587"/>
            <w:tcMar>
              <w:top w:w="50" w:type="dxa"/>
              <w:left w:w="80" w:type="dxa"/>
              <w:bottom w:w="50" w:type="dxa"/>
              <w:right w:w="80" w:type="dxa"/>
            </w:tcMar>
          </w:tcPr>
          <w:p>
            <w:pPr>
              <w:spacing w:after="0"/>
            </w:pPr>
            <w:r>
              <w:rPr>
                <w:b w:val="0"/>
                <w:i w:val="0"/>
                <w:sz w:val="18"/>
              </w:rPr>
              <w:t>Kolkata</w:t>
            </w:r>
          </w:p>
        </w:tc>
        <w:tc>
          <w:tcPr>
            <w:tcW w:type="dxa" w:w="1417"/>
            <w:tcMar>
              <w:top w:w="50" w:type="dxa"/>
              <w:left w:w="80" w:type="dxa"/>
              <w:bottom w:w="50" w:type="dxa"/>
              <w:right w:w="80" w:type="dxa"/>
            </w:tcMar>
          </w:tcPr>
          <w:p>
            <w:pPr>
              <w:spacing w:after="0"/>
              <w:jc w:val="right"/>
            </w:pPr>
            <w:r>
              <w:rPr>
                <w:b w:val="0"/>
                <w:i w:val="0"/>
                <w:sz w:val="18"/>
              </w:rPr>
              <w:t>3.4</w:t>
            </w:r>
          </w:p>
        </w:tc>
        <w:tc>
          <w:tcPr>
            <w:tcW w:type="dxa" w:w="1020"/>
            <w:tcMar>
              <w:top w:w="50" w:type="dxa"/>
              <w:left w:w="80" w:type="dxa"/>
              <w:bottom w:w="50" w:type="dxa"/>
              <w:right w:w="80" w:type="dxa"/>
            </w:tcMar>
          </w:tcPr>
          <w:p>
            <w:pPr>
              <w:spacing w:after="0"/>
              <w:jc w:val="right"/>
            </w:pPr>
            <w:r>
              <w:rPr>
                <w:b w:val="0"/>
                <w:i w:val="0"/>
                <w:sz w:val="18"/>
              </w:rPr>
              <w:t>1.8</w:t>
            </w:r>
          </w:p>
        </w:tc>
        <w:tc>
          <w:tcPr>
            <w:tcW w:type="dxa" w:w="1361"/>
            <w:tcMar>
              <w:top w:w="50" w:type="dxa"/>
              <w:left w:w="80" w:type="dxa"/>
              <w:bottom w:w="50" w:type="dxa"/>
              <w:right w:w="80" w:type="dxa"/>
            </w:tcMar>
          </w:tcPr>
          <w:p>
            <w:pPr>
              <w:spacing w:after="0"/>
              <w:jc w:val="right"/>
            </w:pPr>
            <w:r>
              <w:rPr>
                <w:b w:val="0"/>
                <w:i w:val="0"/>
                <w:sz w:val="18"/>
              </w:rPr>
              <w:t>1,237</w:t>
            </w:r>
          </w:p>
        </w:tc>
        <w:tc>
          <w:tcPr>
            <w:tcW w:type="dxa" w:w="1361"/>
            <w:tcMar>
              <w:top w:w="50" w:type="dxa"/>
              <w:left w:w="80" w:type="dxa"/>
              <w:bottom w:w="50" w:type="dxa"/>
              <w:right w:w="80" w:type="dxa"/>
            </w:tcMar>
          </w:tcPr>
          <w:p>
            <w:pPr>
              <w:spacing w:after="0"/>
              <w:jc w:val="right"/>
            </w:pPr>
            <w:r>
              <w:rPr>
                <w:b w:val="0"/>
                <w:i w:val="0"/>
                <w:sz w:val="18"/>
              </w:rPr>
              <w:t>87</w:t>
            </w:r>
          </w:p>
        </w:tc>
        <w:tc>
          <w:tcPr>
            <w:tcW w:type="dxa" w:w="1361"/>
            <w:tcMar>
              <w:top w:w="50" w:type="dxa"/>
              <w:left w:w="80" w:type="dxa"/>
              <w:bottom w:w="50" w:type="dxa"/>
              <w:right w:w="80" w:type="dxa"/>
            </w:tcMar>
          </w:tcPr>
          <w:p>
            <w:pPr>
              <w:spacing w:after="0"/>
              <w:jc w:val="right"/>
            </w:pPr>
            <w:r>
              <w:rPr>
                <w:b w:val="0"/>
                <w:i w:val="0"/>
                <w:sz w:val="18"/>
              </w:rPr>
              <w:t>9</w:t>
            </w:r>
          </w:p>
        </w:tc>
        <w:tc>
          <w:tcPr>
            <w:tcW w:type="dxa" w:w="1417"/>
            <w:tcMar>
              <w:top w:w="50" w:type="dxa"/>
              <w:left w:w="80" w:type="dxa"/>
              <w:bottom w:w="50" w:type="dxa"/>
              <w:right w:w="80" w:type="dxa"/>
            </w:tcMar>
          </w:tcPr>
          <w:p>
            <w:pPr>
              <w:spacing w:after="0"/>
              <w:jc w:val="right"/>
            </w:pPr>
            <w:r>
              <w:rPr>
                <w:b w:val="0"/>
                <w:i w:val="0"/>
                <w:sz w:val="18"/>
              </w:rPr>
              <w:t>26</w:t>
            </w:r>
          </w:p>
        </w:tc>
      </w:tr>
      <w:tr>
        <w:trPr>
          <w:cantSplit w:val="true"/>
        </w:trPr>
        <w:tc>
          <w:tcPr>
            <w:tcW w:type="dxa" w:w="1587"/>
            <w:tcMar>
              <w:top w:w="50" w:type="dxa"/>
              <w:left w:w="80" w:type="dxa"/>
              <w:bottom w:w="50" w:type="dxa"/>
              <w:right w:w="80" w:type="dxa"/>
            </w:tcMar>
            <w:shd w:val="clear" w:color="auto" w:fill="F2F6FB"/>
          </w:tcPr>
          <w:p>
            <w:pPr>
              <w:spacing w:after="0"/>
            </w:pPr>
            <w:r>
              <w:rPr>
                <w:b w:val="0"/>
                <w:i w:val="0"/>
                <w:sz w:val="18"/>
              </w:rPr>
              <w:t>Mumbai</w:t>
            </w:r>
          </w:p>
        </w:tc>
        <w:tc>
          <w:tcPr>
            <w:tcW w:type="dxa" w:w="1417"/>
            <w:tcMar>
              <w:top w:w="50" w:type="dxa"/>
              <w:left w:w="80" w:type="dxa"/>
              <w:bottom w:w="50" w:type="dxa"/>
              <w:right w:w="80" w:type="dxa"/>
            </w:tcMar>
            <w:shd w:val="clear" w:color="auto" w:fill="F2F6FB"/>
          </w:tcPr>
          <w:p>
            <w:pPr>
              <w:spacing w:after="0"/>
              <w:jc w:val="right"/>
            </w:pPr>
            <w:r>
              <w:rPr>
                <w:b w:val="0"/>
                <w:i w:val="0"/>
                <w:sz w:val="18"/>
              </w:rPr>
              <w:t>5.9</w:t>
            </w:r>
          </w:p>
        </w:tc>
        <w:tc>
          <w:tcPr>
            <w:tcW w:type="dxa" w:w="1020"/>
            <w:tcMar>
              <w:top w:w="50" w:type="dxa"/>
              <w:left w:w="80" w:type="dxa"/>
              <w:bottom w:w="50" w:type="dxa"/>
              <w:right w:w="80" w:type="dxa"/>
            </w:tcMar>
            <w:shd w:val="clear" w:color="auto" w:fill="F2F6FB"/>
          </w:tcPr>
          <w:p>
            <w:pPr>
              <w:spacing w:after="0"/>
              <w:jc w:val="right"/>
            </w:pPr>
            <w:r>
              <w:rPr>
                <w:b w:val="0"/>
                <w:i w:val="0"/>
                <w:sz w:val="18"/>
              </w:rPr>
              <w:t>2.8</w:t>
            </w:r>
          </w:p>
        </w:tc>
        <w:tc>
          <w:tcPr>
            <w:tcW w:type="dxa" w:w="1361"/>
            <w:tcMar>
              <w:top w:w="50" w:type="dxa"/>
              <w:left w:w="80" w:type="dxa"/>
              <w:bottom w:w="50" w:type="dxa"/>
              <w:right w:w="80" w:type="dxa"/>
            </w:tcMar>
            <w:shd w:val="clear" w:color="auto" w:fill="F2F6FB"/>
          </w:tcPr>
          <w:p>
            <w:pPr>
              <w:spacing w:after="0"/>
              <w:jc w:val="right"/>
            </w:pPr>
            <w:r>
              <w:rPr>
                <w:b w:val="0"/>
                <w:i w:val="0"/>
                <w:sz w:val="18"/>
              </w:rPr>
              <w:t>2,161</w:t>
            </w:r>
          </w:p>
        </w:tc>
        <w:tc>
          <w:tcPr>
            <w:tcW w:type="dxa" w:w="1361"/>
            <w:tcMar>
              <w:top w:w="50" w:type="dxa"/>
              <w:left w:w="80" w:type="dxa"/>
              <w:bottom w:w="50" w:type="dxa"/>
              <w:right w:w="80" w:type="dxa"/>
            </w:tcMar>
            <w:shd w:val="clear" w:color="auto" w:fill="F2F6FB"/>
          </w:tcPr>
          <w:p>
            <w:pPr>
              <w:spacing w:after="0"/>
              <w:jc w:val="right"/>
            </w:pPr>
            <w:r>
              <w:rPr>
                <w:b w:val="0"/>
                <w:i w:val="0"/>
                <w:sz w:val="18"/>
              </w:rPr>
              <w:t>119</w:t>
            </w:r>
          </w:p>
        </w:tc>
        <w:tc>
          <w:tcPr>
            <w:tcW w:type="dxa" w:w="1361"/>
            <w:tcMar>
              <w:top w:w="50" w:type="dxa"/>
              <w:left w:w="80" w:type="dxa"/>
              <w:bottom w:w="50" w:type="dxa"/>
              <w:right w:w="80" w:type="dxa"/>
            </w:tcMar>
            <w:shd w:val="clear" w:color="auto" w:fill="F2F6FB"/>
          </w:tcPr>
          <w:p>
            <w:pPr>
              <w:spacing w:after="0"/>
              <w:jc w:val="right"/>
            </w:pPr>
            <w:r>
              <w:rPr>
                <w:b w:val="0"/>
                <w:i w:val="0"/>
                <w:sz w:val="18"/>
              </w:rPr>
              <w:t>16</w:t>
            </w:r>
          </w:p>
        </w:tc>
        <w:tc>
          <w:tcPr>
            <w:tcW w:type="dxa" w:w="1417"/>
            <w:tcMar>
              <w:top w:w="50" w:type="dxa"/>
              <w:left w:w="80" w:type="dxa"/>
              <w:bottom w:w="50" w:type="dxa"/>
              <w:right w:w="80" w:type="dxa"/>
            </w:tcMar>
            <w:shd w:val="clear" w:color="auto" w:fill="F2F6FB"/>
          </w:tcPr>
          <w:p>
            <w:pPr>
              <w:spacing w:after="0"/>
              <w:jc w:val="right"/>
            </w:pPr>
            <w:r>
              <w:rPr>
                <w:b w:val="0"/>
                <w:i w:val="0"/>
                <w:sz w:val="18"/>
              </w:rPr>
              <w:t>45</w:t>
            </w:r>
          </w:p>
        </w:tc>
      </w:tr>
      <w:tr>
        <w:trPr>
          <w:cantSplit w:val="true"/>
        </w:trPr>
        <w:tc>
          <w:tcPr>
            <w:tcW w:type="dxa" w:w="1587"/>
            <w:tcMar>
              <w:top w:w="50" w:type="dxa"/>
              <w:left w:w="80" w:type="dxa"/>
              <w:bottom w:w="50" w:type="dxa"/>
              <w:right w:w="80" w:type="dxa"/>
            </w:tcMar>
          </w:tcPr>
          <w:p>
            <w:pPr>
              <w:spacing w:after="0"/>
            </w:pPr>
            <w:r>
              <w:rPr>
                <w:b w:val="0"/>
                <w:i w:val="0"/>
                <w:sz w:val="18"/>
              </w:rPr>
              <w:t>Pune</w:t>
            </w:r>
          </w:p>
        </w:tc>
        <w:tc>
          <w:tcPr>
            <w:tcW w:type="dxa" w:w="1417"/>
            <w:tcMar>
              <w:top w:w="50" w:type="dxa"/>
              <w:left w:w="80" w:type="dxa"/>
              <w:bottom w:w="50" w:type="dxa"/>
              <w:right w:w="80" w:type="dxa"/>
            </w:tcMar>
          </w:tcPr>
          <w:p>
            <w:pPr>
              <w:spacing w:after="0"/>
              <w:jc w:val="right"/>
            </w:pPr>
            <w:r>
              <w:rPr>
                <w:b w:val="0"/>
                <w:i w:val="0"/>
                <w:sz w:val="18"/>
              </w:rPr>
              <w:t>8.7</w:t>
            </w:r>
          </w:p>
        </w:tc>
        <w:tc>
          <w:tcPr>
            <w:tcW w:type="dxa" w:w="1020"/>
            <w:tcMar>
              <w:top w:w="50" w:type="dxa"/>
              <w:left w:w="80" w:type="dxa"/>
              <w:bottom w:w="50" w:type="dxa"/>
              <w:right w:w="80" w:type="dxa"/>
            </w:tcMar>
          </w:tcPr>
          <w:p>
            <w:pPr>
              <w:spacing w:after="0"/>
              <w:jc w:val="right"/>
            </w:pPr>
            <w:r>
              <w:rPr>
                <w:b w:val="0"/>
                <w:i w:val="0"/>
                <w:sz w:val="18"/>
              </w:rPr>
              <w:t>3.5</w:t>
            </w:r>
          </w:p>
        </w:tc>
        <w:tc>
          <w:tcPr>
            <w:tcW w:type="dxa" w:w="1361"/>
            <w:tcMar>
              <w:top w:w="50" w:type="dxa"/>
              <w:left w:w="80" w:type="dxa"/>
              <w:bottom w:w="50" w:type="dxa"/>
              <w:right w:w="80" w:type="dxa"/>
            </w:tcMar>
          </w:tcPr>
          <w:p>
            <w:pPr>
              <w:spacing w:after="0"/>
              <w:jc w:val="right"/>
            </w:pPr>
            <w:r>
              <w:rPr>
                <w:b w:val="0"/>
                <w:i w:val="0"/>
                <w:sz w:val="18"/>
              </w:rPr>
              <w:t>3,166</w:t>
            </w:r>
          </w:p>
        </w:tc>
        <w:tc>
          <w:tcPr>
            <w:tcW w:type="dxa" w:w="1361"/>
            <w:tcMar>
              <w:top w:w="50" w:type="dxa"/>
              <w:left w:w="80" w:type="dxa"/>
              <w:bottom w:w="50" w:type="dxa"/>
              <w:right w:w="80" w:type="dxa"/>
            </w:tcMar>
          </w:tcPr>
          <w:p>
            <w:pPr>
              <w:spacing w:after="0"/>
              <w:jc w:val="right"/>
            </w:pPr>
            <w:r>
              <w:rPr>
                <w:b w:val="0"/>
                <w:i w:val="0"/>
                <w:sz w:val="18"/>
              </w:rPr>
              <w:t>137</w:t>
            </w:r>
          </w:p>
        </w:tc>
        <w:tc>
          <w:tcPr>
            <w:tcW w:type="dxa" w:w="1361"/>
            <w:tcMar>
              <w:top w:w="50" w:type="dxa"/>
              <w:left w:w="80" w:type="dxa"/>
              <w:bottom w:w="50" w:type="dxa"/>
              <w:right w:w="80" w:type="dxa"/>
            </w:tcMar>
          </w:tcPr>
          <w:p>
            <w:pPr>
              <w:spacing w:after="0"/>
              <w:jc w:val="right"/>
            </w:pPr>
            <w:r>
              <w:rPr>
                <w:b w:val="0"/>
                <w:i w:val="0"/>
                <w:sz w:val="18"/>
              </w:rPr>
              <w:t>21</w:t>
            </w:r>
          </w:p>
        </w:tc>
        <w:tc>
          <w:tcPr>
            <w:tcW w:type="dxa" w:w="1417"/>
            <w:tcMar>
              <w:top w:w="50" w:type="dxa"/>
              <w:left w:w="80" w:type="dxa"/>
              <w:bottom w:w="50" w:type="dxa"/>
              <w:right w:w="80" w:type="dxa"/>
            </w:tcMar>
          </w:tcPr>
          <w:p>
            <w:pPr>
              <w:spacing w:after="0"/>
              <w:jc w:val="right"/>
            </w:pPr>
            <w:r>
              <w:rPr>
                <w:b w:val="0"/>
                <w:i w:val="0"/>
                <w:sz w:val="18"/>
              </w:rPr>
              <w:t>65</w:t>
            </w:r>
          </w:p>
        </w:tc>
      </w:tr>
    </w:tbl>
    <w:p>
      <w:pPr>
        <w:spacing w:after="40"/>
      </w:pPr>
    </w:p>
    <w:p>
      <w:pPr>
        <w:pStyle w:val="Heading1"/>
      </w:pPr>
      <w:r>
        <w:t>7. Strategic roadmap</w:t>
      </w:r>
    </w:p>
    <w:p>
      <w:r>
        <w:rPr>
          <w:b w:val="0"/>
          <w:i w:val="0"/>
        </w:rPr>
        <w:t>The analysis follows six linked stages, each feeding the next. Weeks 2 to 4 of the internship implement stages 2 to 5; stage 6 describes how the work would be operationalised.</w:t>
      </w:r>
    </w:p>
    <w:p>
      <w:pPr>
        <w:keepNext/>
        <w:spacing w:after="40"/>
        <w:jc w:val="center"/>
      </w:pPr>
      <w:r>
        <w:drawing>
          <wp:inline xmlns:a="http://schemas.openxmlformats.org/drawingml/2006/main" xmlns:pic="http://schemas.openxmlformats.org/drawingml/2006/picture">
            <wp:extent cx="5760720" cy="1338349"/>
            <wp:docPr id="5" name="Picture 5"/>
            <wp:cNvGraphicFramePr>
              <a:graphicFrameLocks noChangeAspect="1"/>
            </wp:cNvGraphicFramePr>
            <a:graphic>
              <a:graphicData uri="http://schemas.openxmlformats.org/drawingml/2006/picture">
                <pic:pic>
                  <pic:nvPicPr>
                    <pic:cNvPr id="0" name="w1_roadmap.png"/>
                    <pic:cNvPicPr/>
                  </pic:nvPicPr>
                  <pic:blipFill>
                    <a:blip r:embed="rId15"/>
                    <a:stretch>
                      <a:fillRect/>
                    </a:stretch>
                  </pic:blipFill>
                  <pic:spPr>
                    <a:xfrm>
                      <a:off x="0" y="0"/>
                      <a:ext cx="5760720" cy="1338349"/>
                    </a:xfrm>
                    <a:prstGeom prst="rect"/>
                  </pic:spPr>
                </pic:pic>
              </a:graphicData>
            </a:graphic>
          </wp:inline>
        </w:drawing>
      </w:r>
    </w:p>
    <w:p>
      <w:pPr>
        <w:pStyle w:val="Cap"/>
      </w:pPr>
      <w:r>
        <w:rPr>
          <w:b/>
          <w:i w:val="0"/>
        </w:rPr>
        <w:t xml:space="preserve">Figure 5. </w:t>
      </w:r>
      <w:r>
        <w:t>End-to-end analytical process flow.</w:t>
      </w:r>
    </w:p>
    <w:p>
      <w:pPr>
        <w:keepNext/>
        <w:spacing w:after="60"/>
      </w:pPr>
      <w:r>
        <w:rPr>
          <w:b/>
          <w:color w:val="1F3864"/>
          <w:sz w:val="18"/>
        </w:rPr>
        <w:t xml:space="preserve">Table 8. </w:t>
      </w:r>
      <w:r>
        <w:rPr>
          <w:color w:val="52514E"/>
          <w:sz w:val="18"/>
        </w:rPr>
        <w:t>Roadmap stages, tools and outputs.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53"/>
        <w:gridCol w:w="2353"/>
        <w:gridCol w:w="2353"/>
        <w:gridCol w:w="2353"/>
      </w:tblGrid>
      <w:tr>
        <w:trPr>
          <w:tblHeader w:val="true"/>
        </w:trPr>
        <w:tc>
          <w:tcPr>
            <w:tcW w:type="dxa" w:w="1361"/>
            <w:shd w:val="clear" w:color="auto" w:fill="1F3864"/>
            <w:tcMar>
              <w:top w:w="50" w:type="dxa"/>
              <w:left w:w="80" w:type="dxa"/>
              <w:bottom w:w="50" w:type="dxa"/>
              <w:right w:w="80" w:type="dxa"/>
            </w:tcMar>
          </w:tcPr>
          <w:p>
            <w:pPr>
              <w:spacing w:after="0"/>
            </w:pPr>
            <w:r>
              <w:rPr>
                <w:b/>
                <w:color w:val="FFFFFF"/>
                <w:sz w:val="17"/>
              </w:rPr>
              <w:t>Stage</w:t>
            </w:r>
          </w:p>
        </w:tc>
        <w:tc>
          <w:tcPr>
            <w:tcW w:type="dxa" w:w="3969"/>
            <w:shd w:val="clear" w:color="auto" w:fill="1F3864"/>
            <w:tcMar>
              <w:top w:w="50" w:type="dxa"/>
              <w:left w:w="80" w:type="dxa"/>
              <w:bottom w:w="50" w:type="dxa"/>
              <w:right w:w="80" w:type="dxa"/>
            </w:tcMar>
          </w:tcPr>
          <w:p>
            <w:pPr>
              <w:spacing w:after="0"/>
            </w:pPr>
            <w:r>
              <w:rPr>
                <w:b/>
                <w:color w:val="FFFFFF"/>
                <w:sz w:val="17"/>
              </w:rPr>
              <w:t>Key activities</w:t>
            </w:r>
          </w:p>
        </w:tc>
        <w:tc>
          <w:tcPr>
            <w:tcW w:type="dxa" w:w="2041"/>
            <w:shd w:val="clear" w:color="auto" w:fill="1F3864"/>
            <w:tcMar>
              <w:top w:w="50" w:type="dxa"/>
              <w:left w:w="80" w:type="dxa"/>
              <w:bottom w:w="50" w:type="dxa"/>
              <w:right w:w="80" w:type="dxa"/>
            </w:tcMar>
          </w:tcPr>
          <w:p>
            <w:pPr>
              <w:spacing w:after="0"/>
            </w:pPr>
            <w:r>
              <w:rPr>
                <w:b/>
                <w:color w:val="FFFFFF"/>
                <w:sz w:val="17"/>
              </w:rPr>
              <w:t>Python tools</w:t>
            </w:r>
          </w:p>
        </w:tc>
        <w:tc>
          <w:tcPr>
            <w:tcW w:type="dxa" w:w="2154"/>
            <w:shd w:val="clear" w:color="auto" w:fill="1F3864"/>
            <w:tcMar>
              <w:top w:w="50" w:type="dxa"/>
              <w:left w:w="80" w:type="dxa"/>
              <w:bottom w:w="50" w:type="dxa"/>
              <w:right w:w="80" w:type="dxa"/>
            </w:tcMar>
          </w:tcPr>
          <w:p>
            <w:pPr>
              <w:spacing w:after="0"/>
            </w:pPr>
            <w:r>
              <w:rPr>
                <w:b/>
                <w:color w:val="FFFFFF"/>
                <w:sz w:val="17"/>
              </w:rPr>
              <w:t>Output</w:t>
            </w:r>
          </w:p>
        </w:tc>
      </w:tr>
      <w:tr>
        <w:trPr>
          <w:cantSplit w:val="true"/>
        </w:trPr>
        <w:tc>
          <w:tcPr>
            <w:tcW w:type="dxa" w:w="1361"/>
            <w:tcMar>
              <w:top w:w="50" w:type="dxa"/>
              <w:left w:w="80" w:type="dxa"/>
              <w:bottom w:w="50" w:type="dxa"/>
              <w:right w:w="80" w:type="dxa"/>
            </w:tcMar>
          </w:tcPr>
          <w:p>
            <w:pPr>
              <w:spacing w:after="0"/>
            </w:pPr>
            <w:r>
              <w:rPr>
                <w:b w:val="0"/>
                <w:i w:val="0"/>
                <w:sz w:val="17"/>
              </w:rPr>
              <w:t>1 Collect</w:t>
            </w:r>
          </w:p>
        </w:tc>
        <w:tc>
          <w:tcPr>
            <w:tcW w:type="dxa" w:w="3969"/>
            <w:tcMar>
              <w:top w:w="50" w:type="dxa"/>
              <w:left w:w="80" w:type="dxa"/>
              <w:bottom w:w="50" w:type="dxa"/>
              <w:right w:w="80" w:type="dxa"/>
            </w:tcMar>
          </w:tcPr>
          <w:p>
            <w:pPr>
              <w:spacing w:after="0"/>
            </w:pPr>
            <w:r>
              <w:rPr>
                <w:b w:val="0"/>
                <w:i w:val="0"/>
                <w:sz w:val="17"/>
              </w:rPr>
              <w:t>Export shipment, carrier, warehouse and weather data; define one row per shipment; version the raw file</w:t>
            </w:r>
          </w:p>
        </w:tc>
        <w:tc>
          <w:tcPr>
            <w:tcW w:type="dxa" w:w="2041"/>
            <w:tcMar>
              <w:top w:w="50" w:type="dxa"/>
              <w:left w:w="80" w:type="dxa"/>
              <w:bottom w:w="50" w:type="dxa"/>
              <w:right w:w="80" w:type="dxa"/>
            </w:tcMar>
          </w:tcPr>
          <w:p>
            <w:pPr>
              <w:spacing w:after="0"/>
            </w:pPr>
            <w:r>
              <w:rPr>
                <w:b w:val="0"/>
                <w:i w:val="0"/>
                <w:sz w:val="17"/>
              </w:rPr>
              <w:t>pandas, requests, SQL connectors</w:t>
            </w:r>
          </w:p>
        </w:tc>
        <w:tc>
          <w:tcPr>
            <w:tcW w:type="dxa" w:w="2154"/>
            <w:tcMar>
              <w:top w:w="50" w:type="dxa"/>
              <w:left w:w="80" w:type="dxa"/>
              <w:bottom w:w="50" w:type="dxa"/>
              <w:right w:w="80" w:type="dxa"/>
            </w:tcMar>
          </w:tcPr>
          <w:p>
            <w:pPr>
              <w:spacing w:after="0"/>
            </w:pPr>
            <w:r>
              <w:rPr>
                <w:b w:val="0"/>
                <w:i w:val="0"/>
                <w:sz w:val="17"/>
              </w:rPr>
              <w:t>Raw feed + data dictionary</w:t>
            </w:r>
          </w:p>
        </w:tc>
      </w:tr>
      <w:tr>
        <w:trPr>
          <w:cantSplit w:val="true"/>
        </w:trPr>
        <w:tc>
          <w:tcPr>
            <w:tcW w:type="dxa" w:w="1361"/>
            <w:tcMar>
              <w:top w:w="50" w:type="dxa"/>
              <w:left w:w="80" w:type="dxa"/>
              <w:bottom w:w="50" w:type="dxa"/>
              <w:right w:w="80" w:type="dxa"/>
            </w:tcMar>
            <w:shd w:val="clear" w:color="auto" w:fill="F2F6FB"/>
          </w:tcPr>
          <w:p>
            <w:pPr>
              <w:spacing w:after="0"/>
            </w:pPr>
            <w:r>
              <w:rPr>
                <w:b w:val="0"/>
                <w:i w:val="0"/>
                <w:sz w:val="17"/>
              </w:rPr>
              <w:t>2 Clean</w:t>
            </w:r>
          </w:p>
        </w:tc>
        <w:tc>
          <w:tcPr>
            <w:tcW w:type="dxa" w:w="3969"/>
            <w:tcMar>
              <w:top w:w="50" w:type="dxa"/>
              <w:left w:w="80" w:type="dxa"/>
              <w:bottom w:w="50" w:type="dxa"/>
              <w:right w:w="80" w:type="dxa"/>
            </w:tcMar>
            <w:shd w:val="clear" w:color="auto" w:fill="F2F6FB"/>
          </w:tcPr>
          <w:p>
            <w:pPr>
              <w:spacing w:after="0"/>
            </w:pPr>
            <w:r>
              <w:rPr>
                <w:b w:val="0"/>
                <w:i w:val="0"/>
                <w:sz w:val="17"/>
              </w:rPr>
              <w:t>Remove duplicates, standardise labels, parse dates, treat invalid values and outliers, impute missing values, engineer features, scale</w:t>
            </w:r>
          </w:p>
        </w:tc>
        <w:tc>
          <w:tcPr>
            <w:tcW w:type="dxa" w:w="2041"/>
            <w:tcMar>
              <w:top w:w="50" w:type="dxa"/>
              <w:left w:w="80" w:type="dxa"/>
              <w:bottom w:w="50" w:type="dxa"/>
              <w:right w:w="80" w:type="dxa"/>
            </w:tcMar>
            <w:shd w:val="clear" w:color="auto" w:fill="F2F6FB"/>
          </w:tcPr>
          <w:p>
            <w:pPr>
              <w:spacing w:after="0"/>
            </w:pPr>
            <w:r>
              <w:rPr>
                <w:b w:val="0"/>
                <w:i w:val="0"/>
                <w:sz w:val="17"/>
              </w:rPr>
              <w:t>pandas, NumPy, scikit-learn</w:t>
            </w:r>
          </w:p>
        </w:tc>
        <w:tc>
          <w:tcPr>
            <w:tcW w:type="dxa" w:w="2154"/>
            <w:tcMar>
              <w:top w:w="50" w:type="dxa"/>
              <w:left w:w="80" w:type="dxa"/>
              <w:bottom w:w="50" w:type="dxa"/>
              <w:right w:w="80" w:type="dxa"/>
            </w:tcMar>
            <w:shd w:val="clear" w:color="auto" w:fill="F2F6FB"/>
          </w:tcPr>
          <w:p>
            <w:pPr>
              <w:spacing w:after="0"/>
            </w:pPr>
            <w:r>
              <w:rPr>
                <w:b w:val="0"/>
                <w:i w:val="0"/>
                <w:sz w:val="17"/>
              </w:rPr>
              <w:t>Analysis-ready table + cleaning log (Week 2)</w:t>
            </w:r>
          </w:p>
        </w:tc>
      </w:tr>
      <w:tr>
        <w:trPr>
          <w:cantSplit w:val="true"/>
        </w:trPr>
        <w:tc>
          <w:tcPr>
            <w:tcW w:type="dxa" w:w="1361"/>
            <w:tcMar>
              <w:top w:w="50" w:type="dxa"/>
              <w:left w:w="80" w:type="dxa"/>
              <w:bottom w:w="50" w:type="dxa"/>
              <w:right w:w="80" w:type="dxa"/>
            </w:tcMar>
          </w:tcPr>
          <w:p>
            <w:pPr>
              <w:spacing w:after="0"/>
            </w:pPr>
            <w:r>
              <w:rPr>
                <w:b w:val="0"/>
                <w:i w:val="0"/>
                <w:sz w:val="17"/>
              </w:rPr>
              <w:t>3 Explore</w:t>
            </w:r>
          </w:p>
        </w:tc>
        <w:tc>
          <w:tcPr>
            <w:tcW w:type="dxa" w:w="3969"/>
            <w:tcMar>
              <w:top w:w="50" w:type="dxa"/>
              <w:left w:w="80" w:type="dxa"/>
              <w:bottom w:w="50" w:type="dxa"/>
              <w:right w:w="80" w:type="dxa"/>
            </w:tcMar>
          </w:tcPr>
          <w:p>
            <w:pPr>
              <w:spacing w:after="0"/>
            </w:pPr>
            <w:r>
              <w:rPr>
                <w:b w:val="0"/>
                <w:i w:val="0"/>
                <w:sz w:val="17"/>
              </w:rPr>
              <w:t>KPIs, distributions, correlations, seasonality, lane and carrier ranking</w:t>
            </w:r>
          </w:p>
        </w:tc>
        <w:tc>
          <w:tcPr>
            <w:tcW w:type="dxa" w:w="2041"/>
            <w:tcMar>
              <w:top w:w="50" w:type="dxa"/>
              <w:left w:w="80" w:type="dxa"/>
              <w:bottom w:w="50" w:type="dxa"/>
              <w:right w:w="80" w:type="dxa"/>
            </w:tcMar>
          </w:tcPr>
          <w:p>
            <w:pPr>
              <w:spacing w:after="0"/>
            </w:pPr>
            <w:r>
              <w:rPr>
                <w:b w:val="0"/>
                <w:i w:val="0"/>
                <w:sz w:val="17"/>
              </w:rPr>
              <w:t>pandas, Matplotlib, SciPy</w:t>
            </w:r>
          </w:p>
        </w:tc>
        <w:tc>
          <w:tcPr>
            <w:tcW w:type="dxa" w:w="2154"/>
            <w:tcMar>
              <w:top w:w="50" w:type="dxa"/>
              <w:left w:w="80" w:type="dxa"/>
              <w:bottom w:w="50" w:type="dxa"/>
              <w:right w:w="80" w:type="dxa"/>
            </w:tcMar>
          </w:tcPr>
          <w:p>
            <w:pPr>
              <w:spacing w:after="0"/>
            </w:pPr>
            <w:r>
              <w:rPr>
                <w:b w:val="0"/>
                <w:i w:val="0"/>
                <w:sz w:val="17"/>
              </w:rPr>
              <w:t>Insight report and charts (Week 3)</w:t>
            </w:r>
          </w:p>
        </w:tc>
      </w:tr>
      <w:tr>
        <w:trPr>
          <w:cantSplit w:val="true"/>
        </w:trPr>
        <w:tc>
          <w:tcPr>
            <w:tcW w:type="dxa" w:w="1361"/>
            <w:tcMar>
              <w:top w:w="50" w:type="dxa"/>
              <w:left w:w="80" w:type="dxa"/>
              <w:bottom w:w="50" w:type="dxa"/>
              <w:right w:w="80" w:type="dxa"/>
            </w:tcMar>
            <w:shd w:val="clear" w:color="auto" w:fill="F2F6FB"/>
          </w:tcPr>
          <w:p>
            <w:pPr>
              <w:spacing w:after="0"/>
            </w:pPr>
            <w:r>
              <w:rPr>
                <w:b w:val="0"/>
                <w:i w:val="0"/>
                <w:sz w:val="17"/>
              </w:rPr>
              <w:t>4 Model</w:t>
            </w:r>
          </w:p>
        </w:tc>
        <w:tc>
          <w:tcPr>
            <w:tcW w:type="dxa" w:w="3969"/>
            <w:tcMar>
              <w:top w:w="50" w:type="dxa"/>
              <w:left w:w="80" w:type="dxa"/>
              <w:bottom w:w="50" w:type="dxa"/>
              <w:right w:w="80" w:type="dxa"/>
            </w:tcMar>
            <w:shd w:val="clear" w:color="auto" w:fill="F2F6FB"/>
          </w:tcPr>
          <w:p>
            <w:pPr>
              <w:spacing w:after="0"/>
            </w:pPr>
            <w:r>
              <w:rPr>
                <w:b w:val="0"/>
                <w:i w:val="0"/>
                <w:sz w:val="17"/>
              </w:rPr>
              <w:t>Delivery-time regression, late-risk classification, cross-validation, tuning</w:t>
            </w:r>
          </w:p>
        </w:tc>
        <w:tc>
          <w:tcPr>
            <w:tcW w:type="dxa" w:w="2041"/>
            <w:tcMar>
              <w:top w:w="50" w:type="dxa"/>
              <w:left w:w="80" w:type="dxa"/>
              <w:bottom w:w="50" w:type="dxa"/>
              <w:right w:w="80" w:type="dxa"/>
            </w:tcMar>
            <w:shd w:val="clear" w:color="auto" w:fill="F2F6FB"/>
          </w:tcPr>
          <w:p>
            <w:pPr>
              <w:spacing w:after="0"/>
            </w:pPr>
            <w:r>
              <w:rPr>
                <w:b w:val="0"/>
                <w:i w:val="0"/>
                <w:sz w:val="17"/>
              </w:rPr>
              <w:t>scikit-learn</w:t>
            </w:r>
          </w:p>
        </w:tc>
        <w:tc>
          <w:tcPr>
            <w:tcW w:type="dxa" w:w="2154"/>
            <w:tcMar>
              <w:top w:w="50" w:type="dxa"/>
              <w:left w:w="80" w:type="dxa"/>
              <w:bottom w:w="50" w:type="dxa"/>
              <w:right w:w="80" w:type="dxa"/>
            </w:tcMar>
            <w:shd w:val="clear" w:color="auto" w:fill="F2F6FB"/>
          </w:tcPr>
          <w:p>
            <w:pPr>
              <w:spacing w:after="0"/>
            </w:pPr>
            <w:r>
              <w:rPr>
                <w:b w:val="0"/>
                <w:i w:val="0"/>
                <w:sz w:val="17"/>
              </w:rPr>
              <w:t>Validated models (Week 4)</w:t>
            </w:r>
          </w:p>
        </w:tc>
      </w:tr>
      <w:tr>
        <w:trPr>
          <w:cantSplit w:val="true"/>
        </w:trPr>
        <w:tc>
          <w:tcPr>
            <w:tcW w:type="dxa" w:w="1361"/>
            <w:tcMar>
              <w:top w:w="50" w:type="dxa"/>
              <w:left w:w="80" w:type="dxa"/>
              <w:bottom w:w="50" w:type="dxa"/>
              <w:right w:w="80" w:type="dxa"/>
            </w:tcMar>
          </w:tcPr>
          <w:p>
            <w:pPr>
              <w:spacing w:after="0"/>
            </w:pPr>
            <w:r>
              <w:rPr>
                <w:b w:val="0"/>
                <w:i w:val="0"/>
                <w:sz w:val="17"/>
              </w:rPr>
              <w:t>5 Optimise</w:t>
            </w:r>
          </w:p>
        </w:tc>
        <w:tc>
          <w:tcPr>
            <w:tcW w:type="dxa" w:w="3969"/>
            <w:tcMar>
              <w:top w:w="50" w:type="dxa"/>
              <w:left w:w="80" w:type="dxa"/>
              <w:bottom w:w="50" w:type="dxa"/>
              <w:right w:w="80" w:type="dxa"/>
            </w:tcMar>
          </w:tcPr>
          <w:p>
            <w:pPr>
              <w:spacing w:after="0"/>
            </w:pPr>
            <w:r>
              <w:rPr>
                <w:b w:val="0"/>
                <w:i w:val="0"/>
                <w:sz w:val="17"/>
              </w:rPr>
              <w:t>Warehouse-hub allocation LP, carrier-mix LP, data-driven promise dates</w:t>
            </w:r>
          </w:p>
        </w:tc>
        <w:tc>
          <w:tcPr>
            <w:tcW w:type="dxa" w:w="2041"/>
            <w:tcMar>
              <w:top w:w="50" w:type="dxa"/>
              <w:left w:w="80" w:type="dxa"/>
              <w:bottom w:w="50" w:type="dxa"/>
              <w:right w:w="80" w:type="dxa"/>
            </w:tcMar>
          </w:tcPr>
          <w:p>
            <w:pPr>
              <w:spacing w:after="0"/>
            </w:pPr>
            <w:r>
              <w:rPr>
                <w:b w:val="0"/>
                <w:i w:val="0"/>
                <w:sz w:val="17"/>
              </w:rPr>
              <w:t>SciPy (HiGHS), scikit-learn</w:t>
            </w:r>
          </w:p>
        </w:tc>
        <w:tc>
          <w:tcPr>
            <w:tcW w:type="dxa" w:w="2154"/>
            <w:tcMar>
              <w:top w:w="50" w:type="dxa"/>
              <w:left w:w="80" w:type="dxa"/>
              <w:bottom w:w="50" w:type="dxa"/>
              <w:right w:w="80" w:type="dxa"/>
            </w:tcMar>
          </w:tcPr>
          <w:p>
            <w:pPr>
              <w:spacing w:after="0"/>
            </w:pPr>
            <w:r>
              <w:rPr>
                <w:b w:val="0"/>
                <w:i w:val="0"/>
                <w:sz w:val="17"/>
              </w:rPr>
              <w:t>Recommended policies and savings (Week 4)</w:t>
            </w:r>
          </w:p>
        </w:tc>
      </w:tr>
      <w:tr>
        <w:trPr>
          <w:cantSplit w:val="true"/>
        </w:trPr>
        <w:tc>
          <w:tcPr>
            <w:tcW w:type="dxa" w:w="1361"/>
            <w:tcMar>
              <w:top w:w="50" w:type="dxa"/>
              <w:left w:w="80" w:type="dxa"/>
              <w:bottom w:w="50" w:type="dxa"/>
              <w:right w:w="80" w:type="dxa"/>
            </w:tcMar>
            <w:shd w:val="clear" w:color="auto" w:fill="F2F6FB"/>
          </w:tcPr>
          <w:p>
            <w:pPr>
              <w:spacing w:after="0"/>
            </w:pPr>
            <w:r>
              <w:rPr>
                <w:b w:val="0"/>
                <w:i w:val="0"/>
                <w:sz w:val="17"/>
              </w:rPr>
              <w:t>6 Decide and monitor</w:t>
            </w:r>
          </w:p>
        </w:tc>
        <w:tc>
          <w:tcPr>
            <w:tcW w:type="dxa" w:w="3969"/>
            <w:tcMar>
              <w:top w:w="50" w:type="dxa"/>
              <w:left w:w="80" w:type="dxa"/>
              <w:bottom w:w="50" w:type="dxa"/>
              <w:right w:w="80" w:type="dxa"/>
            </w:tcMar>
            <w:shd w:val="clear" w:color="auto" w:fill="F2F6FB"/>
          </w:tcPr>
          <w:p>
            <w:pPr>
              <w:spacing w:after="0"/>
            </w:pPr>
            <w:r>
              <w:rPr>
                <w:b w:val="0"/>
                <w:i w:val="0"/>
                <w:sz w:val="17"/>
              </w:rPr>
              <w:t>Dashboard, KPI targets, pilot rollouts, drift monitoring and retraining schedule</w:t>
            </w:r>
          </w:p>
        </w:tc>
        <w:tc>
          <w:tcPr>
            <w:tcW w:type="dxa" w:w="2041"/>
            <w:tcMar>
              <w:top w:w="50" w:type="dxa"/>
              <w:left w:w="80" w:type="dxa"/>
              <w:bottom w:w="50" w:type="dxa"/>
              <w:right w:w="80" w:type="dxa"/>
            </w:tcMar>
            <w:shd w:val="clear" w:color="auto" w:fill="F2F6FB"/>
          </w:tcPr>
          <w:p>
            <w:pPr>
              <w:spacing w:after="0"/>
            </w:pPr>
            <w:r>
              <w:rPr>
                <w:b w:val="0"/>
                <w:i w:val="0"/>
                <w:sz w:val="17"/>
              </w:rPr>
              <w:t>Streamlit or Power BI, cron/Airflow</w:t>
            </w:r>
          </w:p>
        </w:tc>
        <w:tc>
          <w:tcPr>
            <w:tcW w:type="dxa" w:w="2154"/>
            <w:tcMar>
              <w:top w:w="50" w:type="dxa"/>
              <w:left w:w="80" w:type="dxa"/>
              <w:bottom w:w="50" w:type="dxa"/>
              <w:right w:w="80" w:type="dxa"/>
            </w:tcMar>
            <w:shd w:val="clear" w:color="auto" w:fill="F2F6FB"/>
          </w:tcPr>
          <w:p>
            <w:pPr>
              <w:spacing w:after="0"/>
            </w:pPr>
            <w:r>
              <w:rPr>
                <w:b w:val="0"/>
                <w:i w:val="0"/>
                <w:sz w:val="17"/>
              </w:rPr>
              <w:t>Operating cadence</w:t>
            </w:r>
          </w:p>
        </w:tc>
      </w:tr>
    </w:tbl>
    <w:p>
      <w:pPr>
        <w:spacing w:after="40"/>
      </w:pPr>
    </w:p>
    <w:p>
      <w:pPr>
        <w:pStyle w:val="Heading3"/>
      </w:pPr>
      <w:r>
        <w:t>Pseudocode of the end-to-end pipeline</w:t>
      </w:r>
    </w:p>
    <w:p>
      <w:pPr>
        <w:pStyle w:val="CodeBlock"/>
      </w:pPr>
      <w:r>
        <w:t>def run_pipeline():</w:t>
      </w:r>
    </w:p>
    <w:p>
      <w:pPr>
        <w:pStyle w:val="CodeBlock"/>
      </w:pPr>
      <w:r>
        <w:t xml:space="preserve">    raw      = collect(sources=["WMS", "TMS", "carrier_api", "weather_api"])</w:t>
      </w:r>
    </w:p>
    <w:p>
      <w:pPr>
        <w:pStyle w:val="CodeBlock"/>
      </w:pPr>
      <w:r>
        <w:t xml:space="preserve">    clean    = preprocess(raw)                      # dedupe, parse dates, outliers, impute, scale</w:t>
      </w:r>
    </w:p>
    <w:p>
      <w:pPr>
        <w:pStyle w:val="CodeBlock"/>
      </w:pPr>
      <w:r>
        <w:t xml:space="preserve">    insights = explore(clean)                       # KPIs, correlations, seasonality, lane ranking</w:t>
      </w:r>
    </w:p>
    <w:p>
      <w:pPr>
        <w:pStyle w:val="CodeBlock"/>
      </w:pPr>
      <w:r>
        <w:t xml:space="preserve">    model    = train(clean, target="actual_days")   # gradient boosting + 5-fold CV + tuning</w:t>
      </w:r>
    </w:p>
    <w:p>
      <w:pPr>
        <w:pStyle w:val="CodeBlock"/>
      </w:pPr>
      <w:r>
        <w:t xml:space="preserve">    plan     = optimise(model, clean)               # LP: lane allocation, carrier mix, promise dates</w:t>
      </w:r>
    </w:p>
    <w:p>
      <w:pPr>
        <w:pStyle w:val="CodeBlock"/>
      </w:pPr>
      <w:r>
        <w:t xml:space="preserve">    publish(plan, dashboard="ops_control_tower")</w:t>
      </w:r>
    </w:p>
    <w:p>
      <w:pPr>
        <w:pStyle w:val="CodeBlock"/>
      </w:pPr>
      <w:r>
        <w:t xml:space="preserve">    monitor(kpis=["OTD", "cost_per_km"], drift=True, retrain_every="monthly")</w:t>
      </w:r>
    </w:p>
    <w:p>
      <w:pPr>
        <w:spacing w:after="40"/>
      </w:pPr>
    </w:p>
    <w:p>
      <w:pPr>
        <w:pStyle w:val="Heading1"/>
      </w:pPr>
      <w:r>
        <w:t>8. Python code illustrations</w:t>
      </w:r>
    </w:p>
    <w:p>
      <w:r>
        <w:rPr>
          <w:b w:val="0"/>
          <w:i w:val="0"/>
        </w:rPr>
        <w:t>The snippets below are taken directly from the project script src/01_strategy_kpis_clustering.py and were executed to produce the numbers in this report.</w:t>
      </w:r>
    </w:p>
    <w:p>
      <w:pPr>
        <w:keepNext/>
        <w:spacing w:after="40"/>
      </w:pPr>
      <w:r>
        <w:rPr>
          <w:b/>
          <w:color w:val="1F3864"/>
          <w:sz w:val="18"/>
        </w:rPr>
        <w:t>8.1 KPI computation</w:t>
      </w:r>
    </w:p>
    <w:p>
      <w:pPr>
        <w:pStyle w:val="CodeBlock"/>
      </w:pPr>
      <w:r>
        <w:t>def kpi_block(g: pd.DataFrame) -&gt; dict:</w:t>
      </w:r>
    </w:p>
    <w:p>
      <w:pPr>
        <w:pStyle w:val="CodeBlock"/>
      </w:pPr>
      <w:r>
        <w:t xml:space="preserve">    late = g[g["delayed"] == 1]</w:t>
      </w:r>
    </w:p>
    <w:p>
      <w:pPr>
        <w:pStyle w:val="CodeBlock"/>
      </w:pPr>
      <w:r>
        <w:t xml:space="preserve">    return {</w:t>
      </w:r>
    </w:p>
    <w:p>
      <w:pPr>
        <w:pStyle w:val="CodeBlock"/>
      </w:pPr>
      <w:r>
        <w:t xml:space="preserve">        "shipments": int(len(g)),</w:t>
      </w:r>
    </w:p>
    <w:p>
      <w:pPr>
        <w:pStyle w:val="CodeBlock"/>
      </w:pPr>
      <w:r>
        <w:t xml:space="preserve">        "on_time_rate_pct": round(100 * (1 - g["delayed"].mean()), 1),</w:t>
      </w:r>
    </w:p>
    <w:p>
      <w:pPr>
        <w:pStyle w:val="CodeBlock"/>
      </w:pPr>
      <w:r>
        <w:t xml:space="preserve">        "avg_lead_time_days": round(g["actual_days"].mean(), 2),</w:t>
      </w:r>
    </w:p>
    <w:p>
      <w:pPr>
        <w:pStyle w:val="CodeBlock"/>
      </w:pPr>
      <w:r>
        <w:t xml:space="preserve">        "avg_delay_days_when_late": round(late["delay_days"].mean(), 2) if len(late) else 0.0,</w:t>
      </w:r>
    </w:p>
    <w:p>
      <w:pPr>
        <w:pStyle w:val="CodeBlock"/>
      </w:pPr>
      <w:r>
        <w:t xml:space="preserve">        "median_cost_per_km_inr": round(g["cost_per_km"].median(), 3),</w:t>
      </w:r>
    </w:p>
    <w:p>
      <w:pPr>
        <w:pStyle w:val="CodeBlock"/>
      </w:pPr>
      <w:r>
        <w:t xml:space="preserve">        "median_cost_per_kg_inr": round(g["cost_per_kg"].median(), 2),</w:t>
      </w:r>
    </w:p>
    <w:p>
      <w:pPr>
        <w:pStyle w:val="CodeBlock"/>
      </w:pPr>
      <w:r>
        <w:t xml:space="preserve">        "avg_customer_rating": round(g["customer_rating"].mean(), 2),</w:t>
      </w:r>
    </w:p>
    <w:p>
      <w:pPr>
        <w:pStyle w:val="CodeBlock"/>
      </w:pPr>
      <w:r>
        <w:t xml:space="preserve">    }</w:t>
      </w:r>
    </w:p>
    <w:p>
      <w:pPr>
        <w:spacing w:after="40"/>
      </w:pPr>
    </w:p>
    <w:p>
      <w:pPr>
        <w:keepNext/>
        <w:spacing w:after="40"/>
      </w:pPr>
      <w:r>
        <w:rPr>
          <w:b/>
          <w:color w:val="1F3864"/>
          <w:sz w:val="18"/>
        </w:rPr>
        <w:t>8.2 Lane clustering with model selection by silhouette score</w:t>
      </w:r>
    </w:p>
    <w:p>
      <w:pPr>
        <w:pStyle w:val="CodeBlock"/>
      </w:pPr>
      <w:r>
        <w:t>feat = ["distance_km", "delay_rate", "cost_per_km", "lead_time", "shipments"]</w:t>
      </w:r>
    </w:p>
    <w:p>
      <w:pPr>
        <w:pStyle w:val="CodeBlock"/>
      </w:pPr>
      <w:r>
        <w:t>Xs = StandardScaler().fit_transform(lanes[feat])</w:t>
      </w:r>
    </w:p>
    <w:p>
      <w:pPr>
        <w:pStyle w:val="CodeBlock"/>
      </w:pPr>
      <w:r>
        <w:t xml:space="preserve"> </w:t>
      </w:r>
    </w:p>
    <w:p>
      <w:pPr>
        <w:pStyle w:val="CodeBlock"/>
      </w:pPr>
      <w:r>
        <w:t>sil, inertia = {}, {}</w:t>
      </w:r>
    </w:p>
    <w:p>
      <w:pPr>
        <w:pStyle w:val="CodeBlock"/>
      </w:pPr>
      <w:r>
        <w:t>for k in range(2, 8):</w:t>
      </w:r>
    </w:p>
    <w:p>
      <w:pPr>
        <w:pStyle w:val="CodeBlock"/>
      </w:pPr>
      <w:r>
        <w:t xml:space="preserve">    km = KMeans(n_clusters=k, n_init=20, random_state=SEED).fit(Xs)</w:t>
      </w:r>
    </w:p>
    <w:p>
      <w:pPr>
        <w:pStyle w:val="CodeBlock"/>
      </w:pPr>
      <w:r>
        <w:t xml:space="preserve">    sil[k] = float(silhouette_score(Xs, km.labels_)); inertia[k] = float(km.inertia_)</w:t>
      </w:r>
    </w:p>
    <w:p>
      <w:pPr>
        <w:pStyle w:val="CodeBlock"/>
      </w:pPr>
      <w:r>
        <w:t># choose the best silhouette among k=3..6 (k=2 is usually too coarse to act on)</w:t>
      </w:r>
    </w:p>
    <w:p>
      <w:pPr>
        <w:pStyle w:val="CodeBlock"/>
      </w:pPr>
      <w:r>
        <w:t>best_k = max(range(3, 7), key=lambda k: sil[k])</w:t>
      </w:r>
    </w:p>
    <w:p>
      <w:pPr>
        <w:pStyle w:val="CodeBlock"/>
      </w:pPr>
      <w:r>
        <w:t>km = KMeans(n_clusters=best_k, n_init=50, random_state=SEED).fit(Xs)</w:t>
      </w:r>
    </w:p>
    <w:p>
      <w:pPr>
        <w:pStyle w:val="CodeBlock"/>
      </w:pPr>
      <w:r>
        <w:t>lanes["cluster"] = km.labels_</w:t>
      </w:r>
    </w:p>
    <w:p>
      <w:pPr>
        <w:spacing w:after="40"/>
      </w:pPr>
    </w:p>
    <w:p>
      <w:pPr>
        <w:keepNext/>
        <w:spacing w:after="40"/>
      </w:pPr>
      <w:r>
        <w:rPr>
          <w:b/>
          <w:color w:val="1F3864"/>
          <w:sz w:val="18"/>
        </w:rPr>
        <w:t>8.3 EOQ, safety stock and reorder point</w:t>
      </w:r>
    </w:p>
    <w:p>
      <w:pPr>
        <w:pStyle w:val="CodeBlock"/>
      </w:pPr>
      <w:r>
        <w:t>daily = df.groupby(["origin_warehouse", "order_date"]).size().rename("units").reset_index()</w:t>
      </w:r>
    </w:p>
    <w:p>
      <w:pPr>
        <w:pStyle w:val="CodeBlock"/>
      </w:pPr>
      <w:r>
        <w:t>S_ORDER, H_RATE, LEAD, LEAD_SD, Z95 = 4000.0, 0.22, 5.0, 1.2, 1.645</w:t>
      </w:r>
    </w:p>
    <w:p>
      <w:pPr>
        <w:pStyle w:val="CodeBlock"/>
      </w:pPr>
      <w:r>
        <w:t>inv = []</w:t>
      </w:r>
    </w:p>
    <w:p>
      <w:pPr>
        <w:pStyle w:val="CodeBlock"/>
      </w:pPr>
      <w:r>
        <w:t>for wh, g in daily.groupby("origin_warehouse"):</w:t>
      </w:r>
    </w:p>
    <w:p>
      <w:pPr>
        <w:pStyle w:val="CodeBlock"/>
      </w:pPr>
      <w:r>
        <w:t xml:space="preserve">    mu, sd = g["units"].mean(), g["units"].std()</w:t>
      </w:r>
    </w:p>
    <w:p>
      <w:pPr>
        <w:pStyle w:val="CodeBlock"/>
      </w:pPr>
      <w:r>
        <w:t xml:space="preserve">    annual = mu * 365</w:t>
      </w:r>
    </w:p>
    <w:p>
      <w:pPr>
        <w:pStyle w:val="CodeBlock"/>
      </w:pPr>
      <w:r>
        <w:t xml:space="preserve">    unit_cost = 0.6 * df.loc[df["origin_warehouse"] == wh, "order_value_inr"].mean()</w:t>
      </w:r>
    </w:p>
    <w:p>
      <w:pPr>
        <w:pStyle w:val="CodeBlock"/>
      </w:pPr>
      <w:r>
        <w:t xml:space="preserve">    eoq = np.sqrt(2 * annual * S_ORDER / (H_RATE * unit_cost))</w:t>
      </w:r>
    </w:p>
    <w:p>
      <w:pPr>
        <w:pStyle w:val="CodeBlock"/>
      </w:pPr>
      <w:r>
        <w:t xml:space="preserve">    ss = Z95 * np.sqrt(LEAD * sd ** 2 + (mu ** 2) * LEAD_SD ** 2)</w:t>
      </w:r>
    </w:p>
    <w:p>
      <w:pPr>
        <w:pStyle w:val="CodeBlock"/>
      </w:pPr>
      <w:r>
        <w:t xml:space="preserve">    inv.append({"warehouse": wh, "mean_daily_units": round(mu, 1), "sd_daily_units": round(sd, 1),</w:t>
      </w:r>
    </w:p>
    <w:p>
      <w:pPr>
        <w:pStyle w:val="CodeBlock"/>
      </w:pPr>
      <w:r>
        <w:t xml:space="preserve">                "annual_units": int(annual), "unit_cost_inr": round(unit_cost, 0), "EOQ_units": int(round(eoq)),</w:t>
      </w:r>
    </w:p>
    <w:p>
      <w:pPr>
        <w:pStyle w:val="CodeBlock"/>
      </w:pPr>
      <w:r>
        <w:t xml:space="preserve">                "safety_stock_units": int(round(ss)), "reorder_point_units": int(round(mu * LEAD + ss))})</w:t>
      </w:r>
    </w:p>
    <w:p>
      <w:pPr>
        <w:spacing w:after="40"/>
      </w:pPr>
    </w:p>
    <w:p>
      <w:pPr>
        <w:pStyle w:val="Heading1"/>
      </w:pPr>
      <w:r>
        <w:t>9. Assumptions, risks and limitations</w:t>
      </w:r>
    </w:p>
    <w:p>
      <w:pPr>
        <w:keepNext/>
        <w:spacing w:after="60"/>
      </w:pPr>
      <w:r>
        <w:rPr>
          <w:b/>
          <w:color w:val="1F3864"/>
          <w:sz w:val="18"/>
        </w:rPr>
        <w:t xml:space="preserve">Table 9. </w:t>
      </w:r>
      <w:r>
        <w:rPr>
          <w:color w:val="52514E"/>
          <w:sz w:val="18"/>
        </w:rPr>
        <w:t>Main assumptions and mitigations.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1701"/>
            <w:shd w:val="clear" w:color="auto" w:fill="1F3864"/>
            <w:tcMar>
              <w:top w:w="50" w:type="dxa"/>
              <w:left w:w="80" w:type="dxa"/>
              <w:bottom w:w="50" w:type="dxa"/>
              <w:right w:w="80" w:type="dxa"/>
            </w:tcMar>
          </w:tcPr>
          <w:p>
            <w:pPr>
              <w:spacing w:after="0"/>
            </w:pPr>
            <w:r>
              <w:rPr>
                <w:b/>
                <w:color w:val="FFFFFF"/>
                <w:sz w:val="17"/>
              </w:rPr>
              <w:t>Item</w:t>
            </w:r>
          </w:p>
        </w:tc>
        <w:tc>
          <w:tcPr>
            <w:tcW w:type="dxa" w:w="3969"/>
            <w:shd w:val="clear" w:color="auto" w:fill="1F3864"/>
            <w:tcMar>
              <w:top w:w="50" w:type="dxa"/>
              <w:left w:w="80" w:type="dxa"/>
              <w:bottom w:w="50" w:type="dxa"/>
              <w:right w:w="80" w:type="dxa"/>
            </w:tcMar>
          </w:tcPr>
          <w:p>
            <w:pPr>
              <w:spacing w:after="0"/>
            </w:pPr>
            <w:r>
              <w:rPr>
                <w:b/>
                <w:color w:val="FFFFFF"/>
                <w:sz w:val="17"/>
              </w:rPr>
              <w:t>Description</w:t>
            </w:r>
          </w:p>
        </w:tc>
        <w:tc>
          <w:tcPr>
            <w:tcW w:type="dxa" w:w="3855"/>
            <w:shd w:val="clear" w:color="auto" w:fill="1F3864"/>
            <w:tcMar>
              <w:top w:w="50" w:type="dxa"/>
              <w:left w:w="80" w:type="dxa"/>
              <w:bottom w:w="50" w:type="dxa"/>
              <w:right w:w="80" w:type="dxa"/>
            </w:tcMar>
          </w:tcPr>
          <w:p>
            <w:pPr>
              <w:spacing w:after="0"/>
            </w:pPr>
            <w:r>
              <w:rPr>
                <w:b/>
                <w:color w:val="FFFFFF"/>
                <w:sz w:val="17"/>
              </w:rPr>
              <w:t>Mitigation</w:t>
            </w:r>
          </w:p>
        </w:tc>
      </w:tr>
      <w:tr>
        <w:trPr>
          <w:cantSplit w:val="true"/>
        </w:trPr>
        <w:tc>
          <w:tcPr>
            <w:tcW w:type="dxa" w:w="1701"/>
            <w:tcMar>
              <w:top w:w="50" w:type="dxa"/>
              <w:left w:w="80" w:type="dxa"/>
              <w:bottom w:w="50" w:type="dxa"/>
              <w:right w:w="80" w:type="dxa"/>
            </w:tcMar>
          </w:tcPr>
          <w:p>
            <w:pPr>
              <w:spacing w:after="0"/>
            </w:pPr>
            <w:r>
              <w:rPr>
                <w:b w:val="0"/>
                <w:i w:val="0"/>
                <w:sz w:val="17"/>
              </w:rPr>
              <w:t>Simulated data</w:t>
            </w:r>
          </w:p>
        </w:tc>
        <w:tc>
          <w:tcPr>
            <w:tcW w:type="dxa" w:w="3969"/>
            <w:tcMar>
              <w:top w:w="50" w:type="dxa"/>
              <w:left w:w="80" w:type="dxa"/>
              <w:bottom w:w="50" w:type="dxa"/>
              <w:right w:w="80" w:type="dxa"/>
            </w:tcMar>
          </w:tcPr>
          <w:p>
            <w:pPr>
              <w:spacing w:after="0"/>
            </w:pPr>
            <w:r>
              <w:rPr>
                <w:b w:val="0"/>
                <w:i w:val="0"/>
                <w:sz w:val="17"/>
              </w:rPr>
              <w:t>Patterns reflect the simulator's design, not a real firm</w:t>
            </w:r>
          </w:p>
        </w:tc>
        <w:tc>
          <w:tcPr>
            <w:tcW w:type="dxa" w:w="3855"/>
            <w:tcMar>
              <w:top w:w="50" w:type="dxa"/>
              <w:left w:w="80" w:type="dxa"/>
              <w:bottom w:w="50" w:type="dxa"/>
              <w:right w:w="80" w:type="dxa"/>
            </w:tcMar>
          </w:tcPr>
          <w:p>
            <w:pPr>
              <w:spacing w:after="0"/>
            </w:pPr>
            <w:r>
              <w:rPr>
                <w:b w:val="0"/>
                <w:i w:val="0"/>
                <w:sz w:val="17"/>
              </w:rPr>
              <w:t>Pipeline is dataset-agnostic; field mapping to DataCo and Olist given in Table 3</w:t>
            </w:r>
          </w:p>
        </w:tc>
      </w:tr>
      <w:tr>
        <w:trPr>
          <w:cantSplit w:val="true"/>
        </w:trPr>
        <w:tc>
          <w:tcPr>
            <w:tcW w:type="dxa" w:w="1701"/>
            <w:tcMar>
              <w:top w:w="50" w:type="dxa"/>
              <w:left w:w="80" w:type="dxa"/>
              <w:bottom w:w="50" w:type="dxa"/>
              <w:right w:w="80" w:type="dxa"/>
            </w:tcMar>
            <w:shd w:val="clear" w:color="auto" w:fill="F2F6FB"/>
          </w:tcPr>
          <w:p>
            <w:pPr>
              <w:spacing w:after="0"/>
            </w:pPr>
            <w:r>
              <w:rPr>
                <w:b w:val="0"/>
                <w:i w:val="0"/>
                <w:sz w:val="17"/>
              </w:rPr>
              <w:t>Pilot cleaning is light</w:t>
            </w:r>
          </w:p>
        </w:tc>
        <w:tc>
          <w:tcPr>
            <w:tcW w:type="dxa" w:w="3969"/>
            <w:tcMar>
              <w:top w:w="50" w:type="dxa"/>
              <w:left w:w="80" w:type="dxa"/>
              <w:bottom w:w="50" w:type="dxa"/>
              <w:right w:w="80" w:type="dxa"/>
            </w:tcMar>
            <w:shd w:val="clear" w:color="auto" w:fill="F2F6FB"/>
          </w:tcPr>
          <w:p>
            <w:pPr>
              <w:spacing w:after="0"/>
            </w:pPr>
            <w:r>
              <w:rPr>
                <w:b w:val="0"/>
                <w:i w:val="0"/>
                <w:sz w:val="17"/>
              </w:rPr>
              <w:t>Remaining outliers and missing values bias the pilot statistics</w:t>
            </w:r>
          </w:p>
        </w:tc>
        <w:tc>
          <w:tcPr>
            <w:tcW w:type="dxa" w:w="3855"/>
            <w:tcMar>
              <w:top w:w="50" w:type="dxa"/>
              <w:left w:w="80" w:type="dxa"/>
              <w:bottom w:w="50" w:type="dxa"/>
              <w:right w:w="80" w:type="dxa"/>
            </w:tcMar>
            <w:shd w:val="clear" w:color="auto" w:fill="F2F6FB"/>
          </w:tcPr>
          <w:p>
            <w:pPr>
              <w:spacing w:after="0"/>
            </w:pPr>
            <w:r>
              <w:rPr>
                <w:b w:val="0"/>
                <w:i w:val="0"/>
                <w:sz w:val="17"/>
              </w:rPr>
              <w:t>Full treatment in Week 2; Week 1 numbers labelled as pilot</w:t>
            </w:r>
          </w:p>
        </w:tc>
      </w:tr>
      <w:tr>
        <w:trPr>
          <w:cantSplit w:val="true"/>
        </w:trPr>
        <w:tc>
          <w:tcPr>
            <w:tcW w:type="dxa" w:w="1701"/>
            <w:tcMar>
              <w:top w:w="50" w:type="dxa"/>
              <w:left w:w="80" w:type="dxa"/>
              <w:bottom w:w="50" w:type="dxa"/>
              <w:right w:w="80" w:type="dxa"/>
            </w:tcMar>
          </w:tcPr>
          <w:p>
            <w:pPr>
              <w:spacing w:after="0"/>
            </w:pPr>
            <w:r>
              <w:rPr>
                <w:b w:val="0"/>
                <w:i w:val="0"/>
                <w:sz w:val="17"/>
              </w:rPr>
              <w:t>Assumed economics</w:t>
            </w:r>
          </w:p>
        </w:tc>
        <w:tc>
          <w:tcPr>
            <w:tcW w:type="dxa" w:w="3969"/>
            <w:tcMar>
              <w:top w:w="50" w:type="dxa"/>
              <w:left w:w="80" w:type="dxa"/>
              <w:bottom w:w="50" w:type="dxa"/>
              <w:right w:w="80" w:type="dxa"/>
            </w:tcMar>
          </w:tcPr>
          <w:p>
            <w:pPr>
              <w:spacing w:after="0"/>
            </w:pPr>
            <w:r>
              <w:rPr>
                <w:b w:val="0"/>
                <w:i w:val="0"/>
                <w:sz w:val="17"/>
              </w:rPr>
              <w:t>EOQ ordering/holding costs and the late-delivery penalty are assumptions</w:t>
            </w:r>
          </w:p>
        </w:tc>
        <w:tc>
          <w:tcPr>
            <w:tcW w:type="dxa" w:w="3855"/>
            <w:tcMar>
              <w:top w:w="50" w:type="dxa"/>
              <w:left w:w="80" w:type="dxa"/>
              <w:bottom w:w="50" w:type="dxa"/>
              <w:right w:w="80" w:type="dxa"/>
            </w:tcMar>
          </w:tcPr>
          <w:p>
            <w:pPr>
              <w:spacing w:after="0"/>
            </w:pPr>
            <w:r>
              <w:rPr>
                <w:b w:val="0"/>
                <w:i w:val="0"/>
                <w:sz w:val="17"/>
              </w:rPr>
              <w:t>Sensitivity analysis in Week 4; replace with finance data</w:t>
            </w:r>
          </w:p>
        </w:tc>
      </w:tr>
      <w:tr>
        <w:trPr>
          <w:cantSplit w:val="true"/>
        </w:trPr>
        <w:tc>
          <w:tcPr>
            <w:tcW w:type="dxa" w:w="1701"/>
            <w:tcMar>
              <w:top w:w="50" w:type="dxa"/>
              <w:left w:w="80" w:type="dxa"/>
              <w:bottom w:w="50" w:type="dxa"/>
              <w:right w:w="80" w:type="dxa"/>
            </w:tcMar>
            <w:shd w:val="clear" w:color="auto" w:fill="F2F6FB"/>
          </w:tcPr>
          <w:p>
            <w:pPr>
              <w:spacing w:after="0"/>
            </w:pPr>
            <w:r>
              <w:rPr>
                <w:b w:val="0"/>
                <w:i w:val="0"/>
                <w:sz w:val="17"/>
              </w:rPr>
              <w:t>Few lanes (40)</w:t>
            </w:r>
          </w:p>
        </w:tc>
        <w:tc>
          <w:tcPr>
            <w:tcW w:type="dxa" w:w="3969"/>
            <w:tcMar>
              <w:top w:w="50" w:type="dxa"/>
              <w:left w:w="80" w:type="dxa"/>
              <w:bottom w:w="50" w:type="dxa"/>
              <w:right w:w="80" w:type="dxa"/>
            </w:tcMar>
            <w:shd w:val="clear" w:color="auto" w:fill="F2F6FB"/>
          </w:tcPr>
          <w:p>
            <w:pPr>
              <w:spacing w:after="0"/>
            </w:pPr>
            <w:r>
              <w:rPr>
                <w:b w:val="0"/>
                <w:i w:val="0"/>
                <w:sz w:val="17"/>
              </w:rPr>
              <w:t>Clusters are descriptive, silhouette moderate</w:t>
            </w:r>
          </w:p>
        </w:tc>
        <w:tc>
          <w:tcPr>
            <w:tcW w:type="dxa" w:w="3855"/>
            <w:tcMar>
              <w:top w:w="50" w:type="dxa"/>
              <w:left w:w="80" w:type="dxa"/>
              <w:bottom w:w="50" w:type="dxa"/>
              <w:right w:w="80" w:type="dxa"/>
            </w:tcMar>
            <w:shd w:val="clear" w:color="auto" w:fill="F2F6FB"/>
          </w:tcPr>
          <w:p>
            <w:pPr>
              <w:spacing w:after="0"/>
            </w:pPr>
            <w:r>
              <w:rPr>
                <w:b w:val="0"/>
                <w:i w:val="0"/>
                <w:sz w:val="17"/>
              </w:rPr>
              <w:t>Re-cluster at shipment level or with real lane counts</w:t>
            </w:r>
          </w:p>
        </w:tc>
      </w:tr>
      <w:tr>
        <w:trPr>
          <w:cantSplit w:val="true"/>
        </w:trPr>
        <w:tc>
          <w:tcPr>
            <w:tcW w:type="dxa" w:w="1701"/>
            <w:tcMar>
              <w:top w:w="50" w:type="dxa"/>
              <w:left w:w="80" w:type="dxa"/>
              <w:bottom w:w="50" w:type="dxa"/>
              <w:right w:w="80" w:type="dxa"/>
            </w:tcMar>
          </w:tcPr>
          <w:p>
            <w:pPr>
              <w:spacing w:after="0"/>
            </w:pPr>
            <w:r>
              <w:rPr>
                <w:b w:val="0"/>
                <w:i w:val="0"/>
                <w:sz w:val="17"/>
              </w:rPr>
              <w:t>Seasonality and drift</w:t>
            </w:r>
          </w:p>
        </w:tc>
        <w:tc>
          <w:tcPr>
            <w:tcW w:type="dxa" w:w="3969"/>
            <w:tcMar>
              <w:top w:w="50" w:type="dxa"/>
              <w:left w:w="80" w:type="dxa"/>
              <w:bottom w:w="50" w:type="dxa"/>
              <w:right w:w="80" w:type="dxa"/>
            </w:tcMar>
          </w:tcPr>
          <w:p>
            <w:pPr>
              <w:spacing w:after="0"/>
            </w:pPr>
            <w:r>
              <w:rPr>
                <w:b w:val="0"/>
                <w:i w:val="0"/>
                <w:sz w:val="17"/>
              </w:rPr>
              <w:t>Peak-season behaviour differs from the rest of the year</w:t>
            </w:r>
          </w:p>
        </w:tc>
        <w:tc>
          <w:tcPr>
            <w:tcW w:type="dxa" w:w="3855"/>
            <w:tcMar>
              <w:top w:w="50" w:type="dxa"/>
              <w:left w:w="80" w:type="dxa"/>
              <w:bottom w:w="50" w:type="dxa"/>
              <w:right w:w="80" w:type="dxa"/>
            </w:tcMar>
          </w:tcPr>
          <w:p>
            <w:pPr>
              <w:spacing w:after="0"/>
            </w:pPr>
            <w:r>
              <w:rPr>
                <w:b w:val="0"/>
                <w:i w:val="0"/>
                <w:sz w:val="17"/>
              </w:rPr>
              <w:t>Time-aware validation and monthly retraining</w:t>
            </w:r>
          </w:p>
        </w:tc>
      </w:tr>
    </w:tbl>
    <w:p>
      <w:pPr>
        <w:spacing w:after="40"/>
      </w:pPr>
    </w:p>
    <w:p>
      <w:pPr>
        <w:pStyle w:val="Heading1"/>
      </w:pPr>
      <w:r>
        <w:t>10. Conclusion: expected outcomes and decision impact</w:t>
      </w:r>
    </w:p>
    <w:p>
      <w:r>
        <w:rPr>
          <w:b w:val="0"/>
          <w:i w:val="0"/>
        </w:rPr>
        <w:t>The pilot confirms that the scenario is analytically rich: service reliability (70.4% on time), lane heterogeneity and cost structure all leave room for improvement, and each can be tackled with a standard data-science technique implemented in Python. The roadmap sequences the work so that data quality is solved before modelling and modelling is solved before optimisation.</w:t>
      </w:r>
    </w:p>
    <w:p>
      <w:r>
        <w:rPr>
          <w:b w:val="0"/>
          <w:i w:val="0"/>
        </w:rPr>
        <w:t>Expected outcomes, to be tested in Weeks 2 to 4, and the decisions they would inform:</w:t>
      </w:r>
    </w:p>
    <w:p>
      <w:pPr>
        <w:pStyle w:val="ListBullet"/>
      </w:pPr>
      <w:r>
        <w:rPr>
          <w:b/>
          <w:i w:val="0"/>
        </w:rPr>
        <w:t>Reliability:</w:t>
      </w:r>
      <w:r>
        <w:rPr>
          <w:b w:val="0"/>
          <w:i w:val="0"/>
        </w:rPr>
        <w:t xml:space="preserve"> a data-driven promise date and risk flag should lift OTD towards the 90% target by setting realistic windows and routing attention to high-risk shipments.</w:t>
      </w:r>
    </w:p>
    <w:p>
      <w:pPr>
        <w:pStyle w:val="ListBullet"/>
      </w:pPr>
      <w:r>
        <w:rPr>
          <w:b/>
          <w:i w:val="0"/>
        </w:rPr>
        <w:t>Cost:</w:t>
      </w:r>
      <w:r>
        <w:rPr>
          <w:b w:val="0"/>
          <w:i w:val="0"/>
        </w:rPr>
        <w:t xml:space="preserve"> lane and carrier re-allocation under service constraints should reduce delivery cost per shipment without raising the late rate.</w:t>
      </w:r>
    </w:p>
    <w:p>
      <w:pPr>
        <w:pStyle w:val="ListBullet"/>
      </w:pPr>
      <w:r>
        <w:rPr>
          <w:b/>
          <w:i w:val="0"/>
        </w:rPr>
        <w:t>Inventory:</w:t>
      </w:r>
      <w:r>
        <w:rPr>
          <w:b w:val="0"/>
          <w:i w:val="0"/>
        </w:rPr>
        <w:t xml:space="preserve"> warehouse-specific reorder points replace one-size-fits-all rules and reduce emergency transfers.</w:t>
      </w:r>
    </w:p>
    <w:p>
      <w:pPr>
        <w:pStyle w:val="ListBullet"/>
      </w:pPr>
      <w:r>
        <w:rPr>
          <w:b/>
          <w:i w:val="0"/>
        </w:rPr>
        <w:t>Governance:</w:t>
      </w:r>
      <w:r>
        <w:rPr>
          <w:b w:val="0"/>
          <w:i w:val="0"/>
        </w:rPr>
        <w:t xml:space="preserve"> the six KPIs give managers a common scorecard; clusters turn a long list of lanes into a handful of policies.</w:t>
      </w:r>
    </w:p>
    <w:p>
      <w:pPr>
        <w:pStyle w:val="Heading1"/>
      </w:pPr>
      <w:r>
        <w:t>References</w:t>
      </w:r>
    </w:p>
    <w:p>
      <w:pPr>
        <w:spacing w:after="60"/>
        <w:ind w:left="340" w:hanging="340"/>
      </w:pPr>
      <w:r>
        <w:rPr>
          <w:b w:val="0"/>
          <w:i w:val="0"/>
          <w:sz w:val="19"/>
        </w:rPr>
        <w:t>Christopher, M. (2016). Logistics &amp; Supply Chain Management (5th ed.). Pearson.</w:t>
      </w:r>
    </w:p>
    <w:p>
      <w:pPr>
        <w:spacing w:after="60"/>
        <w:ind w:left="340" w:hanging="340"/>
      </w:pPr>
      <w:r>
        <w:rPr>
          <w:b w:val="0"/>
          <w:i w:val="0"/>
          <w:sz w:val="19"/>
        </w:rPr>
        <w:t>Chopra, S., &amp; Meindl, P. (2016). Supply Chain Management: Strategy, Planning, and Operation (6th ed.). Pearson.</w:t>
      </w:r>
    </w:p>
    <w:p>
      <w:pPr>
        <w:spacing w:after="60"/>
        <w:ind w:left="340" w:hanging="340"/>
      </w:pPr>
      <w:r>
        <w:rPr>
          <w:b w:val="0"/>
          <w:i w:val="0"/>
          <w:sz w:val="19"/>
        </w:rPr>
        <w:t>Dantzig, G. B., &amp; Ramser, J. H. (1959). The truck dispatching problem. Management Science, 6(1), 80-91.</w:t>
      </w:r>
    </w:p>
    <w:p>
      <w:pPr>
        <w:spacing w:after="60"/>
        <w:ind w:left="340" w:hanging="340"/>
      </w:pPr>
      <w:r>
        <w:rPr>
          <w:b w:val="0"/>
          <w:i w:val="0"/>
          <w:sz w:val="19"/>
        </w:rPr>
        <w:t>Toth, P., &amp; Vigo, D. (Eds.) (2014). Vehicle Routing: Problems, Methods, and Applications (2nd ed.). SIAM.</w:t>
      </w:r>
    </w:p>
    <w:p>
      <w:pPr>
        <w:spacing w:after="60"/>
        <w:ind w:left="340" w:hanging="340"/>
      </w:pPr>
      <w:r>
        <w:rPr>
          <w:b w:val="0"/>
          <w:i w:val="0"/>
          <w:sz w:val="19"/>
        </w:rPr>
        <w:t>Harris, F. W. (1913). How many parts to make at once. Factory, The Magazine of Management, 10(2), 135-136, 152.</w:t>
      </w:r>
    </w:p>
    <w:p>
      <w:pPr>
        <w:spacing w:after="60"/>
        <w:ind w:left="340" w:hanging="340"/>
      </w:pPr>
      <w:r>
        <w:rPr>
          <w:b w:val="0"/>
          <w:i w:val="0"/>
          <w:sz w:val="19"/>
        </w:rPr>
        <w:t>Silver, E. A., Pyke, D. F., &amp; Thomas, D. J. (2017). Inventory and Production Management in Supply Chains (4th ed.). CRC Press.</w:t>
      </w:r>
    </w:p>
    <w:p>
      <w:pPr>
        <w:spacing w:after="60"/>
        <w:ind w:left="340" w:hanging="340"/>
      </w:pPr>
      <w:r>
        <w:rPr>
          <w:b w:val="0"/>
          <w:i w:val="0"/>
          <w:sz w:val="19"/>
        </w:rPr>
        <w:t>Breiman, L. (2001). Random forests. Machine Learning, 45(1), 5-32.</w:t>
      </w:r>
    </w:p>
    <w:p>
      <w:pPr>
        <w:spacing w:after="60"/>
        <w:ind w:left="340" w:hanging="340"/>
      </w:pPr>
      <w:r>
        <w:rPr>
          <w:b w:val="0"/>
          <w:i w:val="0"/>
          <w:sz w:val="19"/>
        </w:rPr>
        <w:t>Friedman, J. H. (2001). Greedy function approximation: A gradient boosting machine. Annals of Statistics, 29(5), 1189-1232.</w:t>
      </w:r>
    </w:p>
    <w:p>
      <w:pPr>
        <w:spacing w:after="60"/>
        <w:ind w:left="340" w:hanging="340"/>
      </w:pPr>
      <w:r>
        <w:rPr>
          <w:b w:val="0"/>
          <w:i w:val="0"/>
          <w:sz w:val="19"/>
        </w:rPr>
        <w:t>Rousseeuw, P. J. (1987). Silhouettes: A graphical aid to the interpretation and validation of cluster analysis. Journal of Computational and Applied Mathematics, 20, 53-65.</w:t>
      </w:r>
    </w:p>
    <w:p>
      <w:pPr>
        <w:spacing w:after="60"/>
        <w:ind w:left="340" w:hanging="340"/>
      </w:pPr>
      <w:r>
        <w:rPr>
          <w:b w:val="0"/>
          <w:i w:val="0"/>
          <w:sz w:val="19"/>
        </w:rPr>
        <w:t>Pedregosa, F., et al. (2011). Scikit-learn: Machine learning in Python. Journal of Machine Learning Research, 12, 2825-2830.</w:t>
      </w:r>
    </w:p>
    <w:p>
      <w:pPr>
        <w:spacing w:after="60"/>
        <w:ind w:left="340" w:hanging="340"/>
      </w:pPr>
      <w:r>
        <w:rPr>
          <w:b w:val="0"/>
          <w:i w:val="0"/>
          <w:sz w:val="19"/>
        </w:rPr>
        <w:t>Constante, F., Silva, F., &amp; Pereira, A. (2019). DataCo Smart Supply Chain for Big Data Analysis [Data set]. Mendeley Data (also mirrored on Kaggle).</w:t>
      </w:r>
    </w:p>
    <w:p>
      <w:pPr>
        <w:spacing w:after="60"/>
        <w:ind w:left="340" w:hanging="340"/>
      </w:pPr>
      <w:r>
        <w:rPr>
          <w:b w:val="0"/>
          <w:i w:val="0"/>
          <w:sz w:val="19"/>
        </w:rPr>
        <w:t>Olist (2018). Brazilian E-Commerce Public Dataset by Olist [Data set]. Kaggle. https://www.kaggle.com/datasets/olistbr/brazilian-ecommerce</w:t>
      </w:r>
    </w:p>
    <w:p>
      <w:pPr>
        <w:spacing w:after="60"/>
        <w:ind w:left="340" w:hanging="340"/>
      </w:pPr>
      <w:r>
        <w:rPr>
          <w:b w:val="0"/>
          <w:i w:val="0"/>
          <w:sz w:val="19"/>
        </w:rPr>
        <w:t>Merchan, D., et al. (2024). 2021 Amazon Last Mile Routing Research Challenge: Data set. Transportation Science, 58(1), 8-11.</w:t>
      </w:r>
    </w:p>
    <w:p>
      <w:pPr>
        <w:spacing w:after="60"/>
        <w:ind w:left="340" w:hanging="340"/>
      </w:pPr>
      <w:r>
        <w:rPr>
          <w:b w:val="0"/>
          <w:i w:val="0"/>
          <w:sz w:val="19"/>
        </w:rPr>
        <w:t>Makridakis, S., Spiliotis, E., &amp; Assimakopoulos, V. (2022). M5 accuracy competition: Results, findings, and conclusions. International Journal of Forecasting, 38(4), 1346-1364.</w:t>
      </w:r>
    </w:p>
    <w:p>
      <w:pPr>
        <w:spacing w:after="60"/>
        <w:ind w:left="340" w:hanging="340"/>
      </w:pPr>
      <w:r>
        <w:rPr>
          <w:b w:val="0"/>
          <w:i w:val="0"/>
          <w:sz w:val="19"/>
        </w:rPr>
        <w:t>World Bank (2023). Logistics Performance Index 2023: Connecting to Compete. Washington, DC: The World Bank. (India: rank 38 of 139 economies; see PIB press release, Ministry of Commerce and Industry, https://www.pib.gov.in/PressReleasePage.aspx?PRID=2003541)</w:t>
      </w:r>
    </w:p>
    <w:p>
      <w:pPr>
        <w:spacing w:after="60"/>
        <w:ind w:left="340" w:hanging="340"/>
      </w:pPr>
      <w:r>
        <w:rPr>
          <w:b w:val="0"/>
          <w:i w:val="0"/>
          <w:sz w:val="19"/>
        </w:rPr>
        <w:t>Government of India, Ministry of Commerce and Industry (2022). National Logistics Policy.</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Page </w:t>
    </w:r>
    <w:r>
      <w:rPr>
        <w:color w:val="52514E"/>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514E"/>
        <w:sz w:val="17"/>
      </w:rPr>
      <w:t>Week 1 | Strategic Planning and Data Exploration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A78D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before="0" w:line="240" w:lineRule="auto"/>
      <w:ind w:left="113"/>
      <w:shd w:val="clear" w:color="auto" w:fill="F4F4F2"/>
    </w:pPr>
    <w:rPr>
      <w:rFonts w:ascii="Consolas" w:hAnsi="Consolas" w:cs="Consolas"/>
      <w:sz w:val="16"/>
    </w:rPr>
  </w:style>
  <w:style w:type="paragraph" w:customStyle="1" w:styleId="Cap">
    <w:name w:val="Cap"/>
    <w:basedOn w:val="Normal"/>
    <w:pPr>
      <w:spacing w:after="200"/>
      <w:jc w:val="center"/>
    </w:pPr>
    <w:rPr>
      <w:i/>
      <w:color w:val="52514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