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2A78D6"/>
          <w:sz w:val="22"/>
        </w:rPr>
        <w:t>LOGISTICS DATA SCIENCE INTERNSHIP - WEEK 4</w:t>
      </w:r>
    </w:p>
    <w:p>
      <w:pPr>
        <w:spacing w:after="80"/>
      </w:pPr>
      <w:r>
        <w:rPr>
          <w:b/>
          <w:color w:val="1F3864"/>
          <w:sz w:val="56"/>
        </w:rPr>
        <w:t>Predictive Modeling and Optimization</w:t>
      </w:r>
    </w:p>
    <w:p>
      <w:pPr>
        <w:spacing w:after="600"/>
      </w:pPr>
      <w:r>
        <w:rPr>
          <w:color w:val="52514E"/>
          <w:sz w:val="28"/>
        </w:rPr>
        <w:t>Forecasting delivery time and late risk, then optimising warehouse allocation, carrier mix and delivery promises</w:t>
      </w:r>
    </w:p>
    <w:tbl>
      <w:tblPr>
        <w:tblW w:type="auto" w:w="0"/>
        <w:jc w:val="left"/>
        <w:tblLook w:firstColumn="1" w:firstRow="1" w:lastColumn="0" w:lastRow="0" w:noHBand="0" w:noVBand="1" w:val="04A0"/>
      </w:tblPr>
      <w:tblGrid>
        <w:gridCol w:w="4706"/>
        <w:gridCol w:w="4706"/>
      </w:tblGrid>
      <w:tr>
        <w:tc>
          <w:tcPr>
            <w:tcW w:type="dxa" w:w="2041"/>
          </w:tcPr>
          <w:p>
            <w:pPr>
              <w:spacing w:after="60"/>
            </w:pPr>
            <w:r>
              <w:rPr>
                <w:b/>
              </w:rPr>
              <w:t>Prepared by</w:t>
            </w:r>
          </w:p>
        </w:tc>
        <w:tc>
          <w:tcPr>
            <w:tcW w:type="dxa" w:w="6520"/>
          </w:tcPr>
          <w:p>
            <w:pPr>
              <w:spacing w:after="60"/>
            </w:pPr>
            <w:r>
              <w:t>Kaju</w:t>
            </w:r>
          </w:p>
        </w:tc>
      </w:tr>
      <w:tr>
        <w:tc>
          <w:tcPr>
            <w:tcW w:type="dxa" w:w="2041"/>
          </w:tcPr>
          <w:p>
            <w:pPr>
              <w:spacing w:after="60"/>
            </w:pPr>
            <w:r>
              <w:rPr>
                <w:b/>
              </w:rPr>
              <w:t>Report date</w:t>
            </w:r>
          </w:p>
        </w:tc>
        <w:tc>
          <w:tcPr>
            <w:tcW w:type="dxa" w:w="6520"/>
          </w:tcPr>
          <w:p>
            <w:pPr>
              <w:spacing w:after="60"/>
            </w:pPr>
            <w:r>
              <w:t>October 2026</w:t>
            </w:r>
          </w:p>
        </w:tc>
      </w:tr>
      <w:tr>
        <w:tc>
          <w:tcPr>
            <w:tcW w:type="dxa" w:w="2041"/>
          </w:tcPr>
          <w:p>
            <w:pPr>
              <w:spacing w:after="60"/>
            </w:pPr>
            <w:r>
              <w:rPr>
                <w:b/>
              </w:rPr>
              <w:t>Dataset</w:t>
            </w:r>
          </w:p>
        </w:tc>
        <w:tc>
          <w:tcPr>
            <w:tcW w:type="dxa" w:w="6520"/>
          </w:tcPr>
          <w:p>
            <w:pPr>
              <w:spacing w:after="60"/>
            </w:pPr>
            <w:r>
              <w:t>Cleaned shipments (n = 11,880); 80/20 split: 9,504 train, 2,376 test</w:t>
            </w:r>
          </w:p>
        </w:tc>
      </w:tr>
      <w:tr>
        <w:tc>
          <w:tcPr>
            <w:tcW w:type="dxa" w:w="2041"/>
          </w:tcPr>
          <w:p>
            <w:pPr>
              <w:spacing w:after="60"/>
            </w:pPr>
            <w:r>
              <w:rPr>
                <w:b/>
              </w:rPr>
              <w:t>Tools</w:t>
            </w:r>
          </w:p>
        </w:tc>
        <w:tc>
          <w:tcPr>
            <w:tcW w:type="dxa" w:w="6520"/>
          </w:tcPr>
          <w:p>
            <w:pPr>
              <w:spacing w:after="60"/>
            </w:pPr>
            <w:r>
              <w:t>Python 3 (scikit-learn, SciPy HiGHS linear programming, pandas, Matplotlib)</w:t>
            </w:r>
          </w:p>
        </w:tc>
      </w:tr>
      <w:tr>
        <w:tc>
          <w:tcPr>
            <w:tcW w:type="dxa" w:w="2041"/>
          </w:tcPr>
          <w:p>
            <w:pPr>
              <w:spacing w:after="60"/>
            </w:pPr>
            <w:r>
              <w:rPr>
                <w:b/>
              </w:rPr>
              <w:t>Script</w:t>
            </w:r>
          </w:p>
        </w:tc>
        <w:tc>
          <w:tcPr>
            <w:tcW w:type="dxa" w:w="6520"/>
          </w:tcPr>
          <w:p>
            <w:pPr>
              <w:spacing w:after="60"/>
            </w:pPr>
            <w:r>
              <w:t>src/04_modeling_optimisation.py</w:t>
            </w:r>
          </w:p>
        </w:tc>
      </w:tr>
    </w:tbl>
    <w:p>
      <w:r>
        <w:br w:type="page"/>
      </w:r>
    </w:p>
    <w:p>
      <w:pPr>
        <w:pStyle w:val="Heading1"/>
      </w:pPr>
      <w:r>
        <w:t>1. Executive summary</w:t>
      </w:r>
    </w:p>
    <w:p>
      <w:r>
        <w:rPr>
          <w:b w:val="0"/>
          <w:i w:val="0"/>
        </w:rPr>
        <w:t>This report builds a predictive model for delivery time (days from order to delivery), a classifier for late-delivery risk, and three optimisation models that use them. The tuned gradient-boosting model reaches a hold-out RMSE of 0.55 days (MAE 0.38, R-squared 0.90), against RMSE 0.67 for simply trusting the promised days and 0.58 for linear regression. Because most variation in delivery time is already explained by distance and the promised days, the gain over simple baselines is real but modest, and the report says so plainly.</w:t>
      </w:r>
    </w:p>
    <w:p>
      <w:pPr>
        <w:keepNext/>
        <w:spacing w:after="60"/>
      </w:pPr>
      <w:r>
        <w:rPr>
          <w:b/>
          <w:color w:val="1F3864"/>
          <w:sz w:val="18"/>
        </w:rPr>
        <w:t xml:space="preserve">Table 1. </w:t>
      </w:r>
      <w:r>
        <w:rPr>
          <w:color w:val="52514E"/>
          <w:sz w:val="18"/>
        </w:rPr>
        <w:t>Headline results.</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4706"/>
        <w:gridCol w:w="4706"/>
      </w:tblGrid>
      <w:tr>
        <w:trPr>
          <w:tblHeader w:val="true"/>
        </w:trPr>
        <w:tc>
          <w:tcPr>
            <w:tcW w:type="dxa" w:w="2835"/>
            <w:shd w:val="clear" w:color="auto" w:fill="1F3864"/>
            <w:tcMar>
              <w:top w:w="50" w:type="dxa"/>
              <w:left w:w="80" w:type="dxa"/>
              <w:bottom w:w="50" w:type="dxa"/>
              <w:right w:w="80" w:type="dxa"/>
            </w:tcMar>
          </w:tcPr>
          <w:p>
            <w:pPr>
              <w:spacing w:after="0"/>
            </w:pPr>
            <w:r>
              <w:rPr>
                <w:b/>
                <w:color w:val="FFFFFF"/>
                <w:sz w:val="17"/>
              </w:rPr>
              <w:t>Result</w:t>
            </w:r>
          </w:p>
        </w:tc>
        <w:tc>
          <w:tcPr>
            <w:tcW w:type="dxa" w:w="6690"/>
            <w:shd w:val="clear" w:color="auto" w:fill="1F3864"/>
            <w:tcMar>
              <w:top w:w="50" w:type="dxa"/>
              <w:left w:w="80" w:type="dxa"/>
              <w:bottom w:w="50" w:type="dxa"/>
              <w:right w:w="80" w:type="dxa"/>
            </w:tcMar>
          </w:tcPr>
          <w:p>
            <w:pPr>
              <w:spacing w:after="0"/>
            </w:pPr>
            <w:r>
              <w:rPr>
                <w:b/>
                <w:color w:val="FFFFFF"/>
                <w:sz w:val="17"/>
              </w:rPr>
              <w:t>Value</w:t>
            </w:r>
          </w:p>
        </w:tc>
      </w:tr>
      <w:tr>
        <w:trPr>
          <w:cantSplit w:val="true"/>
        </w:trPr>
        <w:tc>
          <w:tcPr>
            <w:tcW w:type="dxa" w:w="2835"/>
            <w:tcMar>
              <w:top w:w="50" w:type="dxa"/>
              <w:left w:w="80" w:type="dxa"/>
              <w:bottom w:w="50" w:type="dxa"/>
              <w:right w:w="80" w:type="dxa"/>
            </w:tcMar>
          </w:tcPr>
          <w:p>
            <w:pPr>
              <w:spacing w:after="0"/>
            </w:pPr>
            <w:r>
              <w:rPr>
                <w:b w:val="0"/>
                <w:i w:val="0"/>
                <w:sz w:val="17"/>
              </w:rPr>
              <w:t>Delivery-time model (hold-out)</w:t>
            </w:r>
          </w:p>
        </w:tc>
        <w:tc>
          <w:tcPr>
            <w:tcW w:type="dxa" w:w="6690"/>
            <w:tcMar>
              <w:top w:w="50" w:type="dxa"/>
              <w:left w:w="80" w:type="dxa"/>
              <w:bottom w:w="50" w:type="dxa"/>
              <w:right w:w="80" w:type="dxa"/>
            </w:tcMar>
          </w:tcPr>
          <w:p>
            <w:pPr>
              <w:spacing w:after="0"/>
            </w:pPr>
            <w:r>
              <w:rPr>
                <w:b w:val="0"/>
                <w:i w:val="0"/>
                <w:sz w:val="17"/>
              </w:rPr>
              <w:t>RMSE 0.552 d, MAE 0.384 d, R-squared 0.896; 75% of predictions within 0.5 day, 95% within 1 day</w:t>
            </w:r>
          </w:p>
        </w:tc>
      </w:tr>
      <w:tr>
        <w:trPr>
          <w:cantSplit w:val="true"/>
        </w:trPr>
        <w:tc>
          <w:tcPr>
            <w:tcW w:type="dxa" w:w="2835"/>
            <w:tcMar>
              <w:top w:w="50" w:type="dxa"/>
              <w:left w:w="80" w:type="dxa"/>
              <w:bottom w:w="50" w:type="dxa"/>
              <w:right w:w="80" w:type="dxa"/>
            </w:tcMar>
            <w:shd w:val="clear" w:color="auto" w:fill="F2F6FB"/>
          </w:tcPr>
          <w:p>
            <w:pPr>
              <w:spacing w:after="0"/>
            </w:pPr>
            <w:r>
              <w:rPr>
                <w:b w:val="0"/>
                <w:i w:val="0"/>
                <w:sz w:val="17"/>
              </w:rPr>
              <w:t>Late-risk classifier (hold-out)</w:t>
            </w:r>
          </w:p>
        </w:tc>
        <w:tc>
          <w:tcPr>
            <w:tcW w:type="dxa" w:w="6690"/>
            <w:tcMar>
              <w:top w:w="50" w:type="dxa"/>
              <w:left w:w="80" w:type="dxa"/>
              <w:bottom w:w="50" w:type="dxa"/>
              <w:right w:w="80" w:type="dxa"/>
            </w:tcMar>
            <w:shd w:val="clear" w:color="auto" w:fill="F2F6FB"/>
          </w:tcPr>
          <w:p>
            <w:pPr>
              <w:spacing w:after="0"/>
            </w:pPr>
            <w:r>
              <w:rPr>
                <w:b w:val="0"/>
                <w:i w:val="0"/>
                <w:sz w:val="17"/>
              </w:rPr>
              <w:t>ROC-AUC 0.76; reviewing the riskiest 20% of shipments catches 40% of late deliveries (precision 60% vs 30% base rate)</w:t>
            </w:r>
          </w:p>
        </w:tc>
      </w:tr>
      <w:tr>
        <w:trPr>
          <w:cantSplit w:val="true"/>
        </w:trPr>
        <w:tc>
          <w:tcPr>
            <w:tcW w:type="dxa" w:w="2835"/>
            <w:tcMar>
              <w:top w:w="50" w:type="dxa"/>
              <w:left w:w="80" w:type="dxa"/>
              <w:bottom w:w="50" w:type="dxa"/>
              <w:right w:w="80" w:type="dxa"/>
            </w:tcMar>
          </w:tcPr>
          <w:p>
            <w:pPr>
              <w:spacing w:after="0"/>
            </w:pPr>
            <w:r>
              <w:rPr>
                <w:b w:val="0"/>
                <w:i w:val="0"/>
                <w:sz w:val="17"/>
              </w:rPr>
              <w:t>Warehouse-to-hub LP (practical)</w:t>
            </w:r>
          </w:p>
        </w:tc>
        <w:tc>
          <w:tcPr>
            <w:tcW w:type="dxa" w:w="6690"/>
            <w:tcMar>
              <w:top w:w="50" w:type="dxa"/>
              <w:left w:w="80" w:type="dxa"/>
              <w:bottom w:w="50" w:type="dxa"/>
              <w:right w:w="80" w:type="dxa"/>
            </w:tcMar>
          </w:tcPr>
          <w:p>
            <w:pPr>
              <w:spacing w:after="0"/>
            </w:pPr>
            <w:r>
              <w:rPr>
                <w:b w:val="0"/>
                <w:i w:val="0"/>
                <w:sz w:val="17"/>
              </w:rPr>
              <w:t>19.1% lower delivery cost, late rate unchanged at 29.3%, 32% of volume re-routed</w:t>
            </w:r>
          </w:p>
        </w:tc>
      </w:tr>
      <w:tr>
        <w:trPr>
          <w:cantSplit w:val="true"/>
        </w:trPr>
        <w:tc>
          <w:tcPr>
            <w:tcW w:type="dxa" w:w="2835"/>
            <w:tcMar>
              <w:top w:w="50" w:type="dxa"/>
              <w:left w:w="80" w:type="dxa"/>
              <w:bottom w:w="50" w:type="dxa"/>
              <w:right w:w="80" w:type="dxa"/>
            </w:tcMar>
            <w:shd w:val="clear" w:color="auto" w:fill="F2F6FB"/>
          </w:tcPr>
          <w:p>
            <w:pPr>
              <w:spacing w:after="0"/>
            </w:pPr>
            <w:r>
              <w:rPr>
                <w:b w:val="0"/>
                <w:i w:val="0"/>
                <w:sz w:val="17"/>
              </w:rPr>
              <w:t>Carrier-mix LP</w:t>
            </w:r>
          </w:p>
        </w:tc>
        <w:tc>
          <w:tcPr>
            <w:tcW w:type="dxa" w:w="6690"/>
            <w:tcMar>
              <w:top w:w="50" w:type="dxa"/>
              <w:left w:w="80" w:type="dxa"/>
              <w:bottom w:w="50" w:type="dxa"/>
              <w:right w:w="80" w:type="dxa"/>
            </w:tcMar>
            <w:shd w:val="clear" w:color="auto" w:fill="F2F6FB"/>
          </w:tcPr>
          <w:p>
            <w:pPr>
              <w:spacing w:after="0"/>
            </w:pPr>
            <w:r>
              <w:rPr>
                <w:b w:val="0"/>
                <w:i w:val="0"/>
                <w:sz w:val="17"/>
              </w:rPr>
              <w:t>2.3% lower cost overall; late rate 29.4% to 29.3%</w:t>
            </w:r>
          </w:p>
        </w:tc>
      </w:tr>
      <w:tr>
        <w:trPr>
          <w:cantSplit w:val="true"/>
        </w:trPr>
        <w:tc>
          <w:tcPr>
            <w:tcW w:type="dxa" w:w="2835"/>
            <w:tcMar>
              <w:top w:w="50" w:type="dxa"/>
              <w:left w:w="80" w:type="dxa"/>
              <w:bottom w:w="50" w:type="dxa"/>
              <w:right w:w="80" w:type="dxa"/>
            </w:tcMar>
          </w:tcPr>
          <w:p>
            <w:pPr>
              <w:spacing w:after="0"/>
            </w:pPr>
            <w:r>
              <w:rPr>
                <w:b w:val="0"/>
                <w:i w:val="0"/>
                <w:sz w:val="17"/>
              </w:rPr>
              <w:t>Model-based delivery promise</w:t>
            </w:r>
          </w:p>
        </w:tc>
        <w:tc>
          <w:tcPr>
            <w:tcW w:type="dxa" w:w="6690"/>
            <w:tcMar>
              <w:top w:w="50" w:type="dxa"/>
              <w:left w:w="80" w:type="dxa"/>
              <w:bottom w:w="50" w:type="dxa"/>
              <w:right w:w="80" w:type="dxa"/>
            </w:tcMar>
          </w:tcPr>
          <w:p>
            <w:pPr>
              <w:spacing w:after="0"/>
            </w:pPr>
            <w:r>
              <w:rPr>
                <w:b w:val="0"/>
                <w:i w:val="0"/>
                <w:sz w:val="17"/>
              </w:rPr>
              <w:t>90% on-time needs an average promise of 4.41 days vs 4.65 days with a flat buffer</w:t>
            </w:r>
          </w:p>
        </w:tc>
      </w:tr>
    </w:tbl>
    <w:p>
      <w:pPr>
        <w:spacing w:after="40"/>
      </w:pPr>
    </w:p>
    <w:p>
      <w:pPr>
        <w:pStyle w:val="Heading1"/>
      </w:pPr>
      <w:r>
        <w:t>2. Problem definition and data</w:t>
      </w:r>
    </w:p>
    <w:p>
      <w:r>
        <w:rPr>
          <w:b/>
          <w:i w:val="0"/>
        </w:rPr>
        <w:t>Prediction target.</w:t>
      </w:r>
      <w:r>
        <w:rPr>
          <w:b w:val="0"/>
          <w:i w:val="0"/>
        </w:rPr>
        <w:t xml:space="preserve"> actual_days, the delivery time in days, is a continuous regression target. A second target, delayed (actual_days greater than planned_days), supports a classification model for proactive intervention. </w:t>
      </w:r>
      <w:r>
        <w:rPr>
          <w:b/>
          <w:i w:val="0"/>
        </w:rPr>
        <w:t>Business use.</w:t>
      </w:r>
      <w:r>
        <w:rPr>
          <w:b w:val="0"/>
          <w:i w:val="0"/>
        </w:rPr>
        <w:t xml:space="preserve"> Better delivery-time predictions allow realistic promise dates; late-risk scores allow the operations team to review a small share of shipments instead of all of them.</w:t>
      </w:r>
    </w:p>
    <w:p>
      <w:r>
        <w:rPr>
          <w:b/>
          <w:i w:val="0"/>
        </w:rPr>
        <w:t>Features.</w:t>
      </w:r>
      <w:r>
        <w:rPr>
          <w:b w:val="0"/>
          <w:i w:val="0"/>
        </w:rPr>
        <w:t xml:space="preserve"> Only information available at dispatch time is used, so there is no target leakage: distance, weight, volume, order value, weather and traffic indices (as forecast), planned days, peak-season flag, order month and weekday (numeric); shipping mode, priority, carrier, origin warehouse, destination zone and product category (categorical, one-hot encoded). Customer rating, delay_days and delayed are excluded because they are only known after delivery.</w:t>
      </w:r>
    </w:p>
    <w:p>
      <w:r>
        <w:rPr>
          <w:b/>
          <w:i w:val="0"/>
        </w:rPr>
        <w:t>Split.</w:t>
      </w:r>
      <w:r>
        <w:rPr>
          <w:b w:val="0"/>
          <w:i w:val="0"/>
        </w:rPr>
        <w:t xml:space="preserve"> An 80/20 random split (9,504 / 2,376) with seed 42. All tuning uses 5-fold cross-validation on the training part only; the test set is touched once for final scoring. A forward-chaining time-series CV is added as a robustness check because deployed models predict the future from the past.</w:t>
      </w:r>
    </w:p>
    <w:p>
      <w:pPr>
        <w:keepNext/>
        <w:spacing w:after="40"/>
      </w:pPr>
      <w:r>
        <w:rPr>
          <w:b/>
          <w:color w:val="1F3864"/>
          <w:sz w:val="18"/>
        </w:rPr>
        <w:t>Code 1. Features, split and preprocessing pipeline</w:t>
      </w:r>
    </w:p>
    <w:p>
      <w:pPr>
        <w:pStyle w:val="CodeBlock"/>
      </w:pPr>
      <w:r>
        <w:t>NUM = ["distance_km", "weight_kg", "volume_m3", "order_value_inr", "weather_index", "traffic_index", "planned_days",</w:t>
      </w:r>
    </w:p>
    <w:p>
      <w:pPr>
        <w:pStyle w:val="CodeBlock"/>
      </w:pPr>
      <w:r>
        <w:t xml:space="preserve">       "is_peak_season", "order_month", "order_dow"]</w:t>
      </w:r>
    </w:p>
    <w:p>
      <w:pPr>
        <w:pStyle w:val="CodeBlock"/>
      </w:pPr>
      <w:r>
        <w:t>CAT = ["shipping_mode", "priority", "carrier", "origin_warehouse", "destination_zone", "product_category"]</w:t>
      </w:r>
    </w:p>
    <w:p>
      <w:pPr>
        <w:pStyle w:val="CodeBlock"/>
      </w:pPr>
      <w:r>
        <w:t>FEATURES = NUM + CAT          # everything here is known (or forecast) at dispatch time - no leakage</w:t>
      </w:r>
    </w:p>
    <w:p>
      <w:pPr>
        <w:pStyle w:val="CodeBlock"/>
      </w:pPr>
      <w:r>
        <w:t>TARGET = "actual_days"</w:t>
      </w:r>
    </w:p>
    <w:p>
      <w:pPr>
        <w:pStyle w:val="CodeBlock"/>
      </w:pPr>
      <w:r>
        <w:t xml:space="preserve"> </w:t>
      </w:r>
    </w:p>
    <w:p>
      <w:pPr>
        <w:pStyle w:val="CodeBlock"/>
      </w:pPr>
      <w:r>
        <w:t>X, y = df[FEATURES], df[TARGET]</w:t>
      </w:r>
    </w:p>
    <w:p>
      <w:pPr>
        <w:pStyle w:val="CodeBlock"/>
      </w:pPr>
      <w:r>
        <w:t>X_tr, X_te, y_tr, y_te = train_test_split(X, y, test_size=0.20, random_state=SEED)</w:t>
      </w:r>
    </w:p>
    <w:p>
      <w:pPr>
        <w:pStyle w:val="CodeBlock"/>
      </w:pPr>
      <w:r>
        <w:t>idx_tr, idx_te = X_tr.index, X_te.index</w:t>
      </w:r>
    </w:p>
    <w:p>
      <w:pPr>
        <w:pStyle w:val="CodeBlock"/>
      </w:pPr>
      <w:r>
        <w:t xml:space="preserve"> </w:t>
      </w:r>
    </w:p>
    <w:p>
      <w:pPr>
        <w:pStyle w:val="CodeBlock"/>
      </w:pPr>
      <w:r>
        <w:t xml:space="preserve"> </w:t>
      </w:r>
    </w:p>
    <w:p>
      <w:pPr>
        <w:pStyle w:val="CodeBlock"/>
      </w:pPr>
      <w:r>
        <w:t>def prep() -&gt; ColumnTransformer:</w:t>
      </w:r>
    </w:p>
    <w:p>
      <w:pPr>
        <w:pStyle w:val="CodeBlock"/>
      </w:pPr>
      <w:r>
        <w:t xml:space="preserve">    return ColumnTransformer([("num", StandardScaler(), NUM),</w:t>
      </w:r>
    </w:p>
    <w:p>
      <w:pPr>
        <w:pStyle w:val="CodeBlock"/>
      </w:pPr>
      <w:r>
        <w:t xml:space="preserve">                              ("cat", OneHotEncoder(handle_unknown="ignore", sparse_output=False), CAT)])</w:t>
      </w:r>
    </w:p>
    <w:p>
      <w:pPr>
        <w:pStyle w:val="CodeBlock"/>
      </w:pPr>
      <w:r>
        <w:t xml:space="preserve"> </w:t>
      </w:r>
    </w:p>
    <w:p>
      <w:pPr>
        <w:pStyle w:val="CodeBlock"/>
      </w:pPr>
      <w:r>
        <w:t xml:space="preserve"> </w:t>
      </w:r>
    </w:p>
    <w:p>
      <w:pPr>
        <w:pStyle w:val="CodeBlock"/>
      </w:pPr>
      <w:r>
        <w:t>def pipe(model) -&gt; Pipeline:</w:t>
      </w:r>
    </w:p>
    <w:p>
      <w:pPr>
        <w:pStyle w:val="CodeBlock"/>
      </w:pPr>
      <w:r>
        <w:t xml:space="preserve">    return Pipeline([("prep", prep()), ("model", model)])</w:t>
      </w:r>
    </w:p>
    <w:p>
      <w:pPr>
        <w:spacing w:after="40"/>
      </w:pPr>
    </w:p>
    <w:p>
      <w:pPr>
        <w:pStyle w:val="Heading1"/>
      </w:pPr>
      <w:r>
        <w:t>3. Model selection and implementation</w:t>
      </w:r>
    </w:p>
    <w:p>
      <w:pPr>
        <w:pStyle w:val="Heading2"/>
      </w:pPr>
      <w:r>
        <w:t>3.1 Candidate models and rationale</w:t>
      </w:r>
    </w:p>
    <w:p>
      <w:pPr>
        <w:keepNext/>
        <w:spacing w:after="60"/>
      </w:pPr>
      <w:r>
        <w:rPr>
          <w:b/>
          <w:color w:val="1F3864"/>
          <w:sz w:val="18"/>
        </w:rPr>
        <w:t xml:space="preserve">Table 2. </w:t>
      </w:r>
      <w:r>
        <w:rPr>
          <w:color w:val="52514E"/>
          <w:sz w:val="18"/>
        </w:rPr>
        <w:t>Candidate models.</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4706"/>
        <w:gridCol w:w="4706"/>
      </w:tblGrid>
      <w:tr>
        <w:trPr>
          <w:tblHeader w:val="true"/>
        </w:trPr>
        <w:tc>
          <w:tcPr>
            <w:tcW w:type="dxa" w:w="2835"/>
            <w:shd w:val="clear" w:color="auto" w:fill="1F3864"/>
            <w:tcMar>
              <w:top w:w="50" w:type="dxa"/>
              <w:left w:w="80" w:type="dxa"/>
              <w:bottom w:w="50" w:type="dxa"/>
              <w:right w:w="80" w:type="dxa"/>
            </w:tcMar>
          </w:tcPr>
          <w:p>
            <w:pPr>
              <w:spacing w:after="0"/>
            </w:pPr>
            <w:r>
              <w:rPr>
                <w:b/>
                <w:color w:val="FFFFFF"/>
                <w:sz w:val="18"/>
              </w:rPr>
              <w:t>Model</w:t>
            </w:r>
          </w:p>
        </w:tc>
        <w:tc>
          <w:tcPr>
            <w:tcW w:type="dxa" w:w="6690"/>
            <w:shd w:val="clear" w:color="auto" w:fill="1F3864"/>
            <w:tcMar>
              <w:top w:w="50" w:type="dxa"/>
              <w:left w:w="80" w:type="dxa"/>
              <w:bottom w:w="50" w:type="dxa"/>
              <w:right w:w="80" w:type="dxa"/>
            </w:tcMar>
          </w:tcPr>
          <w:p>
            <w:pPr>
              <w:spacing w:after="0"/>
            </w:pPr>
            <w:r>
              <w:rPr>
                <w:b/>
                <w:color w:val="FFFFFF"/>
                <w:sz w:val="18"/>
              </w:rPr>
              <w:t>Why it was included</w:t>
            </w:r>
          </w:p>
        </w:tc>
      </w:tr>
      <w:tr>
        <w:trPr>
          <w:cantSplit w:val="true"/>
        </w:trPr>
        <w:tc>
          <w:tcPr>
            <w:tcW w:type="dxa" w:w="2835"/>
            <w:tcMar>
              <w:top w:w="50" w:type="dxa"/>
              <w:left w:w="80" w:type="dxa"/>
              <w:bottom w:w="50" w:type="dxa"/>
              <w:right w:w="80" w:type="dxa"/>
            </w:tcMar>
          </w:tcPr>
          <w:p>
            <w:pPr>
              <w:spacing w:after="0"/>
            </w:pPr>
            <w:r>
              <w:rPr>
                <w:b w:val="0"/>
                <w:i w:val="0"/>
                <w:sz w:val="18"/>
              </w:rPr>
              <w:t>Mean predictor</w:t>
            </w:r>
          </w:p>
        </w:tc>
        <w:tc>
          <w:tcPr>
            <w:tcW w:type="dxa" w:w="6690"/>
            <w:tcMar>
              <w:top w:w="50" w:type="dxa"/>
              <w:left w:w="80" w:type="dxa"/>
              <w:bottom w:w="50" w:type="dxa"/>
              <w:right w:w="80" w:type="dxa"/>
            </w:tcMar>
          </w:tcPr>
          <w:p>
            <w:pPr>
              <w:spacing w:after="0"/>
            </w:pPr>
            <w:r>
              <w:rPr>
                <w:b w:val="0"/>
                <w:i w:val="0"/>
                <w:sz w:val="18"/>
              </w:rPr>
              <w:t>Floor: any useful model must beat predicting the average</w:t>
            </w:r>
          </w:p>
        </w:tc>
      </w:tr>
      <w:tr>
        <w:trPr>
          <w:cantSplit w:val="true"/>
        </w:trPr>
        <w:tc>
          <w:tcPr>
            <w:tcW w:type="dxa" w:w="2835"/>
            <w:tcMar>
              <w:top w:w="50" w:type="dxa"/>
              <w:left w:w="80" w:type="dxa"/>
              <w:bottom w:w="50" w:type="dxa"/>
              <w:right w:w="80" w:type="dxa"/>
            </w:tcMar>
            <w:shd w:val="clear" w:color="auto" w:fill="F2F6FB"/>
          </w:tcPr>
          <w:p>
            <w:pPr>
              <w:spacing w:after="0"/>
            </w:pPr>
            <w:r>
              <w:rPr>
                <w:b w:val="0"/>
                <w:i w:val="0"/>
                <w:sz w:val="18"/>
              </w:rPr>
              <w:t>Promised days (current rule)</w:t>
            </w:r>
          </w:p>
        </w:tc>
        <w:tc>
          <w:tcPr>
            <w:tcW w:type="dxa" w:w="6690"/>
            <w:tcMar>
              <w:top w:w="50" w:type="dxa"/>
              <w:left w:w="80" w:type="dxa"/>
              <w:bottom w:w="50" w:type="dxa"/>
              <w:right w:w="80" w:type="dxa"/>
            </w:tcMar>
            <w:shd w:val="clear" w:color="auto" w:fill="F2F6FB"/>
          </w:tcPr>
          <w:p>
            <w:pPr>
              <w:spacing w:after="0"/>
            </w:pPr>
            <w:r>
              <w:rPr>
                <w:b w:val="0"/>
                <w:i w:val="0"/>
                <w:sz w:val="18"/>
              </w:rPr>
              <w:t>Business baseline: how good is today's promise as a predictor?</w:t>
            </w:r>
          </w:p>
        </w:tc>
      </w:tr>
      <w:tr>
        <w:trPr>
          <w:cantSplit w:val="true"/>
        </w:trPr>
        <w:tc>
          <w:tcPr>
            <w:tcW w:type="dxa" w:w="2835"/>
            <w:tcMar>
              <w:top w:w="50" w:type="dxa"/>
              <w:left w:w="80" w:type="dxa"/>
              <w:bottom w:w="50" w:type="dxa"/>
              <w:right w:w="80" w:type="dxa"/>
            </w:tcMar>
          </w:tcPr>
          <w:p>
            <w:pPr>
              <w:spacing w:after="0"/>
            </w:pPr>
            <w:r>
              <w:rPr>
                <w:b w:val="0"/>
                <w:i w:val="0"/>
                <w:sz w:val="18"/>
              </w:rPr>
              <w:t>Linear / Ridge regression</w:t>
            </w:r>
          </w:p>
        </w:tc>
        <w:tc>
          <w:tcPr>
            <w:tcW w:type="dxa" w:w="6690"/>
            <w:tcMar>
              <w:top w:w="50" w:type="dxa"/>
              <w:left w:w="80" w:type="dxa"/>
              <w:bottom w:w="50" w:type="dxa"/>
              <w:right w:w="80" w:type="dxa"/>
            </w:tcMar>
          </w:tcPr>
          <w:p>
            <w:pPr>
              <w:spacing w:after="0"/>
            </w:pPr>
            <w:r>
              <w:rPr>
                <w:b w:val="0"/>
                <w:i w:val="0"/>
                <w:sz w:val="18"/>
              </w:rPr>
              <w:t>Interpretable, fast; delivery time is strongly linear in distance and promised days</w:t>
            </w:r>
          </w:p>
        </w:tc>
      </w:tr>
      <w:tr>
        <w:trPr>
          <w:cantSplit w:val="true"/>
        </w:trPr>
        <w:tc>
          <w:tcPr>
            <w:tcW w:type="dxa" w:w="2835"/>
            <w:tcMar>
              <w:top w:w="50" w:type="dxa"/>
              <w:left w:w="80" w:type="dxa"/>
              <w:bottom w:w="50" w:type="dxa"/>
              <w:right w:w="80" w:type="dxa"/>
            </w:tcMar>
            <w:shd w:val="clear" w:color="auto" w:fill="F2F6FB"/>
          </w:tcPr>
          <w:p>
            <w:pPr>
              <w:spacing w:after="0"/>
            </w:pPr>
            <w:r>
              <w:rPr>
                <w:b w:val="0"/>
                <w:i w:val="0"/>
                <w:sz w:val="18"/>
              </w:rPr>
              <w:t>Decision tree (depth 8)</w:t>
            </w:r>
          </w:p>
        </w:tc>
        <w:tc>
          <w:tcPr>
            <w:tcW w:type="dxa" w:w="6690"/>
            <w:tcMar>
              <w:top w:w="50" w:type="dxa"/>
              <w:left w:w="80" w:type="dxa"/>
              <w:bottom w:w="50" w:type="dxa"/>
              <w:right w:w="80" w:type="dxa"/>
            </w:tcMar>
            <w:shd w:val="clear" w:color="auto" w:fill="F2F6FB"/>
          </w:tcPr>
          <w:p>
            <w:pPr>
              <w:spacing w:after="0"/>
            </w:pPr>
            <w:r>
              <w:rPr>
                <w:b w:val="0"/>
                <w:i w:val="0"/>
                <w:sz w:val="18"/>
              </w:rPr>
              <w:t>Captures interactions and non-linearities; easy to explain, but high variance</w:t>
            </w:r>
          </w:p>
        </w:tc>
      </w:tr>
      <w:tr>
        <w:trPr>
          <w:cantSplit w:val="true"/>
        </w:trPr>
        <w:tc>
          <w:tcPr>
            <w:tcW w:type="dxa" w:w="2835"/>
            <w:tcMar>
              <w:top w:w="50" w:type="dxa"/>
              <w:left w:w="80" w:type="dxa"/>
              <w:bottom w:w="50" w:type="dxa"/>
              <w:right w:w="80" w:type="dxa"/>
            </w:tcMar>
          </w:tcPr>
          <w:p>
            <w:pPr>
              <w:spacing w:after="0"/>
            </w:pPr>
            <w:r>
              <w:rPr>
                <w:b w:val="0"/>
                <w:i w:val="0"/>
                <w:sz w:val="18"/>
              </w:rPr>
              <w:t>Random forest (Breiman, 2001)</w:t>
            </w:r>
          </w:p>
        </w:tc>
        <w:tc>
          <w:tcPr>
            <w:tcW w:type="dxa" w:w="6690"/>
            <w:tcMar>
              <w:top w:w="50" w:type="dxa"/>
              <w:left w:w="80" w:type="dxa"/>
              <w:bottom w:w="50" w:type="dxa"/>
              <w:right w:w="80" w:type="dxa"/>
            </w:tcMar>
          </w:tcPr>
          <w:p>
            <w:pPr>
              <w:spacing w:after="0"/>
            </w:pPr>
            <w:r>
              <w:rPr>
                <w:b w:val="0"/>
                <w:i w:val="0"/>
                <w:sz w:val="18"/>
              </w:rPr>
              <w:t>Averages many trees; reduces variance, robust to scaling and outliers</w:t>
            </w:r>
          </w:p>
        </w:tc>
      </w:tr>
      <w:tr>
        <w:trPr>
          <w:cantSplit w:val="true"/>
        </w:trPr>
        <w:tc>
          <w:tcPr>
            <w:tcW w:type="dxa" w:w="2835"/>
            <w:tcMar>
              <w:top w:w="50" w:type="dxa"/>
              <w:left w:w="80" w:type="dxa"/>
              <w:bottom w:w="50" w:type="dxa"/>
              <w:right w:w="80" w:type="dxa"/>
            </w:tcMar>
            <w:shd w:val="clear" w:color="auto" w:fill="F2F6FB"/>
          </w:tcPr>
          <w:p>
            <w:pPr>
              <w:spacing w:after="0"/>
            </w:pPr>
            <w:r>
              <w:rPr>
                <w:b w:val="0"/>
                <w:i w:val="0"/>
                <w:sz w:val="18"/>
              </w:rPr>
              <w:t>Gradient boosting (Friedman, 2001)</w:t>
            </w:r>
          </w:p>
        </w:tc>
        <w:tc>
          <w:tcPr>
            <w:tcW w:type="dxa" w:w="6690"/>
            <w:tcMar>
              <w:top w:w="50" w:type="dxa"/>
              <w:left w:w="80" w:type="dxa"/>
              <w:bottom w:w="50" w:type="dxa"/>
              <w:right w:w="80" w:type="dxa"/>
            </w:tcMar>
            <w:shd w:val="clear" w:color="auto" w:fill="F2F6FB"/>
          </w:tcPr>
          <w:p>
            <w:pPr>
              <w:spacing w:after="0"/>
            </w:pPr>
            <w:r>
              <w:rPr>
                <w:b w:val="0"/>
                <w:i w:val="0"/>
                <w:sz w:val="18"/>
              </w:rPr>
              <w:t>Builds trees sequentially on residuals; usually the strongest tabular learner</w:t>
            </w:r>
          </w:p>
        </w:tc>
      </w:tr>
    </w:tbl>
    <w:p>
      <w:pPr>
        <w:spacing w:after="40"/>
      </w:pPr>
    </w:p>
    <w:p>
      <w:pPr>
        <w:keepNext/>
        <w:spacing w:after="40"/>
      </w:pPr>
      <w:r>
        <w:rPr>
          <w:b/>
          <w:color w:val="1F3864"/>
          <w:sz w:val="18"/>
        </w:rPr>
        <w:t>Code 2. Training and cross-validating every candidate inside one Pipeline</w:t>
      </w:r>
    </w:p>
    <w:p>
      <w:pPr>
        <w:pStyle w:val="CodeBlock"/>
      </w:pPr>
      <w:r>
        <w:t>models = {</w:t>
      </w:r>
    </w:p>
    <w:p>
      <w:pPr>
        <w:pStyle w:val="CodeBlock"/>
      </w:pPr>
      <w:r>
        <w:t xml:space="preserve">    "Mean predictor": DummyRegressor(strategy="mean"),</w:t>
      </w:r>
    </w:p>
    <w:p>
      <w:pPr>
        <w:pStyle w:val="CodeBlock"/>
      </w:pPr>
      <w:r>
        <w:t xml:space="preserve">    "Linear regression": LinearRegression(),</w:t>
      </w:r>
    </w:p>
    <w:p>
      <w:pPr>
        <w:pStyle w:val="CodeBlock"/>
      </w:pPr>
      <w:r>
        <w:t xml:space="preserve">    "Ridge (alpha=1)": Ridge(alpha=1.0),</w:t>
      </w:r>
    </w:p>
    <w:p>
      <w:pPr>
        <w:pStyle w:val="CodeBlock"/>
      </w:pPr>
      <w:r>
        <w:t xml:space="preserve">    "Decision tree (depth 8)": DecisionTreeRegressor(max_depth=8, min_samples_leaf=20, random_state=SEED),</w:t>
      </w:r>
    </w:p>
    <w:p>
      <w:pPr>
        <w:pStyle w:val="CodeBlock"/>
      </w:pPr>
      <w:r>
        <w:t xml:space="preserve">    "Random forest": RandomForestRegressor(n_estimators=300, min_samples_leaf=3, n_jobs=-1, random_state=SEED),</w:t>
      </w:r>
    </w:p>
    <w:p>
      <w:pPr>
        <w:pStyle w:val="CodeBlock"/>
      </w:pPr>
      <w:r>
        <w:t xml:space="preserve">    "Gradient boosting (default)": HistGradientBoostingRegressor(random_state=SEED),</w:t>
      </w:r>
    </w:p>
    <w:p>
      <w:pPr>
        <w:pStyle w:val="CodeBlock"/>
      </w:pPr>
      <w:r>
        <w:t>}</w:t>
      </w:r>
    </w:p>
    <w:p>
      <w:pPr>
        <w:pStyle w:val="CodeBlock"/>
      </w:pPr>
      <w:r>
        <w:t>cv = KFold(n_splits=5, shuffle=True, random_state=SEED)</w:t>
      </w:r>
    </w:p>
    <w:p>
      <w:pPr>
        <w:pStyle w:val="CodeBlock"/>
      </w:pPr>
      <w:r>
        <w:t>scoring = {"rmse": "neg_root_mean_squared_error", "mae": "neg_mean_absolute_error", "r2": "r2"}</w:t>
      </w:r>
    </w:p>
    <w:p>
      <w:pPr>
        <w:pStyle w:val="CodeBlock"/>
      </w:pPr>
      <w:r>
        <w:t>rows = []</w:t>
      </w:r>
    </w:p>
    <w:p>
      <w:pPr>
        <w:pStyle w:val="CodeBlock"/>
      </w:pPr>
      <w:r>
        <w:t>fitted = {}</w:t>
      </w:r>
    </w:p>
    <w:p>
      <w:pPr>
        <w:pStyle w:val="CodeBlock"/>
      </w:pPr>
      <w:r>
        <w:t>for name, m in models.items():</w:t>
      </w:r>
    </w:p>
    <w:p>
      <w:pPr>
        <w:pStyle w:val="CodeBlock"/>
      </w:pPr>
      <w:r>
        <w:t xml:space="preserve">    p = pipe(m)</w:t>
      </w:r>
    </w:p>
    <w:p>
      <w:pPr>
        <w:pStyle w:val="CodeBlock"/>
      </w:pPr>
      <w:r>
        <w:t xml:space="preserve">    cvr = cross_validate(p, X_tr, y_tr, cv=cv, scoring=scoring, n_jobs=1)</w:t>
      </w:r>
    </w:p>
    <w:p>
      <w:pPr>
        <w:pStyle w:val="CodeBlock"/>
      </w:pPr>
      <w:r>
        <w:t xml:space="preserve">    p.fit(X_tr, y_tr); pred = p.predict(X_te); fitted[name] = p</w:t>
      </w:r>
    </w:p>
    <w:p>
      <w:pPr>
        <w:pStyle w:val="CodeBlock"/>
      </w:pPr>
      <w:r>
        <w:t xml:space="preserve">    rows.append({"model": name, "cv_rmse": -cvr["test_rmse"].mean(), "cv_rmse_sd": cvr["test_rmse"].std(),</w:t>
      </w:r>
    </w:p>
    <w:p>
      <w:pPr>
        <w:pStyle w:val="CodeBlock"/>
      </w:pPr>
      <w:r>
        <w:t xml:space="preserve">                 "cv_mae": -cvr["test_mae"].mean(), "cv_r2": cvr["test_r2"].mean(),</w:t>
      </w:r>
    </w:p>
    <w:p>
      <w:pPr>
        <w:pStyle w:val="CodeBlock"/>
      </w:pPr>
      <w:r>
        <w:t xml:space="preserve">                 "test_rmse": root_mean_squared_error(y_te, pred), "test_mae": mean_absolute_error(y_te, pred),</w:t>
      </w:r>
    </w:p>
    <w:p>
      <w:pPr>
        <w:pStyle w:val="CodeBlock"/>
      </w:pPr>
      <w:r>
        <w:t xml:space="preserve">                 "test_r2": r2_score(y_te, pred)})</w:t>
      </w:r>
    </w:p>
    <w:p>
      <w:pPr>
        <w:spacing w:after="40"/>
      </w:pPr>
    </w:p>
    <w:p>
      <w:r>
        <w:rPr>
          <w:b w:val="0"/>
          <w:i w:val="0"/>
        </w:rPr>
        <w:t>Scaling and encoding live inside a scikit-learn Pipeline, so they are re-fitted on each training fold. This prevents information from the validation fold leaking into preprocessing.</w:t>
      </w:r>
    </w:p>
    <w:p>
      <w:pPr>
        <w:pStyle w:val="Heading2"/>
      </w:pPr>
      <w:r>
        <w:t>3.2 Evaluation metrics</w:t>
      </w:r>
    </w:p>
    <w:p>
      <w:pPr>
        <w:pStyle w:val="ListBullet"/>
      </w:pPr>
      <w:r>
        <w:rPr>
          <w:b/>
          <w:i w:val="0"/>
        </w:rPr>
        <w:t>RMSE</w:t>
      </w:r>
      <w:r>
        <w:rPr>
          <w:b w:val="0"/>
          <w:i w:val="0"/>
        </w:rPr>
        <w:t xml:space="preserve"> (days): square root of mean squared error; penalises large misses, so it is the main metric because very late parcels are the costly ones.</w:t>
      </w:r>
    </w:p>
    <w:p>
      <w:pPr>
        <w:pStyle w:val="ListBullet"/>
      </w:pPr>
      <w:r>
        <w:rPr>
          <w:b/>
          <w:i w:val="0"/>
        </w:rPr>
        <w:t>MAE</w:t>
      </w:r>
      <w:r>
        <w:rPr>
          <w:b w:val="0"/>
          <w:i w:val="0"/>
        </w:rPr>
        <w:t xml:space="preserve"> (days): average absolute miss; easy to explain to operations ('wrong by about 0.4 day').</w:t>
      </w:r>
    </w:p>
    <w:p>
      <w:pPr>
        <w:pStyle w:val="ListBullet"/>
      </w:pPr>
      <w:r>
        <w:rPr>
          <w:b/>
          <w:i w:val="0"/>
        </w:rPr>
        <w:t>R-squared:</w:t>
      </w:r>
      <w:r>
        <w:rPr>
          <w:b w:val="0"/>
          <w:i w:val="0"/>
        </w:rPr>
        <w:t xml:space="preserve"> share of variance explained, for comparing with the mean predictor. For classification: ROC-AUC, average precision and a gain curve, because the late class is a 30% minority and accuracy would be misleading.</w:t>
      </w:r>
    </w:p>
    <w:p>
      <w:pPr>
        <w:pStyle w:val="Heading2"/>
      </w:pPr>
      <w:r>
        <w:t>3.3 Results</w:t>
      </w:r>
    </w:p>
    <w:p>
      <w:pPr>
        <w:keepNext/>
        <w:spacing w:after="60"/>
      </w:pPr>
      <w:r>
        <w:rPr>
          <w:b/>
          <w:color w:val="1F3864"/>
          <w:sz w:val="18"/>
        </w:rPr>
        <w:t xml:space="preserve">Table 3. </w:t>
      </w:r>
      <w:r>
        <w:rPr>
          <w:color w:val="52514E"/>
          <w:sz w:val="18"/>
        </w:rPr>
        <w:t>Delivery-time models: 5-fold CV on training data and hold-out test scores.</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1882"/>
        <w:gridCol w:w="1882"/>
        <w:gridCol w:w="1882"/>
        <w:gridCol w:w="1882"/>
        <w:gridCol w:w="1882"/>
      </w:tblGrid>
      <w:tr>
        <w:trPr>
          <w:tblHeader w:val="true"/>
        </w:trPr>
        <w:tc>
          <w:tcPr>
            <w:tcW w:type="dxa" w:w="3402"/>
            <w:shd w:val="clear" w:color="auto" w:fill="1F3864"/>
            <w:tcMar>
              <w:top w:w="50" w:type="dxa"/>
              <w:left w:w="80" w:type="dxa"/>
              <w:bottom w:w="50" w:type="dxa"/>
              <w:right w:w="80" w:type="dxa"/>
            </w:tcMar>
          </w:tcPr>
          <w:p>
            <w:pPr>
              <w:spacing w:after="0"/>
            </w:pPr>
            <w:r>
              <w:rPr>
                <w:b/>
                <w:color w:val="FFFFFF"/>
                <w:sz w:val="18"/>
              </w:rPr>
              <w:t>Model</w:t>
            </w:r>
          </w:p>
        </w:tc>
        <w:tc>
          <w:tcPr>
            <w:tcW w:type="dxa" w:w="1474"/>
            <w:shd w:val="clear" w:color="auto" w:fill="1F3864"/>
            <w:tcMar>
              <w:top w:w="50" w:type="dxa"/>
              <w:left w:w="80" w:type="dxa"/>
              <w:bottom w:w="50" w:type="dxa"/>
              <w:right w:w="80" w:type="dxa"/>
            </w:tcMar>
          </w:tcPr>
          <w:p>
            <w:pPr>
              <w:spacing w:after="0"/>
              <w:jc w:val="right"/>
            </w:pPr>
            <w:r>
              <w:rPr>
                <w:b/>
                <w:color w:val="FFFFFF"/>
                <w:sz w:val="18"/>
              </w:rPr>
              <w:t>CV RMSE</w:t>
            </w:r>
          </w:p>
        </w:tc>
        <w:tc>
          <w:tcPr>
            <w:tcW w:type="dxa" w:w="1474"/>
            <w:shd w:val="clear" w:color="auto" w:fill="1F3864"/>
            <w:tcMar>
              <w:top w:w="50" w:type="dxa"/>
              <w:left w:w="80" w:type="dxa"/>
              <w:bottom w:w="50" w:type="dxa"/>
              <w:right w:w="80" w:type="dxa"/>
            </w:tcMar>
          </w:tcPr>
          <w:p>
            <w:pPr>
              <w:spacing w:after="0"/>
              <w:jc w:val="right"/>
            </w:pPr>
            <w:r>
              <w:rPr>
                <w:b/>
                <w:color w:val="FFFFFF"/>
                <w:sz w:val="18"/>
              </w:rPr>
              <w:t>Test RMSE</w:t>
            </w:r>
          </w:p>
        </w:tc>
        <w:tc>
          <w:tcPr>
            <w:tcW w:type="dxa" w:w="1474"/>
            <w:shd w:val="clear" w:color="auto" w:fill="1F3864"/>
            <w:tcMar>
              <w:top w:w="50" w:type="dxa"/>
              <w:left w:w="80" w:type="dxa"/>
              <w:bottom w:w="50" w:type="dxa"/>
              <w:right w:w="80" w:type="dxa"/>
            </w:tcMar>
          </w:tcPr>
          <w:p>
            <w:pPr>
              <w:spacing w:after="0"/>
              <w:jc w:val="right"/>
            </w:pPr>
            <w:r>
              <w:rPr>
                <w:b/>
                <w:color w:val="FFFFFF"/>
                <w:sz w:val="18"/>
              </w:rPr>
              <w:t>Test MAE</w:t>
            </w:r>
          </w:p>
        </w:tc>
        <w:tc>
          <w:tcPr>
            <w:tcW w:type="dxa" w:w="1701"/>
            <w:shd w:val="clear" w:color="auto" w:fill="1F3864"/>
            <w:tcMar>
              <w:top w:w="50" w:type="dxa"/>
              <w:left w:w="80" w:type="dxa"/>
              <w:bottom w:w="50" w:type="dxa"/>
              <w:right w:w="80" w:type="dxa"/>
            </w:tcMar>
          </w:tcPr>
          <w:p>
            <w:pPr>
              <w:spacing w:after="0"/>
              <w:jc w:val="right"/>
            </w:pPr>
            <w:r>
              <w:rPr>
                <w:b/>
                <w:color w:val="FFFFFF"/>
                <w:sz w:val="18"/>
              </w:rPr>
              <w:t>Test R-squared</w:t>
            </w:r>
          </w:p>
        </w:tc>
      </w:tr>
      <w:tr>
        <w:trPr>
          <w:cantSplit w:val="true"/>
        </w:trPr>
        <w:tc>
          <w:tcPr>
            <w:tcW w:type="dxa" w:w="3402"/>
            <w:tcMar>
              <w:top w:w="50" w:type="dxa"/>
              <w:left w:w="80" w:type="dxa"/>
              <w:bottom w:w="50" w:type="dxa"/>
              <w:right w:w="80" w:type="dxa"/>
            </w:tcMar>
          </w:tcPr>
          <w:p>
            <w:pPr>
              <w:spacing w:after="0"/>
            </w:pPr>
            <w:r>
              <w:rPr>
                <w:b w:val="0"/>
                <w:i w:val="0"/>
                <w:sz w:val="18"/>
              </w:rPr>
              <w:t>Mean predictor</w:t>
            </w:r>
          </w:p>
        </w:tc>
        <w:tc>
          <w:tcPr>
            <w:tcW w:type="dxa" w:w="1474"/>
            <w:tcMar>
              <w:top w:w="50" w:type="dxa"/>
              <w:left w:w="80" w:type="dxa"/>
              <w:bottom w:w="50" w:type="dxa"/>
              <w:right w:w="80" w:type="dxa"/>
            </w:tcMar>
          </w:tcPr>
          <w:p>
            <w:pPr>
              <w:spacing w:after="0"/>
              <w:jc w:val="right"/>
            </w:pPr>
            <w:r>
              <w:rPr>
                <w:b w:val="0"/>
                <w:i w:val="0"/>
                <w:sz w:val="18"/>
              </w:rPr>
              <w:t>1.733</w:t>
            </w:r>
          </w:p>
        </w:tc>
        <w:tc>
          <w:tcPr>
            <w:tcW w:type="dxa" w:w="1474"/>
            <w:tcMar>
              <w:top w:w="50" w:type="dxa"/>
              <w:left w:w="80" w:type="dxa"/>
              <w:bottom w:w="50" w:type="dxa"/>
              <w:right w:w="80" w:type="dxa"/>
            </w:tcMar>
          </w:tcPr>
          <w:p>
            <w:pPr>
              <w:spacing w:after="0"/>
              <w:jc w:val="right"/>
            </w:pPr>
            <w:r>
              <w:rPr>
                <w:b w:val="0"/>
                <w:i w:val="0"/>
                <w:sz w:val="18"/>
              </w:rPr>
              <w:t>1.713</w:t>
            </w:r>
          </w:p>
        </w:tc>
        <w:tc>
          <w:tcPr>
            <w:tcW w:type="dxa" w:w="1474"/>
            <w:tcMar>
              <w:top w:w="50" w:type="dxa"/>
              <w:left w:w="80" w:type="dxa"/>
              <w:bottom w:w="50" w:type="dxa"/>
              <w:right w:w="80" w:type="dxa"/>
            </w:tcMar>
          </w:tcPr>
          <w:p>
            <w:pPr>
              <w:spacing w:after="0"/>
              <w:jc w:val="right"/>
            </w:pPr>
            <w:r>
              <w:rPr>
                <w:b w:val="0"/>
                <w:i w:val="0"/>
                <w:sz w:val="18"/>
              </w:rPr>
              <w:t>1.332</w:t>
            </w:r>
          </w:p>
        </w:tc>
        <w:tc>
          <w:tcPr>
            <w:tcW w:type="dxa" w:w="1701"/>
            <w:tcMar>
              <w:top w:w="50" w:type="dxa"/>
              <w:left w:w="80" w:type="dxa"/>
              <w:bottom w:w="50" w:type="dxa"/>
              <w:right w:w="80" w:type="dxa"/>
            </w:tcMar>
          </w:tcPr>
          <w:p>
            <w:pPr>
              <w:spacing w:after="0"/>
              <w:jc w:val="right"/>
            </w:pPr>
            <w:r>
              <w:rPr>
                <w:b w:val="0"/>
                <w:i w:val="0"/>
                <w:sz w:val="18"/>
              </w:rPr>
              <w:t>-0.000</w:t>
            </w:r>
          </w:p>
        </w:tc>
      </w:tr>
      <w:tr>
        <w:trPr>
          <w:cantSplit w:val="true"/>
        </w:trPr>
        <w:tc>
          <w:tcPr>
            <w:tcW w:type="dxa" w:w="3402"/>
            <w:tcMar>
              <w:top w:w="50" w:type="dxa"/>
              <w:left w:w="80" w:type="dxa"/>
              <w:bottom w:w="50" w:type="dxa"/>
              <w:right w:w="80" w:type="dxa"/>
            </w:tcMar>
            <w:shd w:val="clear" w:color="auto" w:fill="F2F6FB"/>
          </w:tcPr>
          <w:p>
            <w:pPr>
              <w:spacing w:after="0"/>
            </w:pPr>
            <w:r>
              <w:rPr>
                <w:b w:val="0"/>
                <w:i w:val="0"/>
                <w:sz w:val="18"/>
              </w:rPr>
              <w:t>Linear regression</w:t>
            </w:r>
          </w:p>
        </w:tc>
        <w:tc>
          <w:tcPr>
            <w:tcW w:type="dxa" w:w="1474"/>
            <w:tcMar>
              <w:top w:w="50" w:type="dxa"/>
              <w:left w:w="80" w:type="dxa"/>
              <w:bottom w:w="50" w:type="dxa"/>
              <w:right w:w="80" w:type="dxa"/>
            </w:tcMar>
            <w:shd w:val="clear" w:color="auto" w:fill="F2F6FB"/>
          </w:tcPr>
          <w:p>
            <w:pPr>
              <w:spacing w:after="0"/>
              <w:jc w:val="right"/>
            </w:pPr>
            <w:r>
              <w:rPr>
                <w:b w:val="0"/>
                <w:i w:val="0"/>
                <w:sz w:val="18"/>
              </w:rPr>
              <w:t>0.572</w:t>
            </w:r>
          </w:p>
        </w:tc>
        <w:tc>
          <w:tcPr>
            <w:tcW w:type="dxa" w:w="1474"/>
            <w:tcMar>
              <w:top w:w="50" w:type="dxa"/>
              <w:left w:w="80" w:type="dxa"/>
              <w:bottom w:w="50" w:type="dxa"/>
              <w:right w:w="80" w:type="dxa"/>
            </w:tcMar>
            <w:shd w:val="clear" w:color="auto" w:fill="F2F6FB"/>
          </w:tcPr>
          <w:p>
            <w:pPr>
              <w:spacing w:after="0"/>
              <w:jc w:val="right"/>
            </w:pPr>
            <w:r>
              <w:rPr>
                <w:b w:val="0"/>
                <w:i w:val="0"/>
                <w:sz w:val="18"/>
              </w:rPr>
              <w:t>0.578</w:t>
            </w:r>
          </w:p>
        </w:tc>
        <w:tc>
          <w:tcPr>
            <w:tcW w:type="dxa" w:w="1474"/>
            <w:tcMar>
              <w:top w:w="50" w:type="dxa"/>
              <w:left w:w="80" w:type="dxa"/>
              <w:bottom w:w="50" w:type="dxa"/>
              <w:right w:w="80" w:type="dxa"/>
            </w:tcMar>
            <w:shd w:val="clear" w:color="auto" w:fill="F2F6FB"/>
          </w:tcPr>
          <w:p>
            <w:pPr>
              <w:spacing w:after="0"/>
              <w:jc w:val="right"/>
            </w:pPr>
            <w:r>
              <w:rPr>
                <w:b w:val="0"/>
                <w:i w:val="0"/>
                <w:sz w:val="18"/>
              </w:rPr>
              <w:t>0.409</w:t>
            </w:r>
          </w:p>
        </w:tc>
        <w:tc>
          <w:tcPr>
            <w:tcW w:type="dxa" w:w="1701"/>
            <w:tcMar>
              <w:top w:w="50" w:type="dxa"/>
              <w:left w:w="80" w:type="dxa"/>
              <w:bottom w:w="50" w:type="dxa"/>
              <w:right w:w="80" w:type="dxa"/>
            </w:tcMar>
            <w:shd w:val="clear" w:color="auto" w:fill="F2F6FB"/>
          </w:tcPr>
          <w:p>
            <w:pPr>
              <w:spacing w:after="0"/>
              <w:jc w:val="right"/>
            </w:pPr>
            <w:r>
              <w:rPr>
                <w:b w:val="0"/>
                <w:i w:val="0"/>
                <w:sz w:val="18"/>
              </w:rPr>
              <w:t>0.886</w:t>
            </w:r>
          </w:p>
        </w:tc>
      </w:tr>
      <w:tr>
        <w:trPr>
          <w:cantSplit w:val="true"/>
        </w:trPr>
        <w:tc>
          <w:tcPr>
            <w:tcW w:type="dxa" w:w="3402"/>
            <w:tcMar>
              <w:top w:w="50" w:type="dxa"/>
              <w:left w:w="80" w:type="dxa"/>
              <w:bottom w:w="50" w:type="dxa"/>
              <w:right w:w="80" w:type="dxa"/>
            </w:tcMar>
          </w:tcPr>
          <w:p>
            <w:pPr>
              <w:spacing w:after="0"/>
            </w:pPr>
            <w:r>
              <w:rPr>
                <w:b w:val="0"/>
                <w:i w:val="0"/>
                <w:sz w:val="18"/>
              </w:rPr>
              <w:t>Ridge (alpha=1)</w:t>
            </w:r>
          </w:p>
        </w:tc>
        <w:tc>
          <w:tcPr>
            <w:tcW w:type="dxa" w:w="1474"/>
            <w:tcMar>
              <w:top w:w="50" w:type="dxa"/>
              <w:left w:w="80" w:type="dxa"/>
              <w:bottom w:w="50" w:type="dxa"/>
              <w:right w:w="80" w:type="dxa"/>
            </w:tcMar>
          </w:tcPr>
          <w:p>
            <w:pPr>
              <w:spacing w:after="0"/>
              <w:jc w:val="right"/>
            </w:pPr>
            <w:r>
              <w:rPr>
                <w:b w:val="0"/>
                <w:i w:val="0"/>
                <w:sz w:val="18"/>
              </w:rPr>
              <w:t>0.572</w:t>
            </w:r>
          </w:p>
        </w:tc>
        <w:tc>
          <w:tcPr>
            <w:tcW w:type="dxa" w:w="1474"/>
            <w:tcMar>
              <w:top w:w="50" w:type="dxa"/>
              <w:left w:w="80" w:type="dxa"/>
              <w:bottom w:w="50" w:type="dxa"/>
              <w:right w:w="80" w:type="dxa"/>
            </w:tcMar>
          </w:tcPr>
          <w:p>
            <w:pPr>
              <w:spacing w:after="0"/>
              <w:jc w:val="right"/>
            </w:pPr>
            <w:r>
              <w:rPr>
                <w:b w:val="0"/>
                <w:i w:val="0"/>
                <w:sz w:val="18"/>
              </w:rPr>
              <w:t>0.578</w:t>
            </w:r>
          </w:p>
        </w:tc>
        <w:tc>
          <w:tcPr>
            <w:tcW w:type="dxa" w:w="1474"/>
            <w:tcMar>
              <w:top w:w="50" w:type="dxa"/>
              <w:left w:w="80" w:type="dxa"/>
              <w:bottom w:w="50" w:type="dxa"/>
              <w:right w:w="80" w:type="dxa"/>
            </w:tcMar>
          </w:tcPr>
          <w:p>
            <w:pPr>
              <w:spacing w:after="0"/>
              <w:jc w:val="right"/>
            </w:pPr>
            <w:r>
              <w:rPr>
                <w:b w:val="0"/>
                <w:i w:val="0"/>
                <w:sz w:val="18"/>
              </w:rPr>
              <w:t>0.409</w:t>
            </w:r>
          </w:p>
        </w:tc>
        <w:tc>
          <w:tcPr>
            <w:tcW w:type="dxa" w:w="1701"/>
            <w:tcMar>
              <w:top w:w="50" w:type="dxa"/>
              <w:left w:w="80" w:type="dxa"/>
              <w:bottom w:w="50" w:type="dxa"/>
              <w:right w:w="80" w:type="dxa"/>
            </w:tcMar>
          </w:tcPr>
          <w:p>
            <w:pPr>
              <w:spacing w:after="0"/>
              <w:jc w:val="right"/>
            </w:pPr>
            <w:r>
              <w:rPr>
                <w:b w:val="0"/>
                <w:i w:val="0"/>
                <w:sz w:val="18"/>
              </w:rPr>
              <w:t>0.886</w:t>
            </w:r>
          </w:p>
        </w:tc>
      </w:tr>
      <w:tr>
        <w:trPr>
          <w:cantSplit w:val="true"/>
        </w:trPr>
        <w:tc>
          <w:tcPr>
            <w:tcW w:type="dxa" w:w="3402"/>
            <w:tcMar>
              <w:top w:w="50" w:type="dxa"/>
              <w:left w:w="80" w:type="dxa"/>
              <w:bottom w:w="50" w:type="dxa"/>
              <w:right w:w="80" w:type="dxa"/>
            </w:tcMar>
            <w:shd w:val="clear" w:color="auto" w:fill="F2F6FB"/>
          </w:tcPr>
          <w:p>
            <w:pPr>
              <w:spacing w:after="0"/>
            </w:pPr>
            <w:r>
              <w:rPr>
                <w:b w:val="0"/>
                <w:i w:val="0"/>
                <w:sz w:val="18"/>
              </w:rPr>
              <w:t>Decision tree (depth 8)</w:t>
            </w:r>
          </w:p>
        </w:tc>
        <w:tc>
          <w:tcPr>
            <w:tcW w:type="dxa" w:w="1474"/>
            <w:tcMar>
              <w:top w:w="50" w:type="dxa"/>
              <w:left w:w="80" w:type="dxa"/>
              <w:bottom w:w="50" w:type="dxa"/>
              <w:right w:w="80" w:type="dxa"/>
            </w:tcMar>
            <w:shd w:val="clear" w:color="auto" w:fill="F2F6FB"/>
          </w:tcPr>
          <w:p>
            <w:pPr>
              <w:spacing w:after="0"/>
              <w:jc w:val="right"/>
            </w:pPr>
            <w:r>
              <w:rPr>
                <w:b w:val="0"/>
                <w:i w:val="0"/>
                <w:sz w:val="18"/>
              </w:rPr>
              <w:t>0.580</w:t>
            </w:r>
          </w:p>
        </w:tc>
        <w:tc>
          <w:tcPr>
            <w:tcW w:type="dxa" w:w="1474"/>
            <w:tcMar>
              <w:top w:w="50" w:type="dxa"/>
              <w:left w:w="80" w:type="dxa"/>
              <w:bottom w:w="50" w:type="dxa"/>
              <w:right w:w="80" w:type="dxa"/>
            </w:tcMar>
            <w:shd w:val="clear" w:color="auto" w:fill="F2F6FB"/>
          </w:tcPr>
          <w:p>
            <w:pPr>
              <w:spacing w:after="0"/>
              <w:jc w:val="right"/>
            </w:pPr>
            <w:r>
              <w:rPr>
                <w:b w:val="0"/>
                <w:i w:val="0"/>
                <w:sz w:val="18"/>
              </w:rPr>
              <w:t>0.583</w:t>
            </w:r>
          </w:p>
        </w:tc>
        <w:tc>
          <w:tcPr>
            <w:tcW w:type="dxa" w:w="1474"/>
            <w:tcMar>
              <w:top w:w="50" w:type="dxa"/>
              <w:left w:w="80" w:type="dxa"/>
              <w:bottom w:w="50" w:type="dxa"/>
              <w:right w:w="80" w:type="dxa"/>
            </w:tcMar>
            <w:shd w:val="clear" w:color="auto" w:fill="F2F6FB"/>
          </w:tcPr>
          <w:p>
            <w:pPr>
              <w:spacing w:after="0"/>
              <w:jc w:val="right"/>
            </w:pPr>
            <w:r>
              <w:rPr>
                <w:b w:val="0"/>
                <w:i w:val="0"/>
                <w:sz w:val="18"/>
              </w:rPr>
              <w:t>0.410</w:t>
            </w:r>
          </w:p>
        </w:tc>
        <w:tc>
          <w:tcPr>
            <w:tcW w:type="dxa" w:w="1701"/>
            <w:tcMar>
              <w:top w:w="50" w:type="dxa"/>
              <w:left w:w="80" w:type="dxa"/>
              <w:bottom w:w="50" w:type="dxa"/>
              <w:right w:w="80" w:type="dxa"/>
            </w:tcMar>
            <w:shd w:val="clear" w:color="auto" w:fill="F2F6FB"/>
          </w:tcPr>
          <w:p>
            <w:pPr>
              <w:spacing w:after="0"/>
              <w:jc w:val="right"/>
            </w:pPr>
            <w:r>
              <w:rPr>
                <w:b w:val="0"/>
                <w:i w:val="0"/>
                <w:sz w:val="18"/>
              </w:rPr>
              <w:t>0.884</w:t>
            </w:r>
          </w:p>
        </w:tc>
      </w:tr>
      <w:tr>
        <w:trPr>
          <w:cantSplit w:val="true"/>
        </w:trPr>
        <w:tc>
          <w:tcPr>
            <w:tcW w:type="dxa" w:w="3402"/>
            <w:tcMar>
              <w:top w:w="50" w:type="dxa"/>
              <w:left w:w="80" w:type="dxa"/>
              <w:bottom w:w="50" w:type="dxa"/>
              <w:right w:w="80" w:type="dxa"/>
            </w:tcMar>
          </w:tcPr>
          <w:p>
            <w:pPr>
              <w:spacing w:after="0"/>
            </w:pPr>
            <w:r>
              <w:rPr>
                <w:b w:val="0"/>
                <w:i w:val="0"/>
                <w:sz w:val="18"/>
              </w:rPr>
              <w:t>Random forest</w:t>
            </w:r>
          </w:p>
        </w:tc>
        <w:tc>
          <w:tcPr>
            <w:tcW w:type="dxa" w:w="1474"/>
            <w:tcMar>
              <w:top w:w="50" w:type="dxa"/>
              <w:left w:w="80" w:type="dxa"/>
              <w:bottom w:w="50" w:type="dxa"/>
              <w:right w:w="80" w:type="dxa"/>
            </w:tcMar>
          </w:tcPr>
          <w:p>
            <w:pPr>
              <w:spacing w:after="0"/>
              <w:jc w:val="right"/>
            </w:pPr>
            <w:r>
              <w:rPr>
                <w:b w:val="0"/>
                <w:i w:val="0"/>
                <w:sz w:val="18"/>
              </w:rPr>
              <w:t>0.554</w:t>
            </w:r>
          </w:p>
        </w:tc>
        <w:tc>
          <w:tcPr>
            <w:tcW w:type="dxa" w:w="1474"/>
            <w:tcMar>
              <w:top w:w="50" w:type="dxa"/>
              <w:left w:w="80" w:type="dxa"/>
              <w:bottom w:w="50" w:type="dxa"/>
              <w:right w:w="80" w:type="dxa"/>
            </w:tcMar>
          </w:tcPr>
          <w:p>
            <w:pPr>
              <w:spacing w:after="0"/>
              <w:jc w:val="right"/>
            </w:pPr>
            <w:r>
              <w:rPr>
                <w:b w:val="0"/>
                <w:i w:val="0"/>
                <w:sz w:val="18"/>
              </w:rPr>
              <w:t>0.566</w:t>
            </w:r>
          </w:p>
        </w:tc>
        <w:tc>
          <w:tcPr>
            <w:tcW w:type="dxa" w:w="1474"/>
            <w:tcMar>
              <w:top w:w="50" w:type="dxa"/>
              <w:left w:w="80" w:type="dxa"/>
              <w:bottom w:w="50" w:type="dxa"/>
              <w:right w:w="80" w:type="dxa"/>
            </w:tcMar>
          </w:tcPr>
          <w:p>
            <w:pPr>
              <w:spacing w:after="0"/>
              <w:jc w:val="right"/>
            </w:pPr>
            <w:r>
              <w:rPr>
                <w:b w:val="0"/>
                <w:i w:val="0"/>
                <w:sz w:val="18"/>
              </w:rPr>
              <w:t>0.395</w:t>
            </w:r>
          </w:p>
        </w:tc>
        <w:tc>
          <w:tcPr>
            <w:tcW w:type="dxa" w:w="1701"/>
            <w:tcMar>
              <w:top w:w="50" w:type="dxa"/>
              <w:left w:w="80" w:type="dxa"/>
              <w:bottom w:w="50" w:type="dxa"/>
              <w:right w:w="80" w:type="dxa"/>
            </w:tcMar>
          </w:tcPr>
          <w:p>
            <w:pPr>
              <w:spacing w:after="0"/>
              <w:jc w:val="right"/>
            </w:pPr>
            <w:r>
              <w:rPr>
                <w:b w:val="0"/>
                <w:i w:val="0"/>
                <w:sz w:val="18"/>
              </w:rPr>
              <w:t>0.891</w:t>
            </w:r>
          </w:p>
        </w:tc>
      </w:tr>
      <w:tr>
        <w:trPr>
          <w:cantSplit w:val="true"/>
        </w:trPr>
        <w:tc>
          <w:tcPr>
            <w:tcW w:type="dxa" w:w="3402"/>
            <w:tcMar>
              <w:top w:w="50" w:type="dxa"/>
              <w:left w:w="80" w:type="dxa"/>
              <w:bottom w:w="50" w:type="dxa"/>
              <w:right w:w="80" w:type="dxa"/>
            </w:tcMar>
            <w:shd w:val="clear" w:color="auto" w:fill="F2F6FB"/>
          </w:tcPr>
          <w:p>
            <w:pPr>
              <w:spacing w:after="0"/>
            </w:pPr>
            <w:r>
              <w:rPr>
                <w:b w:val="0"/>
                <w:i w:val="0"/>
                <w:sz w:val="18"/>
              </w:rPr>
              <w:t>Gradient boosting (default)</w:t>
            </w:r>
          </w:p>
        </w:tc>
        <w:tc>
          <w:tcPr>
            <w:tcW w:type="dxa" w:w="1474"/>
            <w:tcMar>
              <w:top w:w="50" w:type="dxa"/>
              <w:left w:w="80" w:type="dxa"/>
              <w:bottom w:w="50" w:type="dxa"/>
              <w:right w:w="80" w:type="dxa"/>
            </w:tcMar>
            <w:shd w:val="clear" w:color="auto" w:fill="F2F6FB"/>
          </w:tcPr>
          <w:p>
            <w:pPr>
              <w:spacing w:after="0"/>
              <w:jc w:val="right"/>
            </w:pPr>
            <w:r>
              <w:rPr>
                <w:b w:val="0"/>
                <w:i w:val="0"/>
                <w:sz w:val="18"/>
              </w:rPr>
              <w:t>0.548</w:t>
            </w:r>
          </w:p>
        </w:tc>
        <w:tc>
          <w:tcPr>
            <w:tcW w:type="dxa" w:w="1474"/>
            <w:tcMar>
              <w:top w:w="50" w:type="dxa"/>
              <w:left w:w="80" w:type="dxa"/>
              <w:bottom w:w="50" w:type="dxa"/>
              <w:right w:w="80" w:type="dxa"/>
            </w:tcMar>
            <w:shd w:val="clear" w:color="auto" w:fill="F2F6FB"/>
          </w:tcPr>
          <w:p>
            <w:pPr>
              <w:spacing w:after="0"/>
              <w:jc w:val="right"/>
            </w:pPr>
            <w:r>
              <w:rPr>
                <w:b w:val="0"/>
                <w:i w:val="0"/>
                <w:sz w:val="18"/>
              </w:rPr>
              <w:t>0.560</w:t>
            </w:r>
          </w:p>
        </w:tc>
        <w:tc>
          <w:tcPr>
            <w:tcW w:type="dxa" w:w="1474"/>
            <w:tcMar>
              <w:top w:w="50" w:type="dxa"/>
              <w:left w:w="80" w:type="dxa"/>
              <w:bottom w:w="50" w:type="dxa"/>
              <w:right w:w="80" w:type="dxa"/>
            </w:tcMar>
            <w:shd w:val="clear" w:color="auto" w:fill="F2F6FB"/>
          </w:tcPr>
          <w:p>
            <w:pPr>
              <w:spacing w:after="0"/>
              <w:jc w:val="right"/>
            </w:pPr>
            <w:r>
              <w:rPr>
                <w:b w:val="0"/>
                <w:i w:val="0"/>
                <w:sz w:val="18"/>
              </w:rPr>
              <w:t>0.390</w:t>
            </w:r>
          </w:p>
        </w:tc>
        <w:tc>
          <w:tcPr>
            <w:tcW w:type="dxa" w:w="1701"/>
            <w:tcMar>
              <w:top w:w="50" w:type="dxa"/>
              <w:left w:w="80" w:type="dxa"/>
              <w:bottom w:w="50" w:type="dxa"/>
              <w:right w:w="80" w:type="dxa"/>
            </w:tcMar>
            <w:shd w:val="clear" w:color="auto" w:fill="F2F6FB"/>
          </w:tcPr>
          <w:p>
            <w:pPr>
              <w:spacing w:after="0"/>
              <w:jc w:val="right"/>
            </w:pPr>
            <w:r>
              <w:rPr>
                <w:b w:val="0"/>
                <w:i w:val="0"/>
                <w:sz w:val="18"/>
              </w:rPr>
              <w:t>0.893</w:t>
            </w:r>
          </w:p>
        </w:tc>
      </w:tr>
      <w:tr>
        <w:trPr>
          <w:cantSplit w:val="true"/>
        </w:trPr>
        <w:tc>
          <w:tcPr>
            <w:tcW w:type="dxa" w:w="3402"/>
            <w:tcMar>
              <w:top w:w="50" w:type="dxa"/>
              <w:left w:w="80" w:type="dxa"/>
              <w:bottom w:w="50" w:type="dxa"/>
              <w:right w:w="80" w:type="dxa"/>
            </w:tcMar>
          </w:tcPr>
          <w:p>
            <w:pPr>
              <w:spacing w:after="0"/>
            </w:pPr>
            <w:r>
              <w:rPr>
                <w:b w:val="0"/>
                <w:i w:val="0"/>
                <w:sz w:val="18"/>
              </w:rPr>
              <w:t>Tuned gradient boosting</w:t>
            </w:r>
          </w:p>
        </w:tc>
        <w:tc>
          <w:tcPr>
            <w:tcW w:type="dxa" w:w="1474"/>
            <w:tcMar>
              <w:top w:w="50" w:type="dxa"/>
              <w:left w:w="80" w:type="dxa"/>
              <w:bottom w:w="50" w:type="dxa"/>
              <w:right w:w="80" w:type="dxa"/>
            </w:tcMar>
          </w:tcPr>
          <w:p>
            <w:pPr>
              <w:spacing w:after="0"/>
              <w:jc w:val="right"/>
            </w:pPr>
            <w:r>
              <w:rPr>
                <w:b w:val="0"/>
                <w:i w:val="0"/>
                <w:sz w:val="18"/>
              </w:rPr>
              <w:t>0.545</w:t>
            </w:r>
          </w:p>
        </w:tc>
        <w:tc>
          <w:tcPr>
            <w:tcW w:type="dxa" w:w="1474"/>
            <w:tcMar>
              <w:top w:w="50" w:type="dxa"/>
              <w:left w:w="80" w:type="dxa"/>
              <w:bottom w:w="50" w:type="dxa"/>
              <w:right w:w="80" w:type="dxa"/>
            </w:tcMar>
          </w:tcPr>
          <w:p>
            <w:pPr>
              <w:spacing w:after="0"/>
              <w:jc w:val="right"/>
            </w:pPr>
            <w:r>
              <w:rPr>
                <w:b w:val="0"/>
                <w:i w:val="0"/>
                <w:sz w:val="18"/>
              </w:rPr>
              <w:t>0.552</w:t>
            </w:r>
          </w:p>
        </w:tc>
        <w:tc>
          <w:tcPr>
            <w:tcW w:type="dxa" w:w="1474"/>
            <w:tcMar>
              <w:top w:w="50" w:type="dxa"/>
              <w:left w:w="80" w:type="dxa"/>
              <w:bottom w:w="50" w:type="dxa"/>
              <w:right w:w="80" w:type="dxa"/>
            </w:tcMar>
          </w:tcPr>
          <w:p>
            <w:pPr>
              <w:spacing w:after="0"/>
              <w:jc w:val="right"/>
            </w:pPr>
            <w:r>
              <w:rPr>
                <w:b w:val="0"/>
                <w:i w:val="0"/>
                <w:sz w:val="18"/>
              </w:rPr>
              <w:t>0.384</w:t>
            </w:r>
          </w:p>
        </w:tc>
        <w:tc>
          <w:tcPr>
            <w:tcW w:type="dxa" w:w="1701"/>
            <w:tcMar>
              <w:top w:w="50" w:type="dxa"/>
              <w:left w:w="80" w:type="dxa"/>
              <w:bottom w:w="50" w:type="dxa"/>
              <w:right w:w="80" w:type="dxa"/>
            </w:tcMar>
          </w:tcPr>
          <w:p>
            <w:pPr>
              <w:spacing w:after="0"/>
              <w:jc w:val="right"/>
            </w:pPr>
            <w:r>
              <w:rPr>
                <w:b w:val="0"/>
                <w:i w:val="0"/>
                <w:sz w:val="18"/>
              </w:rPr>
              <w:t>0.896</w:t>
            </w:r>
          </w:p>
        </w:tc>
      </w:tr>
      <w:tr>
        <w:trPr>
          <w:cantSplit w:val="true"/>
        </w:trPr>
        <w:tc>
          <w:tcPr>
            <w:tcW w:type="dxa" w:w="3402"/>
            <w:tcMar>
              <w:top w:w="50" w:type="dxa"/>
              <w:left w:w="80" w:type="dxa"/>
              <w:bottom w:w="50" w:type="dxa"/>
              <w:right w:w="80" w:type="dxa"/>
            </w:tcMar>
            <w:shd w:val="clear" w:color="auto" w:fill="F2F6FB"/>
          </w:tcPr>
          <w:p>
            <w:pPr>
              <w:spacing w:after="0"/>
            </w:pPr>
            <w:r>
              <w:rPr>
                <w:b w:val="0"/>
                <w:i w:val="0"/>
                <w:sz w:val="18"/>
              </w:rPr>
              <w:t>Promised days (current rule)</w:t>
            </w:r>
          </w:p>
        </w:tc>
        <w:tc>
          <w:tcPr>
            <w:tcW w:type="dxa" w:w="1474"/>
            <w:tcMar>
              <w:top w:w="50" w:type="dxa"/>
              <w:left w:w="80" w:type="dxa"/>
              <w:bottom w:w="50" w:type="dxa"/>
              <w:right w:w="80" w:type="dxa"/>
            </w:tcMar>
            <w:shd w:val="clear" w:color="auto" w:fill="F2F6FB"/>
          </w:tcPr>
          <w:p>
            <w:pPr>
              <w:spacing w:after="0"/>
              <w:jc w:val="right"/>
            </w:pPr>
            <w:r>
              <w:rPr>
                <w:b w:val="0"/>
                <w:i w:val="0"/>
                <w:sz w:val="18"/>
              </w:rPr>
              <w:t>-</w:t>
            </w:r>
          </w:p>
        </w:tc>
        <w:tc>
          <w:tcPr>
            <w:tcW w:type="dxa" w:w="1474"/>
            <w:tcMar>
              <w:top w:w="50" w:type="dxa"/>
              <w:left w:w="80" w:type="dxa"/>
              <w:bottom w:w="50" w:type="dxa"/>
              <w:right w:w="80" w:type="dxa"/>
            </w:tcMar>
            <w:shd w:val="clear" w:color="auto" w:fill="F2F6FB"/>
          </w:tcPr>
          <w:p>
            <w:pPr>
              <w:spacing w:after="0"/>
              <w:jc w:val="right"/>
            </w:pPr>
            <w:r>
              <w:rPr>
                <w:b w:val="0"/>
                <w:i w:val="0"/>
                <w:sz w:val="18"/>
              </w:rPr>
              <w:t>0.665</w:t>
            </w:r>
          </w:p>
        </w:tc>
        <w:tc>
          <w:tcPr>
            <w:tcW w:type="dxa" w:w="1474"/>
            <w:tcMar>
              <w:top w:w="50" w:type="dxa"/>
              <w:left w:w="80" w:type="dxa"/>
              <w:bottom w:w="50" w:type="dxa"/>
              <w:right w:w="80" w:type="dxa"/>
            </w:tcMar>
            <w:shd w:val="clear" w:color="auto" w:fill="F2F6FB"/>
          </w:tcPr>
          <w:p>
            <w:pPr>
              <w:spacing w:after="0"/>
              <w:jc w:val="right"/>
            </w:pPr>
            <w:r>
              <w:rPr>
                <w:b w:val="0"/>
                <w:i w:val="0"/>
                <w:sz w:val="18"/>
              </w:rPr>
              <w:t>0.508</w:t>
            </w:r>
          </w:p>
        </w:tc>
        <w:tc>
          <w:tcPr>
            <w:tcW w:type="dxa" w:w="1701"/>
            <w:tcMar>
              <w:top w:w="50" w:type="dxa"/>
              <w:left w:w="80" w:type="dxa"/>
              <w:bottom w:w="50" w:type="dxa"/>
              <w:right w:w="80" w:type="dxa"/>
            </w:tcMar>
            <w:shd w:val="clear" w:color="auto" w:fill="F2F6FB"/>
          </w:tcPr>
          <w:p>
            <w:pPr>
              <w:spacing w:after="0"/>
              <w:jc w:val="right"/>
            </w:pPr>
            <w:r>
              <w:rPr>
                <w:b w:val="0"/>
                <w:i w:val="0"/>
                <w:sz w:val="18"/>
              </w:rPr>
              <w:t>0.849</w:t>
            </w:r>
          </w:p>
        </w:tc>
      </w:tr>
    </w:tbl>
    <w:p>
      <w:pPr>
        <w:spacing w:after="40"/>
      </w:pPr>
    </w:p>
    <w:p>
      <w:pPr>
        <w:keepNext/>
        <w:spacing w:after="40"/>
        <w:jc w:val="center"/>
      </w:pPr>
      <w:r>
        <w:drawing>
          <wp:inline xmlns:a="http://schemas.openxmlformats.org/drawingml/2006/main" xmlns:pic="http://schemas.openxmlformats.org/drawingml/2006/picture">
            <wp:extent cx="5303520" cy="2690416"/>
            <wp:docPr id="1" name="Picture 1"/>
            <wp:cNvGraphicFramePr>
              <a:graphicFrameLocks noChangeAspect="1"/>
            </wp:cNvGraphicFramePr>
            <a:graphic>
              <a:graphicData uri="http://schemas.openxmlformats.org/drawingml/2006/picture">
                <pic:pic>
                  <pic:nvPicPr>
                    <pic:cNvPr id="0" name="w4_model_comparison.png"/>
                    <pic:cNvPicPr/>
                  </pic:nvPicPr>
                  <pic:blipFill>
                    <a:blip r:embed="rId11"/>
                    <a:stretch>
                      <a:fillRect/>
                    </a:stretch>
                  </pic:blipFill>
                  <pic:spPr>
                    <a:xfrm>
                      <a:off x="0" y="0"/>
                      <a:ext cx="5303520" cy="2690416"/>
                    </a:xfrm>
                    <a:prstGeom prst="rect"/>
                  </pic:spPr>
                </pic:pic>
              </a:graphicData>
            </a:graphic>
          </wp:inline>
        </w:drawing>
      </w:r>
    </w:p>
    <w:p>
      <w:pPr>
        <w:pStyle w:val="Cap"/>
      </w:pPr>
      <w:r>
        <w:rPr>
          <w:b/>
          <w:i w:val="0"/>
        </w:rPr>
        <w:t xml:space="preserve">Figure 1. </w:t>
      </w:r>
      <w:r>
        <w:t>Hold-out RMSE by model (lower is better).</w:t>
      </w:r>
    </w:p>
    <w:p>
      <w:r>
        <w:rPr>
          <w:b w:val="0"/>
          <w:i w:val="0"/>
        </w:rPr>
        <w:t>Every learned model is far better than the mean predictor (R-squared about 0.89 vs 0.00). Linear regression (RMSE 0.578) is already strong because distance and promised days carry most of the signal. Tree ensembles add a small, consistent gain (random forest 0.566, boosting 0.560). Tuning brings RMSE to 0.552. Compared with today's promised days (RMSE 0.665) the final model reduces error by 17%. The differences among the ensemble models are small relative to the cross-validation spread (about 0.011), so the choice among them should also weigh simplicity: linear regression is a defensible production fallback.</w:t>
      </w:r>
    </w:p>
    <w:p>
      <w:pPr>
        <w:pStyle w:val="Heading2"/>
      </w:pPr>
      <w:r>
        <w:t>3.4 Cross-validation and hyper-parameter tuning</w:t>
      </w:r>
    </w:p>
    <w:p>
      <w:r>
        <w:rPr>
          <w:b w:val="0"/>
          <w:i w:val="0"/>
        </w:rPr>
        <w:t>The best ensemble family in CV was tuned with randomised search (20 candidate settings x 5-fold CV, scored on RMSE). Selected parameters: min_samples_leaf = 40, max_leaf_nodes = 8, max_iter = 400, learning_rate = 0.08, l2_regularization = 5.0. The chosen settings are conservative (shallow trees, strong regularisation), which suits a dataset where the signal is mostly smooth.</w:t>
      </w:r>
    </w:p>
    <w:p>
      <w:pPr>
        <w:keepNext/>
        <w:spacing w:after="40"/>
      </w:pPr>
      <w:r>
        <w:rPr>
          <w:b/>
          <w:color w:val="1F3864"/>
          <w:sz w:val="18"/>
        </w:rPr>
        <w:t>Code 3. Randomised hyper-parameter search</w:t>
      </w:r>
    </w:p>
    <w:p>
      <w:pPr>
        <w:pStyle w:val="CodeBlock"/>
      </w:pPr>
      <w:r>
        <w:t>if best_family == "Random forest":</w:t>
      </w:r>
    </w:p>
    <w:p>
      <w:pPr>
        <w:pStyle w:val="CodeBlock"/>
      </w:pPr>
      <w:r>
        <w:t xml:space="preserve">    est = RandomForestRegressor(n_estimators=250, n_jobs=-1, random_state=SEED)</w:t>
      </w:r>
    </w:p>
    <w:p>
      <w:pPr>
        <w:pStyle w:val="CodeBlock"/>
      </w:pPr>
      <w:r>
        <w:t xml:space="preserve">    space = {"model__max_depth": [8, 12, 16, None], "model__min_samples_leaf": [1, 3, 5, 10, 20],</w:t>
      </w:r>
    </w:p>
    <w:p>
      <w:pPr>
        <w:pStyle w:val="CodeBlock"/>
      </w:pPr>
      <w:r>
        <w:t xml:space="preserve">             "model__max_features": [0.3, 0.5, 0.8, 1.0]}</w:t>
      </w:r>
    </w:p>
    <w:p>
      <w:pPr>
        <w:pStyle w:val="CodeBlock"/>
      </w:pPr>
      <w:r>
        <w:t>else:</w:t>
      </w:r>
    </w:p>
    <w:p>
      <w:pPr>
        <w:pStyle w:val="CodeBlock"/>
      </w:pPr>
      <w:r>
        <w:t xml:space="preserve">    est = HistGradientBoostingRegressor(random_state=SEED)</w:t>
      </w:r>
    </w:p>
    <w:p>
      <w:pPr>
        <w:pStyle w:val="CodeBlock"/>
      </w:pPr>
      <w:r>
        <w:t xml:space="preserve">    space = {"model__learning_rate": [0.03, 0.05, 0.08, 0.12], "model__max_leaf_nodes": [8, 15, 31, 63],</w:t>
      </w:r>
    </w:p>
    <w:p>
      <w:pPr>
        <w:pStyle w:val="CodeBlock"/>
      </w:pPr>
      <w:r>
        <w:t xml:space="preserve">             "model__min_samples_leaf": [10, 20, 40, 80], "model__l2_regularization": [0.0, 0.1, 1.0, 5.0],</w:t>
      </w:r>
    </w:p>
    <w:p>
      <w:pPr>
        <w:pStyle w:val="CodeBlock"/>
      </w:pPr>
      <w:r>
        <w:t xml:space="preserve">             "model__max_iter": [200, 400, 600]}</w:t>
      </w:r>
    </w:p>
    <w:p>
      <w:pPr>
        <w:pStyle w:val="CodeBlock"/>
      </w:pPr>
      <w:r>
        <w:t>search = RandomizedSearchCV(pipe(est), space, n_iter=20, cv=cv, scoring="neg_root_mean_squared_error",</w:t>
      </w:r>
    </w:p>
    <w:p>
      <w:pPr>
        <w:pStyle w:val="CodeBlock"/>
      </w:pPr>
      <w:r>
        <w:t xml:space="preserve">                            random_state=SEED, n_jobs=1, refit=True)</w:t>
      </w:r>
    </w:p>
    <w:p>
      <w:pPr>
        <w:pStyle w:val="CodeBlock"/>
      </w:pPr>
      <w:r>
        <w:t>search.fit(X_tr, y_tr)</w:t>
      </w:r>
    </w:p>
    <w:p>
      <w:pPr>
        <w:spacing w:after="40"/>
      </w:pPr>
    </w:p>
    <w:p>
      <w:r>
        <w:rPr>
          <w:b w:val="0"/>
          <w:i w:val="0"/>
        </w:rPr>
        <w:t>Forward-chaining CV (train on earlier months, validate on the next block) gives RMSE of 0.50, 0.50, 0.55, 0.63, 0.65 over five folds (mean 0.567). Error rises in the later folds, which cover the festive peak: the model has seen fewer festive-season examples when it predicts them, which is a warning that it should be retrained before each peak and monitored for drift.</w:t>
      </w:r>
    </w:p>
    <w:p>
      <w:pPr>
        <w:keepNext/>
        <w:spacing w:after="40"/>
        <w:jc w:val="center"/>
      </w:pPr>
      <w:r>
        <w:drawing>
          <wp:inline xmlns:a="http://schemas.openxmlformats.org/drawingml/2006/main" xmlns:pic="http://schemas.openxmlformats.org/drawingml/2006/picture">
            <wp:extent cx="5669280" cy="2231310"/>
            <wp:docPr id="2" name="Picture 2"/>
            <wp:cNvGraphicFramePr>
              <a:graphicFrameLocks noChangeAspect="1"/>
            </wp:cNvGraphicFramePr>
            <a:graphic>
              <a:graphicData uri="http://schemas.openxmlformats.org/drawingml/2006/picture">
                <pic:pic>
                  <pic:nvPicPr>
                    <pic:cNvPr id="0" name="w4_pred_vs_actual.png"/>
                    <pic:cNvPicPr/>
                  </pic:nvPicPr>
                  <pic:blipFill>
                    <a:blip r:embed="rId12"/>
                    <a:stretch>
                      <a:fillRect/>
                    </a:stretch>
                  </pic:blipFill>
                  <pic:spPr>
                    <a:xfrm>
                      <a:off x="0" y="0"/>
                      <a:ext cx="5669280" cy="2231310"/>
                    </a:xfrm>
                    <a:prstGeom prst="rect"/>
                  </pic:spPr>
                </pic:pic>
              </a:graphicData>
            </a:graphic>
          </wp:inline>
        </w:drawing>
      </w:r>
    </w:p>
    <w:p>
      <w:pPr>
        <w:pStyle w:val="Cap"/>
      </w:pPr>
      <w:r>
        <w:rPr>
          <w:b/>
          <w:i w:val="0"/>
        </w:rPr>
        <w:t xml:space="preserve">Figure 2. </w:t>
      </w:r>
      <w:r>
        <w:t>Predicted vs actual delivery days (left) and residual distribution (right) on the hold-out set.</w:t>
      </w:r>
    </w:p>
    <w:p>
      <w:r>
        <w:rPr>
          <w:b w:val="0"/>
          <w:i w:val="0"/>
        </w:rPr>
        <w:t>Residuals are centred near zero (mean -0.002 day, standard deviation 0.55); 75% of predictions are within half a day and 95% within one day.</w:t>
      </w:r>
    </w:p>
    <w:p>
      <w:pPr>
        <w:pStyle w:val="Heading2"/>
      </w:pPr>
      <w:r>
        <w:t>3.5 What drives delivery time?</w:t>
      </w:r>
    </w:p>
    <w:p>
      <w:pPr>
        <w:keepNext/>
        <w:spacing w:after="40"/>
        <w:jc w:val="center"/>
      </w:pPr>
      <w:r>
        <w:drawing>
          <wp:inline xmlns:a="http://schemas.openxmlformats.org/drawingml/2006/main" xmlns:pic="http://schemas.openxmlformats.org/drawingml/2006/picture">
            <wp:extent cx="4937760" cy="2769283"/>
            <wp:docPr id="3" name="Picture 3"/>
            <wp:cNvGraphicFramePr>
              <a:graphicFrameLocks noChangeAspect="1"/>
            </wp:cNvGraphicFramePr>
            <a:graphic>
              <a:graphicData uri="http://schemas.openxmlformats.org/drawingml/2006/picture">
                <pic:pic>
                  <pic:nvPicPr>
                    <pic:cNvPr id="0" name="w4_feature_importance.png"/>
                    <pic:cNvPicPr/>
                  </pic:nvPicPr>
                  <pic:blipFill>
                    <a:blip r:embed="rId13"/>
                    <a:stretch>
                      <a:fillRect/>
                    </a:stretch>
                  </pic:blipFill>
                  <pic:spPr>
                    <a:xfrm>
                      <a:off x="0" y="0"/>
                      <a:ext cx="4937760" cy="2769283"/>
                    </a:xfrm>
                    <a:prstGeom prst="rect"/>
                  </pic:spPr>
                </pic:pic>
              </a:graphicData>
            </a:graphic>
          </wp:inline>
        </w:drawing>
      </w:r>
    </w:p>
    <w:p>
      <w:pPr>
        <w:pStyle w:val="Cap"/>
      </w:pPr>
      <w:r>
        <w:rPr>
          <w:b/>
          <w:i w:val="0"/>
        </w:rPr>
        <w:t xml:space="preserve">Figure 3. </w:t>
      </w:r>
      <w:r>
        <w:t>Permutation importance (increase in RMSE when a feature is shuffled).</w:t>
      </w:r>
    </w:p>
    <w:p>
      <w:r>
        <w:rPr>
          <w:b w:val="0"/>
          <w:i w:val="0"/>
        </w:rPr>
        <w:t>Permutation importance on the test set shows planned_days (1.09), distance_km (0.39), shipping_mode (0.13), destination_zone (0.03), weather_index (0.03). Planned days and distance dominate; service level and destination zone come next. Weather and traffic add small but positive information. Carrier, weight and order value matter little for transit time, although carrier matters for lateness and cost.</w:t>
      </w:r>
    </w:p>
    <w:p>
      <w:pPr>
        <w:pStyle w:val="Heading1"/>
      </w:pPr>
      <w:r>
        <w:t>4. Late-delivery risk model</w:t>
      </w:r>
    </w:p>
    <w:p>
      <w:pPr>
        <w:keepNext/>
        <w:spacing w:after="60"/>
      </w:pPr>
      <w:r>
        <w:rPr>
          <w:b/>
          <w:color w:val="1F3864"/>
          <w:sz w:val="18"/>
        </w:rPr>
        <w:t xml:space="preserve">Table 4. </w:t>
      </w:r>
      <w:r>
        <w:rPr>
          <w:color w:val="52514E"/>
          <w:sz w:val="18"/>
        </w:rPr>
        <w:t>Late-risk classifiers (base rate 30%).</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1882"/>
        <w:gridCol w:w="1882"/>
        <w:gridCol w:w="1882"/>
        <w:gridCol w:w="1882"/>
        <w:gridCol w:w="1882"/>
      </w:tblGrid>
      <w:tr>
        <w:trPr>
          <w:tblHeader w:val="true"/>
        </w:trPr>
        <w:tc>
          <w:tcPr>
            <w:tcW w:type="dxa" w:w="3061"/>
            <w:shd w:val="clear" w:color="auto" w:fill="1F3864"/>
            <w:tcMar>
              <w:top w:w="50" w:type="dxa"/>
              <w:left w:w="80" w:type="dxa"/>
              <w:bottom w:w="50" w:type="dxa"/>
              <w:right w:w="80" w:type="dxa"/>
            </w:tcMar>
          </w:tcPr>
          <w:p>
            <w:pPr>
              <w:spacing w:after="0"/>
            </w:pPr>
            <w:r>
              <w:rPr>
                <w:b/>
                <w:color w:val="FFFFFF"/>
                <w:sz w:val="18"/>
              </w:rPr>
              <w:t>Model</w:t>
            </w:r>
          </w:p>
        </w:tc>
        <w:tc>
          <w:tcPr>
            <w:tcW w:type="dxa" w:w="1361"/>
            <w:shd w:val="clear" w:color="auto" w:fill="1F3864"/>
            <w:tcMar>
              <w:top w:w="50" w:type="dxa"/>
              <w:left w:w="80" w:type="dxa"/>
              <w:bottom w:w="50" w:type="dxa"/>
              <w:right w:w="80" w:type="dxa"/>
            </w:tcMar>
          </w:tcPr>
          <w:p>
            <w:pPr>
              <w:spacing w:after="0"/>
              <w:jc w:val="right"/>
            </w:pPr>
            <w:r>
              <w:rPr>
                <w:b/>
                <w:color w:val="FFFFFF"/>
                <w:sz w:val="18"/>
              </w:rPr>
              <w:t>CV AUC</w:t>
            </w:r>
          </w:p>
        </w:tc>
        <w:tc>
          <w:tcPr>
            <w:tcW w:type="dxa" w:w="1361"/>
            <w:shd w:val="clear" w:color="auto" w:fill="1F3864"/>
            <w:tcMar>
              <w:top w:w="50" w:type="dxa"/>
              <w:left w:w="80" w:type="dxa"/>
              <w:bottom w:w="50" w:type="dxa"/>
              <w:right w:w="80" w:type="dxa"/>
            </w:tcMar>
          </w:tcPr>
          <w:p>
            <w:pPr>
              <w:spacing w:after="0"/>
              <w:jc w:val="right"/>
            </w:pPr>
            <w:r>
              <w:rPr>
                <w:b/>
                <w:color w:val="FFFFFF"/>
                <w:sz w:val="18"/>
              </w:rPr>
              <w:t>Test AUC</w:t>
            </w:r>
          </w:p>
        </w:tc>
        <w:tc>
          <w:tcPr>
            <w:tcW w:type="dxa" w:w="2154"/>
            <w:shd w:val="clear" w:color="auto" w:fill="1F3864"/>
            <w:tcMar>
              <w:top w:w="50" w:type="dxa"/>
              <w:left w:w="80" w:type="dxa"/>
              <w:bottom w:w="50" w:type="dxa"/>
              <w:right w:w="80" w:type="dxa"/>
            </w:tcMar>
          </w:tcPr>
          <w:p>
            <w:pPr>
              <w:spacing w:after="0"/>
              <w:jc w:val="right"/>
            </w:pPr>
            <w:r>
              <w:rPr>
                <w:b/>
                <w:color w:val="FFFFFF"/>
                <w:sz w:val="18"/>
              </w:rPr>
              <w:t>Test avg. precision</w:t>
            </w:r>
          </w:p>
        </w:tc>
        <w:tc>
          <w:tcPr>
            <w:tcW w:type="dxa" w:w="1587"/>
            <w:shd w:val="clear" w:color="auto" w:fill="1F3864"/>
            <w:tcMar>
              <w:top w:w="50" w:type="dxa"/>
              <w:left w:w="80" w:type="dxa"/>
              <w:bottom w:w="50" w:type="dxa"/>
              <w:right w:w="80" w:type="dxa"/>
            </w:tcMar>
          </w:tcPr>
          <w:p>
            <w:pPr>
              <w:spacing w:after="0"/>
              <w:jc w:val="right"/>
            </w:pPr>
            <w:r>
              <w:rPr>
                <w:b/>
                <w:color w:val="FFFFFF"/>
                <w:sz w:val="18"/>
              </w:rPr>
              <w:t>F1 at 0.5</w:t>
            </w:r>
          </w:p>
        </w:tc>
      </w:tr>
      <w:tr>
        <w:trPr>
          <w:cantSplit w:val="true"/>
        </w:trPr>
        <w:tc>
          <w:tcPr>
            <w:tcW w:type="dxa" w:w="3061"/>
            <w:tcMar>
              <w:top w:w="50" w:type="dxa"/>
              <w:left w:w="80" w:type="dxa"/>
              <w:bottom w:w="50" w:type="dxa"/>
              <w:right w:w="80" w:type="dxa"/>
            </w:tcMar>
          </w:tcPr>
          <w:p>
            <w:pPr>
              <w:spacing w:after="0"/>
            </w:pPr>
            <w:r>
              <w:rPr>
                <w:b w:val="0"/>
                <w:i w:val="0"/>
                <w:sz w:val="18"/>
              </w:rPr>
              <w:t>Logistic regression</w:t>
            </w:r>
          </w:p>
        </w:tc>
        <w:tc>
          <w:tcPr>
            <w:tcW w:type="dxa" w:w="1361"/>
            <w:tcMar>
              <w:top w:w="50" w:type="dxa"/>
              <w:left w:w="80" w:type="dxa"/>
              <w:bottom w:w="50" w:type="dxa"/>
              <w:right w:w="80" w:type="dxa"/>
            </w:tcMar>
          </w:tcPr>
          <w:p>
            <w:pPr>
              <w:spacing w:after="0"/>
              <w:jc w:val="right"/>
            </w:pPr>
            <w:r>
              <w:rPr>
                <w:b w:val="0"/>
                <w:i w:val="0"/>
                <w:sz w:val="18"/>
              </w:rPr>
              <w:t>0.719</w:t>
            </w:r>
          </w:p>
        </w:tc>
        <w:tc>
          <w:tcPr>
            <w:tcW w:type="dxa" w:w="1361"/>
            <w:tcMar>
              <w:top w:w="50" w:type="dxa"/>
              <w:left w:w="80" w:type="dxa"/>
              <w:bottom w:w="50" w:type="dxa"/>
              <w:right w:w="80" w:type="dxa"/>
            </w:tcMar>
          </w:tcPr>
          <w:p>
            <w:pPr>
              <w:spacing w:after="0"/>
              <w:jc w:val="right"/>
            </w:pPr>
            <w:r>
              <w:rPr>
                <w:b w:val="0"/>
                <w:i w:val="0"/>
                <w:sz w:val="18"/>
              </w:rPr>
              <w:t>0.739</w:t>
            </w:r>
          </w:p>
        </w:tc>
        <w:tc>
          <w:tcPr>
            <w:tcW w:type="dxa" w:w="2154"/>
            <w:tcMar>
              <w:top w:w="50" w:type="dxa"/>
              <w:left w:w="80" w:type="dxa"/>
              <w:bottom w:w="50" w:type="dxa"/>
              <w:right w:w="80" w:type="dxa"/>
            </w:tcMar>
          </w:tcPr>
          <w:p>
            <w:pPr>
              <w:spacing w:after="0"/>
              <w:jc w:val="right"/>
            </w:pPr>
            <w:r>
              <w:rPr>
                <w:b w:val="0"/>
                <w:i w:val="0"/>
                <w:sz w:val="18"/>
              </w:rPr>
              <w:t>0.511</w:t>
            </w:r>
          </w:p>
        </w:tc>
        <w:tc>
          <w:tcPr>
            <w:tcW w:type="dxa" w:w="1587"/>
            <w:tcMar>
              <w:top w:w="50" w:type="dxa"/>
              <w:left w:w="80" w:type="dxa"/>
              <w:bottom w:w="50" w:type="dxa"/>
              <w:right w:w="80" w:type="dxa"/>
            </w:tcMar>
          </w:tcPr>
          <w:p>
            <w:pPr>
              <w:spacing w:after="0"/>
              <w:jc w:val="right"/>
            </w:pPr>
            <w:r>
              <w:rPr>
                <w:b w:val="0"/>
                <w:i w:val="0"/>
                <w:sz w:val="18"/>
              </w:rPr>
              <w:t>0.327</w:t>
            </w:r>
          </w:p>
        </w:tc>
      </w:tr>
      <w:tr>
        <w:trPr>
          <w:cantSplit w:val="true"/>
        </w:trPr>
        <w:tc>
          <w:tcPr>
            <w:tcW w:type="dxa" w:w="3061"/>
            <w:tcMar>
              <w:top w:w="50" w:type="dxa"/>
              <w:left w:w="80" w:type="dxa"/>
              <w:bottom w:w="50" w:type="dxa"/>
              <w:right w:w="80" w:type="dxa"/>
            </w:tcMar>
            <w:shd w:val="clear" w:color="auto" w:fill="F2F6FB"/>
          </w:tcPr>
          <w:p>
            <w:pPr>
              <w:spacing w:after="0"/>
            </w:pPr>
            <w:r>
              <w:rPr>
                <w:b w:val="0"/>
                <w:i w:val="0"/>
                <w:sz w:val="18"/>
              </w:rPr>
              <w:t>Gradient boosting classifier</w:t>
            </w:r>
          </w:p>
        </w:tc>
        <w:tc>
          <w:tcPr>
            <w:tcW w:type="dxa" w:w="1361"/>
            <w:tcMar>
              <w:top w:w="50" w:type="dxa"/>
              <w:left w:w="80" w:type="dxa"/>
              <w:bottom w:w="50" w:type="dxa"/>
              <w:right w:w="80" w:type="dxa"/>
            </w:tcMar>
            <w:shd w:val="clear" w:color="auto" w:fill="F2F6FB"/>
          </w:tcPr>
          <w:p>
            <w:pPr>
              <w:spacing w:after="0"/>
              <w:jc w:val="right"/>
            </w:pPr>
            <w:r>
              <w:rPr>
                <w:b w:val="0"/>
                <w:i w:val="0"/>
                <w:sz w:val="18"/>
              </w:rPr>
              <w:t>0.748</w:t>
            </w:r>
          </w:p>
        </w:tc>
        <w:tc>
          <w:tcPr>
            <w:tcW w:type="dxa" w:w="1361"/>
            <w:tcMar>
              <w:top w:w="50" w:type="dxa"/>
              <w:left w:w="80" w:type="dxa"/>
              <w:bottom w:w="50" w:type="dxa"/>
              <w:right w:w="80" w:type="dxa"/>
            </w:tcMar>
            <w:shd w:val="clear" w:color="auto" w:fill="F2F6FB"/>
          </w:tcPr>
          <w:p>
            <w:pPr>
              <w:spacing w:after="0"/>
              <w:jc w:val="right"/>
            </w:pPr>
            <w:r>
              <w:rPr>
                <w:b w:val="0"/>
                <w:i w:val="0"/>
                <w:sz w:val="18"/>
              </w:rPr>
              <w:t>0.758</w:t>
            </w:r>
          </w:p>
        </w:tc>
        <w:tc>
          <w:tcPr>
            <w:tcW w:type="dxa" w:w="2154"/>
            <w:tcMar>
              <w:top w:w="50" w:type="dxa"/>
              <w:left w:w="80" w:type="dxa"/>
              <w:bottom w:w="50" w:type="dxa"/>
              <w:right w:w="80" w:type="dxa"/>
            </w:tcMar>
            <w:shd w:val="clear" w:color="auto" w:fill="F2F6FB"/>
          </w:tcPr>
          <w:p>
            <w:pPr>
              <w:spacing w:after="0"/>
              <w:jc w:val="right"/>
            </w:pPr>
            <w:r>
              <w:rPr>
                <w:b w:val="0"/>
                <w:i w:val="0"/>
                <w:sz w:val="18"/>
              </w:rPr>
              <w:t>0.571</w:t>
            </w:r>
          </w:p>
        </w:tc>
        <w:tc>
          <w:tcPr>
            <w:tcW w:type="dxa" w:w="1587"/>
            <w:tcMar>
              <w:top w:w="50" w:type="dxa"/>
              <w:left w:w="80" w:type="dxa"/>
              <w:bottom w:w="50" w:type="dxa"/>
              <w:right w:w="80" w:type="dxa"/>
            </w:tcMar>
            <w:shd w:val="clear" w:color="auto" w:fill="F2F6FB"/>
          </w:tcPr>
          <w:p>
            <w:pPr>
              <w:spacing w:after="0"/>
              <w:jc w:val="right"/>
            </w:pPr>
            <w:r>
              <w:rPr>
                <w:b w:val="0"/>
                <w:i w:val="0"/>
                <w:sz w:val="18"/>
              </w:rPr>
              <w:t>0.442</w:t>
            </w:r>
          </w:p>
        </w:tc>
      </w:tr>
    </w:tbl>
    <w:p>
      <w:pPr>
        <w:spacing w:after="40"/>
      </w:pPr>
    </w:p>
    <w:p>
      <w:pPr>
        <w:keepNext/>
        <w:spacing w:after="40"/>
        <w:jc w:val="center"/>
      </w:pPr>
      <w:r>
        <w:drawing>
          <wp:inline xmlns:a="http://schemas.openxmlformats.org/drawingml/2006/main" xmlns:pic="http://schemas.openxmlformats.org/drawingml/2006/picture">
            <wp:extent cx="4572000" cy="2796232"/>
            <wp:docPr id="4" name="Picture 4"/>
            <wp:cNvGraphicFramePr>
              <a:graphicFrameLocks noChangeAspect="1"/>
            </wp:cNvGraphicFramePr>
            <a:graphic>
              <a:graphicData uri="http://schemas.openxmlformats.org/drawingml/2006/picture">
                <pic:pic>
                  <pic:nvPicPr>
                    <pic:cNvPr id="0" name="w4_gain_curve.png"/>
                    <pic:cNvPicPr/>
                  </pic:nvPicPr>
                  <pic:blipFill>
                    <a:blip r:embed="rId14"/>
                    <a:stretch>
                      <a:fillRect/>
                    </a:stretch>
                  </pic:blipFill>
                  <pic:spPr>
                    <a:xfrm>
                      <a:off x="0" y="0"/>
                      <a:ext cx="4572000" cy="2796232"/>
                    </a:xfrm>
                    <a:prstGeom prst="rect"/>
                  </pic:spPr>
                </pic:pic>
              </a:graphicData>
            </a:graphic>
          </wp:inline>
        </w:drawing>
      </w:r>
    </w:p>
    <w:p>
      <w:pPr>
        <w:pStyle w:val="Cap"/>
      </w:pPr>
      <w:r>
        <w:rPr>
          <w:b/>
          <w:i w:val="0"/>
        </w:rPr>
        <w:t xml:space="preserve">Figure 4. </w:t>
      </w:r>
      <w:r>
        <w:t>Gain curve: share of late deliveries caught versus share of shipments reviewed.</w:t>
      </w:r>
    </w:p>
    <w:p>
      <w:r>
        <w:rPr>
          <w:b w:val="0"/>
          <w:i w:val="0"/>
        </w:rPr>
        <w:t>An AUC of 0.76 is moderate: lateness depends on many small and partly random causes, so no model can be near-perfect. It is nevertheless operationally useful. Reviewing the riskiest 20% of shipments catches 40% of the late ones, with 60% of reviewed shipments actually late against 30% at random, about twice as efficient. Reviewing the top 30% catches 54%. The default 0.5 threshold gives a low F1 because late shipments are a minority; in practice the review threshold should be set from the capacity of the control tower rather than at 0.5.</w:t>
      </w:r>
    </w:p>
    <w:p>
      <w:pPr>
        <w:pStyle w:val="Heading1"/>
      </w:pPr>
      <w:r>
        <w:t>5. Optimisation strategies</w:t>
      </w:r>
    </w:p>
    <w:p>
      <w:pPr>
        <w:pStyle w:val="Heading2"/>
      </w:pPr>
      <w:r>
        <w:t>5.1 Warehouse-to-hub allocation (transportation linear programme)</w:t>
      </w:r>
    </w:p>
    <w:p>
      <w:r>
        <w:rPr>
          <w:b w:val="0"/>
          <w:i w:val="0"/>
        </w:rPr>
        <w:t>Decision: what share of each hub's demand should each warehouse serve? Variables x[w,h] are shipments sent from warehouse w to hub h. Objective: minimise the sum of x[w,h] x (mean delivery cost + penalty x late rate) with an assumed late-delivery penalty of INR 150. Constraints: every hub's demand is met exactly; each warehouse can absorb at most 20% more than its current volume; optionally, total expected late deliveries may not exceed today's, and each lane must keep a minimum share of today's volume (so the network does not change overnight). The model is solved with SciPy's HiGHS solver (Huangfu &amp; Hall, 2018).</w:t>
      </w:r>
    </w:p>
    <w:p>
      <w:pPr>
        <w:keepNext/>
        <w:spacing w:after="40"/>
      </w:pPr>
      <w:r>
        <w:rPr>
          <w:b/>
          <w:color w:val="1F3864"/>
          <w:sz w:val="18"/>
        </w:rPr>
        <w:t>Code 4. Transportation LP with service-protection and lane-stickiness constraints</w:t>
      </w:r>
    </w:p>
    <w:p>
      <w:pPr>
        <w:pStyle w:val="CodeBlock"/>
      </w:pPr>
      <w:r>
        <w:t>def solve_alloc(penalty=PENALTY, cap_factor=CAP_FACTOR, floor=0.0, protect_service=False):</w:t>
      </w:r>
    </w:p>
    <w:p>
      <w:pPr>
        <w:pStyle w:val="CodeBlock"/>
      </w:pPr>
      <w:r>
        <w:t xml:space="preserve">    """Transportation LP. floor = minimum share of today's volume each lane must keep (lane stickiness);</w:t>
      </w:r>
    </w:p>
    <w:p>
      <w:pPr>
        <w:pStyle w:val="CodeBlock"/>
      </w:pPr>
      <w:r>
        <w:t xml:space="preserve">    protect_service = network late-delivery count may not exceed today's."""</w:t>
      </w:r>
    </w:p>
    <w:p>
      <w:pPr>
        <w:pStyle w:val="CodeBlock"/>
      </w:pPr>
      <w:r>
        <w:t xml:space="preserve">    C = (cost_m + penalty * late_m).values</w:t>
      </w:r>
    </w:p>
    <w:p>
      <w:pPr>
        <w:pStyle w:val="CodeBlock"/>
      </w:pPr>
      <w:r>
        <w:t xml:space="preserve">    nW, nH = C.shape</w:t>
      </w:r>
    </w:p>
    <w:p>
      <w:pPr>
        <w:pStyle w:val="CodeBlock"/>
      </w:pPr>
      <w:r>
        <w:t xml:space="preserve">    demand = cur.sum(axis=0).values</w:t>
      </w:r>
    </w:p>
    <w:p>
      <w:pPr>
        <w:pStyle w:val="CodeBlock"/>
      </w:pPr>
      <w:r>
        <w:t xml:space="preserve">    cap = cur.sum(axis=1).values * cap_factor</w:t>
      </w:r>
    </w:p>
    <w:p>
      <w:pPr>
        <w:pStyle w:val="CodeBlock"/>
      </w:pPr>
      <w:r>
        <w:t xml:space="preserve">    A_eq = np.zeros((nH, nW * nH)); A_ub = np.zeros((nW, nW * nH))</w:t>
      </w:r>
    </w:p>
    <w:p>
      <w:pPr>
        <w:pStyle w:val="CodeBlock"/>
      </w:pPr>
      <w:r>
        <w:t xml:space="preserve">    for h in range(nH):</w:t>
      </w:r>
    </w:p>
    <w:p>
      <w:pPr>
        <w:pStyle w:val="CodeBlock"/>
      </w:pPr>
      <w:r>
        <w:t xml:space="preserve">        for w in range(nW):</w:t>
      </w:r>
    </w:p>
    <w:p>
      <w:pPr>
        <w:pStyle w:val="CodeBlock"/>
      </w:pPr>
      <w:r>
        <w:t xml:space="preserve">            A_eq[h, w * nH + h] = 1</w:t>
      </w:r>
    </w:p>
    <w:p>
      <w:pPr>
        <w:pStyle w:val="CodeBlock"/>
      </w:pPr>
      <w:r>
        <w:t xml:space="preserve">    for w in range(nW):</w:t>
      </w:r>
    </w:p>
    <w:p>
      <w:pPr>
        <w:pStyle w:val="CodeBlock"/>
      </w:pPr>
      <w:r>
        <w:t xml:space="preserve">        A_ub[w, w * nH:(w + 1) * nH] = 1</w:t>
      </w:r>
    </w:p>
    <w:p>
      <w:pPr>
        <w:pStyle w:val="CodeBlock"/>
      </w:pPr>
      <w:r>
        <w:t xml:space="preserve">    b_ub = list(cap)</w:t>
      </w:r>
    </w:p>
    <w:p>
      <w:pPr>
        <w:pStyle w:val="CodeBlock"/>
      </w:pPr>
      <w:r>
        <w:t xml:space="preserve">    if protect_service:</w:t>
      </w:r>
    </w:p>
    <w:p>
      <w:pPr>
        <w:pStyle w:val="CodeBlock"/>
      </w:pPr>
      <w:r>
        <w:t xml:space="preserve">        A_ub = np.vstack([A_ub, late_m.values.ravel()]); b_ub.append(base_late_total)</w:t>
      </w:r>
    </w:p>
    <w:p>
      <w:pPr>
        <w:pStyle w:val="CodeBlock"/>
      </w:pPr>
      <w:r>
        <w:t xml:space="preserve">    lb = floor * cur.values.ravel()</w:t>
      </w:r>
    </w:p>
    <w:p>
      <w:pPr>
        <w:pStyle w:val="CodeBlock"/>
      </w:pPr>
      <w:r>
        <w:t xml:space="preserve">    r = linprog(C.ravel(), A_ub=A_ub, b_ub=b_ub, A_eq=A_eq, b_eq=demand, bounds=[(l, None) for l in lb], method="highs")</w:t>
      </w:r>
    </w:p>
    <w:p>
      <w:pPr>
        <w:pStyle w:val="CodeBlock"/>
      </w:pPr>
      <w:r>
        <w:t xml:space="preserve">    assert r.success, r.message</w:t>
      </w:r>
    </w:p>
    <w:p>
      <w:pPr>
        <w:pStyle w:val="CodeBlock"/>
      </w:pPr>
      <w:r>
        <w:t xml:space="preserve">    x = r.x.reshape(nW, nH)</w:t>
      </w:r>
    </w:p>
    <w:p>
      <w:pPr>
        <w:pStyle w:val="CodeBlock"/>
      </w:pPr>
      <w:r>
        <w:t xml:space="preserve">    return x, {"delivery_cost_per_shipment": float((x * cost_m.values).sum() / N_TOT),</w:t>
      </w:r>
    </w:p>
    <w:p>
      <w:pPr>
        <w:pStyle w:val="CodeBlock"/>
      </w:pPr>
      <w:r>
        <w:t xml:space="preserve">               "late_pct": float(100 * (x * late_m.values).sum() / N_TOT),</w:t>
      </w:r>
    </w:p>
    <w:p>
      <w:pPr>
        <w:pStyle w:val="CodeBlock"/>
      </w:pPr>
      <w:r>
        <w:t xml:space="preserve">               "reassigned_pct": float(100 * np.abs(x - cur.values).sum() / 2 / N_TOT)}</w:t>
      </w:r>
    </w:p>
    <w:p>
      <w:pPr>
        <w:spacing w:after="40"/>
      </w:pPr>
    </w:p>
    <w:p>
      <w:pPr>
        <w:keepNext/>
        <w:spacing w:after="60"/>
      </w:pPr>
      <w:r>
        <w:rPr>
          <w:b/>
          <w:color w:val="1F3864"/>
          <w:sz w:val="18"/>
        </w:rPr>
        <w:t xml:space="preserve">Table 5. </w:t>
      </w:r>
      <w:r>
        <w:rPr>
          <w:color w:val="52514E"/>
          <w:sz w:val="18"/>
        </w:rPr>
        <w:t>Warehouse-allocation scenarios (baseline: INR 705 per shipment, 29.3% late).</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1882"/>
        <w:gridCol w:w="1882"/>
        <w:gridCol w:w="1882"/>
        <w:gridCol w:w="1882"/>
        <w:gridCol w:w="1882"/>
      </w:tblGrid>
      <w:tr>
        <w:trPr>
          <w:tblHeader w:val="true"/>
        </w:trPr>
        <w:tc>
          <w:tcPr>
            <w:tcW w:type="dxa" w:w="3628"/>
            <w:shd w:val="clear" w:color="auto" w:fill="1F3864"/>
            <w:tcMar>
              <w:top w:w="50" w:type="dxa"/>
              <w:left w:w="80" w:type="dxa"/>
              <w:bottom w:w="50" w:type="dxa"/>
              <w:right w:w="80" w:type="dxa"/>
            </w:tcMar>
          </w:tcPr>
          <w:p>
            <w:pPr>
              <w:spacing w:after="0"/>
            </w:pPr>
            <w:r>
              <w:rPr>
                <w:b/>
                <w:color w:val="FFFFFF"/>
                <w:sz w:val="18"/>
              </w:rPr>
              <w:t>Scenario</w:t>
            </w:r>
          </w:p>
        </w:tc>
        <w:tc>
          <w:tcPr>
            <w:tcW w:type="dxa" w:w="1814"/>
            <w:shd w:val="clear" w:color="auto" w:fill="1F3864"/>
            <w:tcMar>
              <w:top w:w="50" w:type="dxa"/>
              <w:left w:w="80" w:type="dxa"/>
              <w:bottom w:w="50" w:type="dxa"/>
              <w:right w:w="80" w:type="dxa"/>
            </w:tcMar>
          </w:tcPr>
          <w:p>
            <w:pPr>
              <w:spacing w:after="0"/>
              <w:jc w:val="right"/>
            </w:pPr>
            <w:r>
              <w:rPr>
                <w:b/>
                <w:color w:val="FFFFFF"/>
                <w:sz w:val="18"/>
              </w:rPr>
              <w:t>Cost / shipment (INR)</w:t>
            </w:r>
          </w:p>
        </w:tc>
        <w:tc>
          <w:tcPr>
            <w:tcW w:type="dxa" w:w="1247"/>
            <w:shd w:val="clear" w:color="auto" w:fill="1F3864"/>
            <w:tcMar>
              <w:top w:w="50" w:type="dxa"/>
              <w:left w:w="80" w:type="dxa"/>
              <w:bottom w:w="50" w:type="dxa"/>
              <w:right w:w="80" w:type="dxa"/>
            </w:tcMar>
          </w:tcPr>
          <w:p>
            <w:pPr>
              <w:spacing w:after="0"/>
              <w:jc w:val="right"/>
            </w:pPr>
            <w:r>
              <w:rPr>
                <w:b/>
                <w:color w:val="FFFFFF"/>
                <w:sz w:val="18"/>
              </w:rPr>
              <w:t>Late rate</w:t>
            </w:r>
          </w:p>
        </w:tc>
        <w:tc>
          <w:tcPr>
            <w:tcW w:type="dxa" w:w="1474"/>
            <w:shd w:val="clear" w:color="auto" w:fill="1F3864"/>
            <w:tcMar>
              <w:top w:w="50" w:type="dxa"/>
              <w:left w:w="80" w:type="dxa"/>
              <w:bottom w:w="50" w:type="dxa"/>
              <w:right w:w="80" w:type="dxa"/>
            </w:tcMar>
          </w:tcPr>
          <w:p>
            <w:pPr>
              <w:spacing w:after="0"/>
              <w:jc w:val="right"/>
            </w:pPr>
            <w:r>
              <w:rPr>
                <w:b/>
                <w:color w:val="FFFFFF"/>
                <w:sz w:val="18"/>
              </w:rPr>
              <w:t>Volume moved</w:t>
            </w:r>
          </w:p>
        </w:tc>
        <w:tc>
          <w:tcPr>
            <w:tcW w:type="dxa" w:w="1361"/>
            <w:shd w:val="clear" w:color="auto" w:fill="1F3864"/>
            <w:tcMar>
              <w:top w:w="50" w:type="dxa"/>
              <w:left w:w="80" w:type="dxa"/>
              <w:bottom w:w="50" w:type="dxa"/>
              <w:right w:w="80" w:type="dxa"/>
            </w:tcMar>
          </w:tcPr>
          <w:p>
            <w:pPr>
              <w:spacing w:after="0"/>
              <w:jc w:val="right"/>
            </w:pPr>
            <w:r>
              <w:rPr>
                <w:b/>
                <w:color w:val="FFFFFF"/>
                <w:sz w:val="18"/>
              </w:rPr>
              <w:t>Cost saving</w:t>
            </w:r>
          </w:p>
        </w:tc>
      </w:tr>
      <w:tr>
        <w:trPr>
          <w:cantSplit w:val="true"/>
        </w:trPr>
        <w:tc>
          <w:tcPr>
            <w:tcW w:type="dxa" w:w="3628"/>
            <w:tcMar>
              <w:top w:w="50" w:type="dxa"/>
              <w:left w:w="80" w:type="dxa"/>
              <w:bottom w:w="50" w:type="dxa"/>
              <w:right w:w="80" w:type="dxa"/>
            </w:tcMar>
          </w:tcPr>
          <w:p>
            <w:pPr>
              <w:spacing w:after="0"/>
            </w:pPr>
            <w:r>
              <w:rPr>
                <w:b w:val="0"/>
                <w:i w:val="0"/>
                <w:sz w:val="18"/>
              </w:rPr>
              <w:t>Cost-optimal, free reassignment</w:t>
            </w:r>
          </w:p>
        </w:tc>
        <w:tc>
          <w:tcPr>
            <w:tcW w:type="dxa" w:w="1814"/>
            <w:tcMar>
              <w:top w:w="50" w:type="dxa"/>
              <w:left w:w="80" w:type="dxa"/>
              <w:bottom w:w="50" w:type="dxa"/>
              <w:right w:w="80" w:type="dxa"/>
            </w:tcMar>
          </w:tcPr>
          <w:p>
            <w:pPr>
              <w:spacing w:after="0"/>
              <w:jc w:val="right"/>
            </w:pPr>
            <w:r>
              <w:rPr>
                <w:b w:val="0"/>
                <w:i w:val="0"/>
                <w:sz w:val="18"/>
              </w:rPr>
              <w:t>430</w:t>
            </w:r>
          </w:p>
        </w:tc>
        <w:tc>
          <w:tcPr>
            <w:tcW w:type="dxa" w:w="1247"/>
            <w:tcMar>
              <w:top w:w="50" w:type="dxa"/>
              <w:left w:w="80" w:type="dxa"/>
              <w:bottom w:w="50" w:type="dxa"/>
              <w:right w:w="80" w:type="dxa"/>
            </w:tcMar>
          </w:tcPr>
          <w:p>
            <w:pPr>
              <w:spacing w:after="0"/>
              <w:jc w:val="right"/>
            </w:pPr>
            <w:r>
              <w:rPr>
                <w:b w:val="0"/>
                <w:i w:val="0"/>
                <w:sz w:val="18"/>
              </w:rPr>
              <w:t>32.9%</w:t>
            </w:r>
          </w:p>
        </w:tc>
        <w:tc>
          <w:tcPr>
            <w:tcW w:type="dxa" w:w="1474"/>
            <w:tcMar>
              <w:top w:w="50" w:type="dxa"/>
              <w:left w:w="80" w:type="dxa"/>
              <w:bottom w:w="50" w:type="dxa"/>
              <w:right w:w="80" w:type="dxa"/>
            </w:tcMar>
          </w:tcPr>
          <w:p>
            <w:pPr>
              <w:spacing w:after="0"/>
              <w:jc w:val="right"/>
            </w:pPr>
            <w:r>
              <w:rPr>
                <w:b w:val="0"/>
                <w:i w:val="0"/>
                <w:sz w:val="18"/>
              </w:rPr>
              <w:t>63%</w:t>
            </w:r>
          </w:p>
        </w:tc>
        <w:tc>
          <w:tcPr>
            <w:tcW w:type="dxa" w:w="1361"/>
            <w:tcMar>
              <w:top w:w="50" w:type="dxa"/>
              <w:left w:w="80" w:type="dxa"/>
              <w:bottom w:w="50" w:type="dxa"/>
              <w:right w:w="80" w:type="dxa"/>
            </w:tcMar>
          </w:tcPr>
          <w:p>
            <w:pPr>
              <w:spacing w:after="0"/>
              <w:jc w:val="right"/>
            </w:pPr>
            <w:r>
              <w:rPr>
                <w:b w:val="0"/>
                <w:i w:val="0"/>
                <w:sz w:val="18"/>
              </w:rPr>
              <w:t>38.9%</w:t>
            </w:r>
          </w:p>
        </w:tc>
      </w:tr>
      <w:tr>
        <w:trPr>
          <w:cantSplit w:val="true"/>
        </w:trPr>
        <w:tc>
          <w:tcPr>
            <w:tcW w:type="dxa" w:w="3628"/>
            <w:tcMar>
              <w:top w:w="50" w:type="dxa"/>
              <w:left w:w="80" w:type="dxa"/>
              <w:bottom w:w="50" w:type="dxa"/>
              <w:right w:w="80" w:type="dxa"/>
            </w:tcMar>
            <w:shd w:val="clear" w:color="auto" w:fill="F2F6FB"/>
          </w:tcPr>
          <w:p>
            <w:pPr>
              <w:spacing w:after="0"/>
            </w:pPr>
            <w:r>
              <w:rPr>
                <w:b w:val="0"/>
                <w:i w:val="0"/>
                <w:sz w:val="18"/>
              </w:rPr>
              <w:t>Service-protected, free reassignment</w:t>
            </w:r>
          </w:p>
        </w:tc>
        <w:tc>
          <w:tcPr>
            <w:tcW w:type="dxa" w:w="1814"/>
            <w:tcMar>
              <w:top w:w="50" w:type="dxa"/>
              <w:left w:w="80" w:type="dxa"/>
              <w:bottom w:w="50" w:type="dxa"/>
              <w:right w:w="80" w:type="dxa"/>
            </w:tcMar>
            <w:shd w:val="clear" w:color="auto" w:fill="F2F6FB"/>
          </w:tcPr>
          <w:p>
            <w:pPr>
              <w:spacing w:after="0"/>
              <w:jc w:val="right"/>
            </w:pPr>
            <w:r>
              <w:rPr>
                <w:b w:val="0"/>
                <w:i w:val="0"/>
                <w:sz w:val="18"/>
              </w:rPr>
              <w:t>453</w:t>
            </w:r>
          </w:p>
        </w:tc>
        <w:tc>
          <w:tcPr>
            <w:tcW w:type="dxa" w:w="1247"/>
            <w:tcMar>
              <w:top w:w="50" w:type="dxa"/>
              <w:left w:w="80" w:type="dxa"/>
              <w:bottom w:w="50" w:type="dxa"/>
              <w:right w:w="80" w:type="dxa"/>
            </w:tcMar>
            <w:shd w:val="clear" w:color="auto" w:fill="F2F6FB"/>
          </w:tcPr>
          <w:p>
            <w:pPr>
              <w:spacing w:after="0"/>
              <w:jc w:val="right"/>
            </w:pPr>
            <w:r>
              <w:rPr>
                <w:b w:val="0"/>
                <w:i w:val="0"/>
                <w:sz w:val="18"/>
              </w:rPr>
              <w:t>29.3%</w:t>
            </w:r>
          </w:p>
        </w:tc>
        <w:tc>
          <w:tcPr>
            <w:tcW w:type="dxa" w:w="1474"/>
            <w:tcMar>
              <w:top w:w="50" w:type="dxa"/>
              <w:left w:w="80" w:type="dxa"/>
              <w:bottom w:w="50" w:type="dxa"/>
              <w:right w:w="80" w:type="dxa"/>
            </w:tcMar>
            <w:shd w:val="clear" w:color="auto" w:fill="F2F6FB"/>
          </w:tcPr>
          <w:p>
            <w:pPr>
              <w:spacing w:after="0"/>
              <w:jc w:val="right"/>
            </w:pPr>
            <w:r>
              <w:rPr>
                <w:b w:val="0"/>
                <w:i w:val="0"/>
                <w:sz w:val="18"/>
              </w:rPr>
              <w:t>62%</w:t>
            </w:r>
          </w:p>
        </w:tc>
        <w:tc>
          <w:tcPr>
            <w:tcW w:type="dxa" w:w="1361"/>
            <w:tcMar>
              <w:top w:w="50" w:type="dxa"/>
              <w:left w:w="80" w:type="dxa"/>
              <w:bottom w:w="50" w:type="dxa"/>
              <w:right w:w="80" w:type="dxa"/>
            </w:tcMar>
            <w:shd w:val="clear" w:color="auto" w:fill="F2F6FB"/>
          </w:tcPr>
          <w:p>
            <w:pPr>
              <w:spacing w:after="0"/>
              <w:jc w:val="right"/>
            </w:pPr>
            <w:r>
              <w:rPr>
                <w:b w:val="0"/>
                <w:i w:val="0"/>
                <w:sz w:val="18"/>
              </w:rPr>
              <w:t>35.7%</w:t>
            </w:r>
          </w:p>
        </w:tc>
      </w:tr>
      <w:tr>
        <w:trPr>
          <w:cantSplit w:val="true"/>
        </w:trPr>
        <w:tc>
          <w:tcPr>
            <w:tcW w:type="dxa" w:w="3628"/>
            <w:tcMar>
              <w:top w:w="50" w:type="dxa"/>
              <w:left w:w="80" w:type="dxa"/>
              <w:bottom w:w="50" w:type="dxa"/>
              <w:right w:w="80" w:type="dxa"/>
            </w:tcMar>
          </w:tcPr>
          <w:p>
            <w:pPr>
              <w:spacing w:after="0"/>
            </w:pPr>
            <w:r>
              <w:rPr>
                <w:b w:val="0"/>
                <w:i w:val="0"/>
                <w:sz w:val="18"/>
              </w:rPr>
              <w:t>Practical: &lt;=50% of a lane moves</w:t>
            </w:r>
          </w:p>
        </w:tc>
        <w:tc>
          <w:tcPr>
            <w:tcW w:type="dxa" w:w="1814"/>
            <w:tcMar>
              <w:top w:w="50" w:type="dxa"/>
              <w:left w:w="80" w:type="dxa"/>
              <w:bottom w:w="50" w:type="dxa"/>
              <w:right w:w="80" w:type="dxa"/>
            </w:tcMar>
          </w:tcPr>
          <w:p>
            <w:pPr>
              <w:spacing w:after="0"/>
              <w:jc w:val="right"/>
            </w:pPr>
            <w:r>
              <w:rPr>
                <w:b w:val="0"/>
                <w:i w:val="0"/>
                <w:sz w:val="18"/>
              </w:rPr>
              <w:t>570</w:t>
            </w:r>
          </w:p>
        </w:tc>
        <w:tc>
          <w:tcPr>
            <w:tcW w:type="dxa" w:w="1247"/>
            <w:tcMar>
              <w:top w:w="50" w:type="dxa"/>
              <w:left w:w="80" w:type="dxa"/>
              <w:bottom w:w="50" w:type="dxa"/>
              <w:right w:w="80" w:type="dxa"/>
            </w:tcMar>
          </w:tcPr>
          <w:p>
            <w:pPr>
              <w:spacing w:after="0"/>
              <w:jc w:val="right"/>
            </w:pPr>
            <w:r>
              <w:rPr>
                <w:b w:val="0"/>
                <w:i w:val="0"/>
                <w:sz w:val="18"/>
              </w:rPr>
              <w:t>29.3%</w:t>
            </w:r>
          </w:p>
        </w:tc>
        <w:tc>
          <w:tcPr>
            <w:tcW w:type="dxa" w:w="1474"/>
            <w:tcMar>
              <w:top w:w="50" w:type="dxa"/>
              <w:left w:w="80" w:type="dxa"/>
              <w:bottom w:w="50" w:type="dxa"/>
              <w:right w:w="80" w:type="dxa"/>
            </w:tcMar>
          </w:tcPr>
          <w:p>
            <w:pPr>
              <w:spacing w:after="0"/>
              <w:jc w:val="right"/>
            </w:pPr>
            <w:r>
              <w:rPr>
                <w:b w:val="0"/>
                <w:i w:val="0"/>
                <w:sz w:val="18"/>
              </w:rPr>
              <w:t>32%</w:t>
            </w:r>
          </w:p>
        </w:tc>
        <w:tc>
          <w:tcPr>
            <w:tcW w:type="dxa" w:w="1361"/>
            <w:tcMar>
              <w:top w:w="50" w:type="dxa"/>
              <w:left w:w="80" w:type="dxa"/>
              <w:bottom w:w="50" w:type="dxa"/>
              <w:right w:w="80" w:type="dxa"/>
            </w:tcMar>
          </w:tcPr>
          <w:p>
            <w:pPr>
              <w:spacing w:after="0"/>
              <w:jc w:val="right"/>
            </w:pPr>
            <w:r>
              <w:rPr>
                <w:b w:val="0"/>
                <w:i w:val="0"/>
                <w:sz w:val="18"/>
              </w:rPr>
              <w:t>19.1%</w:t>
            </w:r>
          </w:p>
        </w:tc>
      </w:tr>
      <w:tr>
        <w:trPr>
          <w:cantSplit w:val="true"/>
        </w:trPr>
        <w:tc>
          <w:tcPr>
            <w:tcW w:type="dxa" w:w="3628"/>
            <w:tcMar>
              <w:top w:w="50" w:type="dxa"/>
              <w:left w:w="80" w:type="dxa"/>
              <w:bottom w:w="50" w:type="dxa"/>
              <w:right w:w="80" w:type="dxa"/>
            </w:tcMar>
            <w:shd w:val="clear" w:color="auto" w:fill="F2F6FB"/>
          </w:tcPr>
          <w:p>
            <w:pPr>
              <w:spacing w:after="0"/>
            </w:pPr>
            <w:r>
              <w:rPr>
                <w:b w:val="0"/>
                <w:i w:val="0"/>
                <w:sz w:val="18"/>
              </w:rPr>
              <w:t>Conservative: &lt;=25% of a lane moves</w:t>
            </w:r>
          </w:p>
        </w:tc>
        <w:tc>
          <w:tcPr>
            <w:tcW w:type="dxa" w:w="1814"/>
            <w:tcMar>
              <w:top w:w="50" w:type="dxa"/>
              <w:left w:w="80" w:type="dxa"/>
              <w:bottom w:w="50" w:type="dxa"/>
              <w:right w:w="80" w:type="dxa"/>
            </w:tcMar>
            <w:shd w:val="clear" w:color="auto" w:fill="F2F6FB"/>
          </w:tcPr>
          <w:p>
            <w:pPr>
              <w:spacing w:after="0"/>
              <w:jc w:val="right"/>
            </w:pPr>
            <w:r>
              <w:rPr>
                <w:b w:val="0"/>
                <w:i w:val="0"/>
                <w:sz w:val="18"/>
              </w:rPr>
              <w:t>630</w:t>
            </w:r>
          </w:p>
        </w:tc>
        <w:tc>
          <w:tcPr>
            <w:tcW w:type="dxa" w:w="1247"/>
            <w:tcMar>
              <w:top w:w="50" w:type="dxa"/>
              <w:left w:w="80" w:type="dxa"/>
              <w:bottom w:w="50" w:type="dxa"/>
              <w:right w:w="80" w:type="dxa"/>
            </w:tcMar>
            <w:shd w:val="clear" w:color="auto" w:fill="F2F6FB"/>
          </w:tcPr>
          <w:p>
            <w:pPr>
              <w:spacing w:after="0"/>
              <w:jc w:val="right"/>
            </w:pPr>
            <w:r>
              <w:rPr>
                <w:b w:val="0"/>
                <w:i w:val="0"/>
                <w:sz w:val="18"/>
              </w:rPr>
              <w:t>29.3%</w:t>
            </w:r>
          </w:p>
        </w:tc>
        <w:tc>
          <w:tcPr>
            <w:tcW w:type="dxa" w:w="1474"/>
            <w:tcMar>
              <w:top w:w="50" w:type="dxa"/>
              <w:left w:w="80" w:type="dxa"/>
              <w:bottom w:w="50" w:type="dxa"/>
              <w:right w:w="80" w:type="dxa"/>
            </w:tcMar>
            <w:shd w:val="clear" w:color="auto" w:fill="F2F6FB"/>
          </w:tcPr>
          <w:p>
            <w:pPr>
              <w:spacing w:after="0"/>
              <w:jc w:val="right"/>
            </w:pPr>
            <w:r>
              <w:rPr>
                <w:b w:val="0"/>
                <w:i w:val="0"/>
                <w:sz w:val="18"/>
              </w:rPr>
              <w:t>16%</w:t>
            </w:r>
          </w:p>
        </w:tc>
        <w:tc>
          <w:tcPr>
            <w:tcW w:type="dxa" w:w="1361"/>
            <w:tcMar>
              <w:top w:w="50" w:type="dxa"/>
              <w:left w:w="80" w:type="dxa"/>
              <w:bottom w:w="50" w:type="dxa"/>
              <w:right w:w="80" w:type="dxa"/>
            </w:tcMar>
            <w:shd w:val="clear" w:color="auto" w:fill="F2F6FB"/>
          </w:tcPr>
          <w:p>
            <w:pPr>
              <w:spacing w:after="0"/>
              <w:jc w:val="right"/>
            </w:pPr>
            <w:r>
              <w:rPr>
                <w:b w:val="0"/>
                <w:i w:val="0"/>
                <w:sz w:val="18"/>
              </w:rPr>
              <w:t>10.7%</w:t>
            </w:r>
          </w:p>
        </w:tc>
      </w:tr>
    </w:tbl>
    <w:p>
      <w:pPr>
        <w:spacing w:after="40"/>
      </w:pPr>
    </w:p>
    <w:p>
      <w:pPr>
        <w:keepNext/>
        <w:spacing w:after="40"/>
        <w:jc w:val="center"/>
      </w:pPr>
      <w:r>
        <w:drawing>
          <wp:inline xmlns:a="http://schemas.openxmlformats.org/drawingml/2006/main" xmlns:pic="http://schemas.openxmlformats.org/drawingml/2006/picture">
            <wp:extent cx="5852160" cy="2706280"/>
            <wp:docPr id="5" name="Picture 5"/>
            <wp:cNvGraphicFramePr>
              <a:graphicFrameLocks noChangeAspect="1"/>
            </wp:cNvGraphicFramePr>
            <a:graphic>
              <a:graphicData uri="http://schemas.openxmlformats.org/drawingml/2006/picture">
                <pic:pic>
                  <pic:nvPicPr>
                    <pic:cNvPr id="0" name="w4_lp_allocation.png"/>
                    <pic:cNvPicPr/>
                  </pic:nvPicPr>
                  <pic:blipFill>
                    <a:blip r:embed="rId15"/>
                    <a:stretch>
                      <a:fillRect/>
                    </a:stretch>
                  </pic:blipFill>
                  <pic:spPr>
                    <a:xfrm>
                      <a:off x="0" y="0"/>
                      <a:ext cx="5852160" cy="2706280"/>
                    </a:xfrm>
                    <a:prstGeom prst="rect"/>
                  </pic:spPr>
                </pic:pic>
              </a:graphicData>
            </a:graphic>
          </wp:inline>
        </w:drawing>
      </w:r>
    </w:p>
    <w:p>
      <w:pPr>
        <w:pStyle w:val="Cap"/>
      </w:pPr>
      <w:r>
        <w:rPr>
          <w:b/>
          <w:i w:val="0"/>
        </w:rPr>
        <w:t xml:space="preserve">Figure 5. </w:t>
      </w:r>
      <w:r>
        <w:t>Share of each hub's volume served by each warehouse: today versus the practical optimised plan.</w:t>
      </w:r>
    </w:p>
    <w:p>
      <w:r>
        <w:rPr>
          <w:b w:val="0"/>
          <w:i w:val="0"/>
        </w:rPr>
        <w:t xml:space="preserve">The cost-only solution saves 39% but raises the late rate to 32.9%, which shows why a service constraint is essential. The practical plan, which protects the late rate and moves at most half of any lane, saves </w:t>
      </w:r>
      <w:r>
        <w:rPr>
          <w:b/>
          <w:i w:val="0"/>
        </w:rPr>
        <w:t>19.1%</w:t>
      </w:r>
      <w:r>
        <w:rPr>
          <w:b w:val="0"/>
          <w:i w:val="0"/>
        </w:rPr>
        <w:t xml:space="preserve"> while re-routing 32% of volume; the conservative plan saves 10.7% with 16% moved. Biggest moves: Guwahati from Kolkata (+37 pp, taken from Delhi); Chennai from Bengaluru (+34 pp, taken from Pune); Lucknow from Delhi (+33 pp, taken from Pune). The late penalty did not change the practical result for penalties of INR 0, 150 and 400, because the service-protection constraint, not the penalty, is what binds.</w:t>
      </w:r>
    </w:p>
    <w:tbl>
      <w:tblPr>
        <w:tblW w:type="auto" w:w="0"/>
        <w:jc w:val="center"/>
        <w:tblLook w:firstColumn="1" w:firstRow="1" w:lastColumn="0" w:lastRow="0" w:noHBand="0" w:noVBand="1" w:val="04A0"/>
      </w:tblPr>
      <w:tblGrid>
        <w:gridCol w:w="9412"/>
      </w:tblGrid>
      <w:tr>
        <w:tc>
          <w:tcPr>
            <w:tcW w:type="dxa" w:w="9412"/>
            <w:shd w:val="clear" w:color="auto" w:fill="E8F1FC"/>
            <w:tcMar>
              <w:top w:w="90" w:type="dxa"/>
              <w:left w:w="140" w:type="dxa"/>
              <w:bottom w:w="90" w:type="dxa"/>
              <w:right w:w="140" w:type="dxa"/>
            </w:tcMar>
          </w:tcPr>
          <w:p>
            <w:pPr>
              <w:spacing w:after="0"/>
            </w:pPr>
            <w:r>
              <w:rPr>
                <w:b/>
                <w:color w:val="1F3864"/>
              </w:rPr>
              <w:t xml:space="preserve">Caveat.  </w:t>
            </w:r>
            <w:r>
              <w:rPr>
                <w:b w:val="0"/>
                <w:i w:val="0"/>
              </w:rPr>
              <w:t>Lane costs and late rates are historical averages and are assumed to stay constant when volume moves. Real tariffs, congestion and warehouse stock may react to a 30% shift in flows, so these savings are an upper-bound planning estimate to be validated in a pilot on a few hubs.</w:t>
            </w:r>
          </w:p>
        </w:tc>
      </w:tr>
    </w:tbl>
    <w:p>
      <w:pPr>
        <w:spacing w:after="40"/>
      </w:pPr>
    </w:p>
    <w:p>
      <w:pPr>
        <w:pStyle w:val="Heading2"/>
      </w:pPr>
      <w:r>
        <w:t>5.2 Carrier mix per destination zone</w:t>
      </w:r>
    </w:p>
    <w:p>
      <w:r>
        <w:rPr>
          <w:b w:val="0"/>
          <w:i w:val="0"/>
        </w:rPr>
        <w:t>For each zone, a small LP chooses carrier shares to minimise mean delivery cost, subject to the zone's expected late count not exceeding today's and each carrier keeping between 10% and 45% of the zone's volume (to avoid dependence on one carrier).</w:t>
      </w:r>
    </w:p>
    <w:p>
      <w:pPr>
        <w:keepNext/>
        <w:spacing w:after="60"/>
      </w:pPr>
      <w:r>
        <w:rPr>
          <w:b/>
          <w:color w:val="1F3864"/>
          <w:sz w:val="18"/>
        </w:rPr>
        <w:t xml:space="preserve">Table 6. </w:t>
      </w:r>
      <w:r>
        <w:rPr>
          <w:color w:val="52514E"/>
          <w:sz w:val="18"/>
        </w:rPr>
        <w:t>Carrier-mix optimisation by zone.</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1569"/>
        <w:gridCol w:w="1569"/>
        <w:gridCol w:w="1569"/>
        <w:gridCol w:w="1569"/>
        <w:gridCol w:w="1569"/>
        <w:gridCol w:w="1569"/>
      </w:tblGrid>
      <w:tr>
        <w:trPr>
          <w:tblHeader w:val="true"/>
        </w:trPr>
        <w:tc>
          <w:tcPr>
            <w:tcW w:type="dxa" w:w="1587"/>
            <w:shd w:val="clear" w:color="auto" w:fill="1F3864"/>
            <w:tcMar>
              <w:top w:w="50" w:type="dxa"/>
              <w:left w:w="80" w:type="dxa"/>
              <w:bottom w:w="50" w:type="dxa"/>
              <w:right w:w="80" w:type="dxa"/>
            </w:tcMar>
          </w:tcPr>
          <w:p>
            <w:pPr>
              <w:spacing w:after="0"/>
            </w:pPr>
            <w:r>
              <w:rPr>
                <w:b/>
                <w:color w:val="FFFFFF"/>
                <w:sz w:val="18"/>
              </w:rPr>
              <w:t>Zone</w:t>
            </w:r>
          </w:p>
        </w:tc>
        <w:tc>
          <w:tcPr>
            <w:tcW w:type="dxa" w:w="1247"/>
            <w:shd w:val="clear" w:color="auto" w:fill="1F3864"/>
            <w:tcMar>
              <w:top w:w="50" w:type="dxa"/>
              <w:left w:w="80" w:type="dxa"/>
              <w:bottom w:w="50" w:type="dxa"/>
              <w:right w:w="80" w:type="dxa"/>
            </w:tcMar>
          </w:tcPr>
          <w:p>
            <w:pPr>
              <w:spacing w:after="0"/>
              <w:jc w:val="right"/>
            </w:pPr>
            <w:r>
              <w:rPr>
                <w:b/>
                <w:color w:val="FFFFFF"/>
                <w:sz w:val="18"/>
              </w:rPr>
              <w:t>Shipments</w:t>
            </w:r>
          </w:p>
        </w:tc>
        <w:tc>
          <w:tcPr>
            <w:tcW w:type="dxa" w:w="1587"/>
            <w:shd w:val="clear" w:color="auto" w:fill="1F3864"/>
            <w:tcMar>
              <w:top w:w="50" w:type="dxa"/>
              <w:left w:w="80" w:type="dxa"/>
              <w:bottom w:w="50" w:type="dxa"/>
              <w:right w:w="80" w:type="dxa"/>
            </w:tcMar>
          </w:tcPr>
          <w:p>
            <w:pPr>
              <w:spacing w:after="0"/>
              <w:jc w:val="right"/>
            </w:pPr>
            <w:r>
              <w:rPr>
                <w:b/>
                <w:color w:val="FFFFFF"/>
                <w:sz w:val="18"/>
              </w:rPr>
              <w:t>Cost now (INR)</w:t>
            </w:r>
          </w:p>
        </w:tc>
        <w:tc>
          <w:tcPr>
            <w:tcW w:type="dxa" w:w="1928"/>
            <w:shd w:val="clear" w:color="auto" w:fill="1F3864"/>
            <w:tcMar>
              <w:top w:w="50" w:type="dxa"/>
              <w:left w:w="80" w:type="dxa"/>
              <w:bottom w:w="50" w:type="dxa"/>
              <w:right w:w="80" w:type="dxa"/>
            </w:tcMar>
          </w:tcPr>
          <w:p>
            <w:pPr>
              <w:spacing w:after="0"/>
              <w:jc w:val="right"/>
            </w:pPr>
            <w:r>
              <w:rPr>
                <w:b/>
                <w:color w:val="FFFFFF"/>
                <w:sz w:val="18"/>
              </w:rPr>
              <w:t>Cost optimised (INR)</w:t>
            </w:r>
          </w:p>
        </w:tc>
        <w:tc>
          <w:tcPr>
            <w:tcW w:type="dxa" w:w="1134"/>
            <w:shd w:val="clear" w:color="auto" w:fill="1F3864"/>
            <w:tcMar>
              <w:top w:w="50" w:type="dxa"/>
              <w:left w:w="80" w:type="dxa"/>
              <w:bottom w:w="50" w:type="dxa"/>
              <w:right w:w="80" w:type="dxa"/>
            </w:tcMar>
          </w:tcPr>
          <w:p>
            <w:pPr>
              <w:spacing w:after="0"/>
              <w:jc w:val="right"/>
            </w:pPr>
            <w:r>
              <w:rPr>
                <w:b/>
                <w:color w:val="FFFFFF"/>
                <w:sz w:val="18"/>
              </w:rPr>
              <w:t>Saving</w:t>
            </w:r>
          </w:p>
        </w:tc>
        <w:tc>
          <w:tcPr>
            <w:tcW w:type="dxa" w:w="2041"/>
            <w:shd w:val="clear" w:color="auto" w:fill="1F3864"/>
            <w:tcMar>
              <w:top w:w="50" w:type="dxa"/>
              <w:left w:w="80" w:type="dxa"/>
              <w:bottom w:w="50" w:type="dxa"/>
              <w:right w:w="80" w:type="dxa"/>
            </w:tcMar>
          </w:tcPr>
          <w:p>
            <w:pPr>
              <w:spacing w:after="0"/>
              <w:jc w:val="right"/>
            </w:pPr>
            <w:r>
              <w:rPr>
                <w:b/>
                <w:color w:val="FFFFFF"/>
                <w:sz w:val="18"/>
              </w:rPr>
              <w:t>Late rate</w:t>
            </w:r>
          </w:p>
        </w:tc>
      </w:tr>
      <w:tr>
        <w:trPr>
          <w:cantSplit w:val="true"/>
        </w:trPr>
        <w:tc>
          <w:tcPr>
            <w:tcW w:type="dxa" w:w="1587"/>
            <w:tcMar>
              <w:top w:w="50" w:type="dxa"/>
              <w:left w:w="80" w:type="dxa"/>
              <w:bottom w:w="50" w:type="dxa"/>
              <w:right w:w="80" w:type="dxa"/>
            </w:tcMar>
          </w:tcPr>
          <w:p>
            <w:pPr>
              <w:spacing w:after="0"/>
            </w:pPr>
            <w:r>
              <w:rPr>
                <w:b w:val="0"/>
                <w:i w:val="0"/>
                <w:sz w:val="18"/>
              </w:rPr>
              <w:t>Central</w:t>
            </w:r>
          </w:p>
        </w:tc>
        <w:tc>
          <w:tcPr>
            <w:tcW w:type="dxa" w:w="1247"/>
            <w:tcMar>
              <w:top w:w="50" w:type="dxa"/>
              <w:left w:w="80" w:type="dxa"/>
              <w:bottom w:w="50" w:type="dxa"/>
              <w:right w:w="80" w:type="dxa"/>
            </w:tcMar>
          </w:tcPr>
          <w:p>
            <w:pPr>
              <w:spacing w:after="0"/>
              <w:jc w:val="right"/>
            </w:pPr>
            <w:r>
              <w:rPr>
                <w:b w:val="0"/>
                <w:i w:val="0"/>
                <w:sz w:val="18"/>
              </w:rPr>
              <w:t>1,150</w:t>
            </w:r>
          </w:p>
        </w:tc>
        <w:tc>
          <w:tcPr>
            <w:tcW w:type="dxa" w:w="1587"/>
            <w:tcMar>
              <w:top w:w="50" w:type="dxa"/>
              <w:left w:w="80" w:type="dxa"/>
              <w:bottom w:w="50" w:type="dxa"/>
              <w:right w:w="80" w:type="dxa"/>
            </w:tcMar>
          </w:tcPr>
          <w:p>
            <w:pPr>
              <w:spacing w:after="0"/>
              <w:jc w:val="right"/>
            </w:pPr>
            <w:r>
              <w:rPr>
                <w:b w:val="0"/>
                <w:i w:val="0"/>
                <w:sz w:val="18"/>
              </w:rPr>
              <w:t>597</w:t>
            </w:r>
          </w:p>
        </w:tc>
        <w:tc>
          <w:tcPr>
            <w:tcW w:type="dxa" w:w="1928"/>
            <w:tcMar>
              <w:top w:w="50" w:type="dxa"/>
              <w:left w:w="80" w:type="dxa"/>
              <w:bottom w:w="50" w:type="dxa"/>
              <w:right w:w="80" w:type="dxa"/>
            </w:tcMar>
          </w:tcPr>
          <w:p>
            <w:pPr>
              <w:spacing w:after="0"/>
              <w:jc w:val="right"/>
            </w:pPr>
            <w:r>
              <w:rPr>
                <w:b w:val="0"/>
                <w:i w:val="0"/>
                <w:sz w:val="18"/>
              </w:rPr>
              <w:t>580</w:t>
            </w:r>
          </w:p>
        </w:tc>
        <w:tc>
          <w:tcPr>
            <w:tcW w:type="dxa" w:w="1134"/>
            <w:tcMar>
              <w:top w:w="50" w:type="dxa"/>
              <w:left w:w="80" w:type="dxa"/>
              <w:bottom w:w="50" w:type="dxa"/>
              <w:right w:w="80" w:type="dxa"/>
            </w:tcMar>
          </w:tcPr>
          <w:p>
            <w:pPr>
              <w:spacing w:after="0"/>
              <w:jc w:val="right"/>
            </w:pPr>
            <w:r>
              <w:rPr>
                <w:b w:val="0"/>
                <w:i w:val="0"/>
                <w:sz w:val="18"/>
              </w:rPr>
              <w:t>2.8%</w:t>
            </w:r>
          </w:p>
        </w:tc>
        <w:tc>
          <w:tcPr>
            <w:tcW w:type="dxa" w:w="2041"/>
            <w:tcMar>
              <w:top w:w="50" w:type="dxa"/>
              <w:left w:w="80" w:type="dxa"/>
              <w:bottom w:w="50" w:type="dxa"/>
              <w:right w:w="80" w:type="dxa"/>
            </w:tcMar>
          </w:tcPr>
          <w:p>
            <w:pPr>
              <w:spacing w:after="0"/>
              <w:jc w:val="right"/>
            </w:pPr>
            <w:r>
              <w:rPr>
                <w:b w:val="0"/>
                <w:i w:val="0"/>
                <w:sz w:val="18"/>
              </w:rPr>
              <w:t>23.4% to 23.4%</w:t>
            </w:r>
          </w:p>
        </w:tc>
      </w:tr>
      <w:tr>
        <w:trPr>
          <w:cantSplit w:val="true"/>
        </w:trPr>
        <w:tc>
          <w:tcPr>
            <w:tcW w:type="dxa" w:w="1587"/>
            <w:tcMar>
              <w:top w:w="50" w:type="dxa"/>
              <w:left w:w="80" w:type="dxa"/>
              <w:bottom w:w="50" w:type="dxa"/>
              <w:right w:w="80" w:type="dxa"/>
            </w:tcMar>
            <w:shd w:val="clear" w:color="auto" w:fill="F2F6FB"/>
          </w:tcPr>
          <w:p>
            <w:pPr>
              <w:spacing w:after="0"/>
            </w:pPr>
            <w:r>
              <w:rPr>
                <w:b w:val="0"/>
                <w:i w:val="0"/>
                <w:sz w:val="18"/>
              </w:rPr>
              <w:t>East</w:t>
            </w:r>
          </w:p>
        </w:tc>
        <w:tc>
          <w:tcPr>
            <w:tcW w:type="dxa" w:w="1247"/>
            <w:tcMar>
              <w:top w:w="50" w:type="dxa"/>
              <w:left w:w="80" w:type="dxa"/>
              <w:bottom w:w="50" w:type="dxa"/>
              <w:right w:w="80" w:type="dxa"/>
            </w:tcMar>
            <w:shd w:val="clear" w:color="auto" w:fill="F2F6FB"/>
          </w:tcPr>
          <w:p>
            <w:pPr>
              <w:spacing w:after="0"/>
              <w:jc w:val="right"/>
            </w:pPr>
            <w:r>
              <w:rPr>
                <w:b w:val="0"/>
                <w:i w:val="0"/>
                <w:sz w:val="18"/>
              </w:rPr>
              <w:t>1,560</w:t>
            </w:r>
          </w:p>
        </w:tc>
        <w:tc>
          <w:tcPr>
            <w:tcW w:type="dxa" w:w="1587"/>
            <w:tcMar>
              <w:top w:w="50" w:type="dxa"/>
              <w:left w:w="80" w:type="dxa"/>
              <w:bottom w:w="50" w:type="dxa"/>
              <w:right w:w="80" w:type="dxa"/>
            </w:tcMar>
            <w:shd w:val="clear" w:color="auto" w:fill="F2F6FB"/>
          </w:tcPr>
          <w:p>
            <w:pPr>
              <w:spacing w:after="0"/>
              <w:jc w:val="right"/>
            </w:pPr>
            <w:r>
              <w:rPr>
                <w:b w:val="0"/>
                <w:i w:val="0"/>
                <w:sz w:val="18"/>
              </w:rPr>
              <w:t>838</w:t>
            </w:r>
          </w:p>
        </w:tc>
        <w:tc>
          <w:tcPr>
            <w:tcW w:type="dxa" w:w="1928"/>
            <w:tcMar>
              <w:top w:w="50" w:type="dxa"/>
              <w:left w:w="80" w:type="dxa"/>
              <w:bottom w:w="50" w:type="dxa"/>
              <w:right w:w="80" w:type="dxa"/>
            </w:tcMar>
            <w:shd w:val="clear" w:color="auto" w:fill="F2F6FB"/>
          </w:tcPr>
          <w:p>
            <w:pPr>
              <w:spacing w:after="0"/>
              <w:jc w:val="right"/>
            </w:pPr>
            <w:r>
              <w:rPr>
                <w:b w:val="0"/>
                <w:i w:val="0"/>
                <w:sz w:val="18"/>
              </w:rPr>
              <w:t>828</w:t>
            </w:r>
          </w:p>
        </w:tc>
        <w:tc>
          <w:tcPr>
            <w:tcW w:type="dxa" w:w="1134"/>
            <w:tcMar>
              <w:top w:w="50" w:type="dxa"/>
              <w:left w:w="80" w:type="dxa"/>
              <w:bottom w:w="50" w:type="dxa"/>
              <w:right w:w="80" w:type="dxa"/>
            </w:tcMar>
            <w:shd w:val="clear" w:color="auto" w:fill="F2F6FB"/>
          </w:tcPr>
          <w:p>
            <w:pPr>
              <w:spacing w:after="0"/>
              <w:jc w:val="right"/>
            </w:pPr>
            <w:r>
              <w:rPr>
                <w:b w:val="0"/>
                <w:i w:val="0"/>
                <w:sz w:val="18"/>
              </w:rPr>
              <w:t>1.2%</w:t>
            </w:r>
          </w:p>
        </w:tc>
        <w:tc>
          <w:tcPr>
            <w:tcW w:type="dxa" w:w="2041"/>
            <w:tcMar>
              <w:top w:w="50" w:type="dxa"/>
              <w:left w:w="80" w:type="dxa"/>
              <w:bottom w:w="50" w:type="dxa"/>
              <w:right w:w="80" w:type="dxa"/>
            </w:tcMar>
            <w:shd w:val="clear" w:color="auto" w:fill="F2F6FB"/>
          </w:tcPr>
          <w:p>
            <w:pPr>
              <w:spacing w:after="0"/>
              <w:jc w:val="right"/>
            </w:pPr>
            <w:r>
              <w:rPr>
                <w:b w:val="0"/>
                <w:i w:val="0"/>
                <w:sz w:val="18"/>
              </w:rPr>
              <w:t>26.2% to 26.2%</w:t>
            </w:r>
          </w:p>
        </w:tc>
      </w:tr>
      <w:tr>
        <w:trPr>
          <w:cantSplit w:val="true"/>
        </w:trPr>
        <w:tc>
          <w:tcPr>
            <w:tcW w:type="dxa" w:w="1587"/>
            <w:tcMar>
              <w:top w:w="50" w:type="dxa"/>
              <w:left w:w="80" w:type="dxa"/>
              <w:bottom w:w="50" w:type="dxa"/>
              <w:right w:w="80" w:type="dxa"/>
            </w:tcMar>
          </w:tcPr>
          <w:p>
            <w:pPr>
              <w:spacing w:after="0"/>
            </w:pPr>
            <w:r>
              <w:rPr>
                <w:b w:val="0"/>
                <w:i w:val="0"/>
                <w:sz w:val="18"/>
              </w:rPr>
              <w:t>North</w:t>
            </w:r>
          </w:p>
        </w:tc>
        <w:tc>
          <w:tcPr>
            <w:tcW w:type="dxa" w:w="1247"/>
            <w:tcMar>
              <w:top w:w="50" w:type="dxa"/>
              <w:left w:w="80" w:type="dxa"/>
              <w:bottom w:w="50" w:type="dxa"/>
              <w:right w:w="80" w:type="dxa"/>
            </w:tcMar>
          </w:tcPr>
          <w:p>
            <w:pPr>
              <w:spacing w:after="0"/>
              <w:jc w:val="right"/>
            </w:pPr>
            <w:r>
              <w:rPr>
                <w:b w:val="0"/>
                <w:i w:val="0"/>
                <w:sz w:val="18"/>
              </w:rPr>
              <w:t>2,629</w:t>
            </w:r>
          </w:p>
        </w:tc>
        <w:tc>
          <w:tcPr>
            <w:tcW w:type="dxa" w:w="1587"/>
            <w:tcMar>
              <w:top w:w="50" w:type="dxa"/>
              <w:left w:w="80" w:type="dxa"/>
              <w:bottom w:w="50" w:type="dxa"/>
              <w:right w:w="80" w:type="dxa"/>
            </w:tcMar>
          </w:tcPr>
          <w:p>
            <w:pPr>
              <w:spacing w:after="0"/>
              <w:jc w:val="right"/>
            </w:pPr>
            <w:r>
              <w:rPr>
                <w:b w:val="0"/>
                <w:i w:val="0"/>
                <w:sz w:val="18"/>
              </w:rPr>
              <w:t>662</w:t>
            </w:r>
          </w:p>
        </w:tc>
        <w:tc>
          <w:tcPr>
            <w:tcW w:type="dxa" w:w="1928"/>
            <w:tcMar>
              <w:top w:w="50" w:type="dxa"/>
              <w:left w:w="80" w:type="dxa"/>
              <w:bottom w:w="50" w:type="dxa"/>
              <w:right w:w="80" w:type="dxa"/>
            </w:tcMar>
          </w:tcPr>
          <w:p>
            <w:pPr>
              <w:spacing w:after="0"/>
              <w:jc w:val="right"/>
            </w:pPr>
            <w:r>
              <w:rPr>
                <w:b w:val="0"/>
                <w:i w:val="0"/>
                <w:sz w:val="18"/>
              </w:rPr>
              <w:t>642</w:t>
            </w:r>
          </w:p>
        </w:tc>
        <w:tc>
          <w:tcPr>
            <w:tcW w:type="dxa" w:w="1134"/>
            <w:tcMar>
              <w:top w:w="50" w:type="dxa"/>
              <w:left w:w="80" w:type="dxa"/>
              <w:bottom w:w="50" w:type="dxa"/>
              <w:right w:w="80" w:type="dxa"/>
            </w:tcMar>
          </w:tcPr>
          <w:p>
            <w:pPr>
              <w:spacing w:after="0"/>
              <w:jc w:val="right"/>
            </w:pPr>
            <w:r>
              <w:rPr>
                <w:b w:val="0"/>
                <w:i w:val="0"/>
                <w:sz w:val="18"/>
              </w:rPr>
              <w:t>3.0%</w:t>
            </w:r>
          </w:p>
        </w:tc>
        <w:tc>
          <w:tcPr>
            <w:tcW w:type="dxa" w:w="2041"/>
            <w:tcMar>
              <w:top w:w="50" w:type="dxa"/>
              <w:left w:w="80" w:type="dxa"/>
              <w:bottom w:w="50" w:type="dxa"/>
              <w:right w:w="80" w:type="dxa"/>
            </w:tcMar>
          </w:tcPr>
          <w:p>
            <w:pPr>
              <w:spacing w:after="0"/>
              <w:jc w:val="right"/>
            </w:pPr>
            <w:r>
              <w:rPr>
                <w:b w:val="0"/>
                <w:i w:val="0"/>
                <w:sz w:val="18"/>
              </w:rPr>
              <w:t>26.6% to 26.6%</w:t>
            </w:r>
          </w:p>
        </w:tc>
      </w:tr>
      <w:tr>
        <w:trPr>
          <w:cantSplit w:val="true"/>
        </w:trPr>
        <w:tc>
          <w:tcPr>
            <w:tcW w:type="dxa" w:w="1587"/>
            <w:tcMar>
              <w:top w:w="50" w:type="dxa"/>
              <w:left w:w="80" w:type="dxa"/>
              <w:bottom w:w="50" w:type="dxa"/>
              <w:right w:w="80" w:type="dxa"/>
            </w:tcMar>
            <w:shd w:val="clear" w:color="auto" w:fill="F2F6FB"/>
          </w:tcPr>
          <w:p>
            <w:pPr>
              <w:spacing w:after="0"/>
            </w:pPr>
            <w:r>
              <w:rPr>
                <w:b w:val="0"/>
                <w:i w:val="0"/>
                <w:sz w:val="18"/>
              </w:rPr>
              <w:t>North-East</w:t>
            </w:r>
          </w:p>
        </w:tc>
        <w:tc>
          <w:tcPr>
            <w:tcW w:type="dxa" w:w="1247"/>
            <w:tcMar>
              <w:top w:w="50" w:type="dxa"/>
              <w:left w:w="80" w:type="dxa"/>
              <w:bottom w:w="50" w:type="dxa"/>
              <w:right w:w="80" w:type="dxa"/>
            </w:tcMar>
            <w:shd w:val="clear" w:color="auto" w:fill="F2F6FB"/>
          </w:tcPr>
          <w:p>
            <w:pPr>
              <w:spacing w:after="0"/>
              <w:jc w:val="right"/>
            </w:pPr>
            <w:r>
              <w:rPr>
                <w:b w:val="0"/>
                <w:i w:val="0"/>
                <w:sz w:val="18"/>
              </w:rPr>
              <w:t>1,380</w:t>
            </w:r>
          </w:p>
        </w:tc>
        <w:tc>
          <w:tcPr>
            <w:tcW w:type="dxa" w:w="1587"/>
            <w:tcMar>
              <w:top w:w="50" w:type="dxa"/>
              <w:left w:w="80" w:type="dxa"/>
              <w:bottom w:w="50" w:type="dxa"/>
              <w:right w:w="80" w:type="dxa"/>
            </w:tcMar>
            <w:shd w:val="clear" w:color="auto" w:fill="F2F6FB"/>
          </w:tcPr>
          <w:p>
            <w:pPr>
              <w:spacing w:after="0"/>
              <w:jc w:val="right"/>
            </w:pPr>
            <w:r>
              <w:rPr>
                <w:b w:val="0"/>
                <w:i w:val="0"/>
                <w:sz w:val="18"/>
              </w:rPr>
              <w:t>1170</w:t>
            </w:r>
          </w:p>
        </w:tc>
        <w:tc>
          <w:tcPr>
            <w:tcW w:type="dxa" w:w="1928"/>
            <w:tcMar>
              <w:top w:w="50" w:type="dxa"/>
              <w:left w:w="80" w:type="dxa"/>
              <w:bottom w:w="50" w:type="dxa"/>
              <w:right w:w="80" w:type="dxa"/>
            </w:tcMar>
            <w:shd w:val="clear" w:color="auto" w:fill="F2F6FB"/>
          </w:tcPr>
          <w:p>
            <w:pPr>
              <w:spacing w:after="0"/>
              <w:jc w:val="right"/>
            </w:pPr>
            <w:r>
              <w:rPr>
                <w:b w:val="0"/>
                <w:i w:val="0"/>
                <w:sz w:val="18"/>
              </w:rPr>
              <w:t>1122</w:t>
            </w:r>
          </w:p>
        </w:tc>
        <w:tc>
          <w:tcPr>
            <w:tcW w:type="dxa" w:w="1134"/>
            <w:tcMar>
              <w:top w:w="50" w:type="dxa"/>
              <w:left w:w="80" w:type="dxa"/>
              <w:bottom w:w="50" w:type="dxa"/>
              <w:right w:w="80" w:type="dxa"/>
            </w:tcMar>
            <w:shd w:val="clear" w:color="auto" w:fill="F2F6FB"/>
          </w:tcPr>
          <w:p>
            <w:pPr>
              <w:spacing w:after="0"/>
              <w:jc w:val="right"/>
            </w:pPr>
            <w:r>
              <w:rPr>
                <w:b w:val="0"/>
                <w:i w:val="0"/>
                <w:sz w:val="18"/>
              </w:rPr>
              <w:t>4.1%</w:t>
            </w:r>
          </w:p>
        </w:tc>
        <w:tc>
          <w:tcPr>
            <w:tcW w:type="dxa" w:w="2041"/>
            <w:tcMar>
              <w:top w:w="50" w:type="dxa"/>
              <w:left w:w="80" w:type="dxa"/>
              <w:bottom w:w="50" w:type="dxa"/>
              <w:right w:w="80" w:type="dxa"/>
            </w:tcMar>
            <w:shd w:val="clear" w:color="auto" w:fill="F2F6FB"/>
          </w:tcPr>
          <w:p>
            <w:pPr>
              <w:spacing w:after="0"/>
              <w:jc w:val="right"/>
            </w:pPr>
            <w:r>
              <w:rPr>
                <w:b w:val="0"/>
                <w:i w:val="0"/>
                <w:sz w:val="18"/>
              </w:rPr>
              <w:t>46.6% to 46.3%</w:t>
            </w:r>
          </w:p>
        </w:tc>
      </w:tr>
      <w:tr>
        <w:trPr>
          <w:cantSplit w:val="true"/>
        </w:trPr>
        <w:tc>
          <w:tcPr>
            <w:tcW w:type="dxa" w:w="1587"/>
            <w:tcMar>
              <w:top w:w="50" w:type="dxa"/>
              <w:left w:w="80" w:type="dxa"/>
              <w:bottom w:w="50" w:type="dxa"/>
              <w:right w:w="80" w:type="dxa"/>
            </w:tcMar>
          </w:tcPr>
          <w:p>
            <w:pPr>
              <w:spacing w:after="0"/>
            </w:pPr>
            <w:r>
              <w:rPr>
                <w:b w:val="0"/>
                <w:i w:val="0"/>
                <w:sz w:val="18"/>
              </w:rPr>
              <w:t>South</w:t>
            </w:r>
          </w:p>
        </w:tc>
        <w:tc>
          <w:tcPr>
            <w:tcW w:type="dxa" w:w="1247"/>
            <w:tcMar>
              <w:top w:w="50" w:type="dxa"/>
              <w:left w:w="80" w:type="dxa"/>
              <w:bottom w:w="50" w:type="dxa"/>
              <w:right w:w="80" w:type="dxa"/>
            </w:tcMar>
          </w:tcPr>
          <w:p>
            <w:pPr>
              <w:spacing w:after="0"/>
              <w:jc w:val="right"/>
            </w:pPr>
            <w:r>
              <w:rPr>
                <w:b w:val="0"/>
                <w:i w:val="0"/>
                <w:sz w:val="18"/>
              </w:rPr>
              <w:t>3,324</w:t>
            </w:r>
          </w:p>
        </w:tc>
        <w:tc>
          <w:tcPr>
            <w:tcW w:type="dxa" w:w="1587"/>
            <w:tcMar>
              <w:top w:w="50" w:type="dxa"/>
              <w:left w:w="80" w:type="dxa"/>
              <w:bottom w:w="50" w:type="dxa"/>
              <w:right w:w="80" w:type="dxa"/>
            </w:tcMar>
          </w:tcPr>
          <w:p>
            <w:pPr>
              <w:spacing w:after="0"/>
              <w:jc w:val="right"/>
            </w:pPr>
            <w:r>
              <w:rPr>
                <w:b w:val="0"/>
                <w:i w:val="0"/>
                <w:sz w:val="18"/>
              </w:rPr>
              <w:t>592</w:t>
            </w:r>
          </w:p>
        </w:tc>
        <w:tc>
          <w:tcPr>
            <w:tcW w:type="dxa" w:w="1928"/>
            <w:tcMar>
              <w:top w:w="50" w:type="dxa"/>
              <w:left w:w="80" w:type="dxa"/>
              <w:bottom w:w="50" w:type="dxa"/>
              <w:right w:w="80" w:type="dxa"/>
            </w:tcMar>
          </w:tcPr>
          <w:p>
            <w:pPr>
              <w:spacing w:after="0"/>
              <w:jc w:val="right"/>
            </w:pPr>
            <w:r>
              <w:rPr>
                <w:b w:val="0"/>
                <w:i w:val="0"/>
                <w:sz w:val="18"/>
              </w:rPr>
              <w:t>588</w:t>
            </w:r>
          </w:p>
        </w:tc>
        <w:tc>
          <w:tcPr>
            <w:tcW w:type="dxa" w:w="1134"/>
            <w:tcMar>
              <w:top w:w="50" w:type="dxa"/>
              <w:left w:w="80" w:type="dxa"/>
              <w:bottom w:w="50" w:type="dxa"/>
              <w:right w:w="80" w:type="dxa"/>
            </w:tcMar>
          </w:tcPr>
          <w:p>
            <w:pPr>
              <w:spacing w:after="0"/>
              <w:jc w:val="right"/>
            </w:pPr>
            <w:r>
              <w:rPr>
                <w:b w:val="0"/>
                <w:i w:val="0"/>
                <w:sz w:val="18"/>
              </w:rPr>
              <w:t>0.8%</w:t>
            </w:r>
          </w:p>
        </w:tc>
        <w:tc>
          <w:tcPr>
            <w:tcW w:type="dxa" w:w="2041"/>
            <w:tcMar>
              <w:top w:w="50" w:type="dxa"/>
              <w:left w:w="80" w:type="dxa"/>
              <w:bottom w:w="50" w:type="dxa"/>
              <w:right w:w="80" w:type="dxa"/>
            </w:tcMar>
          </w:tcPr>
          <w:p>
            <w:pPr>
              <w:spacing w:after="0"/>
              <w:jc w:val="right"/>
            </w:pPr>
            <w:r>
              <w:rPr>
                <w:b w:val="0"/>
                <w:i w:val="0"/>
                <w:sz w:val="18"/>
              </w:rPr>
              <w:t>25.8% to 25.8%</w:t>
            </w:r>
          </w:p>
        </w:tc>
      </w:tr>
      <w:tr>
        <w:trPr>
          <w:cantSplit w:val="true"/>
        </w:trPr>
        <w:tc>
          <w:tcPr>
            <w:tcW w:type="dxa" w:w="1587"/>
            <w:tcMar>
              <w:top w:w="50" w:type="dxa"/>
              <w:left w:w="80" w:type="dxa"/>
              <w:bottom w:w="50" w:type="dxa"/>
              <w:right w:w="80" w:type="dxa"/>
            </w:tcMar>
            <w:shd w:val="clear" w:color="auto" w:fill="F2F6FB"/>
          </w:tcPr>
          <w:p>
            <w:pPr>
              <w:spacing w:after="0"/>
            </w:pPr>
            <w:r>
              <w:rPr>
                <w:b w:val="0"/>
                <w:i w:val="0"/>
                <w:sz w:val="18"/>
              </w:rPr>
              <w:t>West</w:t>
            </w:r>
          </w:p>
        </w:tc>
        <w:tc>
          <w:tcPr>
            <w:tcW w:type="dxa" w:w="1247"/>
            <w:tcMar>
              <w:top w:w="50" w:type="dxa"/>
              <w:left w:w="80" w:type="dxa"/>
              <w:bottom w:w="50" w:type="dxa"/>
              <w:right w:w="80" w:type="dxa"/>
            </w:tcMar>
            <w:shd w:val="clear" w:color="auto" w:fill="F2F6FB"/>
          </w:tcPr>
          <w:p>
            <w:pPr>
              <w:spacing w:after="0"/>
              <w:jc w:val="right"/>
            </w:pPr>
            <w:r>
              <w:rPr>
                <w:b w:val="0"/>
                <w:i w:val="0"/>
                <w:sz w:val="18"/>
              </w:rPr>
              <w:t>1,482</w:t>
            </w:r>
          </w:p>
        </w:tc>
        <w:tc>
          <w:tcPr>
            <w:tcW w:type="dxa" w:w="1587"/>
            <w:tcMar>
              <w:top w:w="50" w:type="dxa"/>
              <w:left w:w="80" w:type="dxa"/>
              <w:bottom w:w="50" w:type="dxa"/>
              <w:right w:w="80" w:type="dxa"/>
            </w:tcMar>
            <w:shd w:val="clear" w:color="auto" w:fill="F2F6FB"/>
          </w:tcPr>
          <w:p>
            <w:pPr>
              <w:spacing w:after="0"/>
              <w:jc w:val="right"/>
            </w:pPr>
            <w:r>
              <w:rPr>
                <w:b w:val="0"/>
                <w:i w:val="0"/>
                <w:sz w:val="18"/>
              </w:rPr>
              <w:t>539</w:t>
            </w:r>
          </w:p>
        </w:tc>
        <w:tc>
          <w:tcPr>
            <w:tcW w:type="dxa" w:w="1928"/>
            <w:tcMar>
              <w:top w:w="50" w:type="dxa"/>
              <w:left w:w="80" w:type="dxa"/>
              <w:bottom w:w="50" w:type="dxa"/>
              <w:right w:w="80" w:type="dxa"/>
            </w:tcMar>
            <w:shd w:val="clear" w:color="auto" w:fill="F2F6FB"/>
          </w:tcPr>
          <w:p>
            <w:pPr>
              <w:spacing w:after="0"/>
              <w:jc w:val="right"/>
            </w:pPr>
            <w:r>
              <w:rPr>
                <w:b w:val="0"/>
                <w:i w:val="0"/>
                <w:sz w:val="18"/>
              </w:rPr>
              <w:t>527</w:t>
            </w:r>
          </w:p>
        </w:tc>
        <w:tc>
          <w:tcPr>
            <w:tcW w:type="dxa" w:w="1134"/>
            <w:tcMar>
              <w:top w:w="50" w:type="dxa"/>
              <w:left w:w="80" w:type="dxa"/>
              <w:bottom w:w="50" w:type="dxa"/>
              <w:right w:w="80" w:type="dxa"/>
            </w:tcMar>
            <w:shd w:val="clear" w:color="auto" w:fill="F2F6FB"/>
          </w:tcPr>
          <w:p>
            <w:pPr>
              <w:spacing w:after="0"/>
              <w:jc w:val="right"/>
            </w:pPr>
            <w:r>
              <w:rPr>
                <w:b w:val="0"/>
                <w:i w:val="0"/>
                <w:sz w:val="18"/>
              </w:rPr>
              <w:t>2.3%</w:t>
            </w:r>
          </w:p>
        </w:tc>
        <w:tc>
          <w:tcPr>
            <w:tcW w:type="dxa" w:w="2041"/>
            <w:tcMar>
              <w:top w:w="50" w:type="dxa"/>
              <w:left w:w="80" w:type="dxa"/>
              <w:bottom w:w="50" w:type="dxa"/>
              <w:right w:w="80" w:type="dxa"/>
            </w:tcMar>
            <w:shd w:val="clear" w:color="auto" w:fill="F2F6FB"/>
          </w:tcPr>
          <w:p>
            <w:pPr>
              <w:spacing w:after="0"/>
              <w:jc w:val="right"/>
            </w:pPr>
            <w:r>
              <w:rPr>
                <w:b w:val="0"/>
                <w:i w:val="0"/>
                <w:sz w:val="18"/>
              </w:rPr>
              <w:t>34.1% to 34.1%</w:t>
            </w:r>
          </w:p>
        </w:tc>
      </w:tr>
    </w:tbl>
    <w:p>
      <w:pPr>
        <w:spacing w:after="40"/>
      </w:pPr>
    </w:p>
    <w:p>
      <w:r>
        <w:rPr>
          <w:b w:val="0"/>
          <w:i w:val="0"/>
        </w:rPr>
        <w:t>Savings are modest (about 1% to 4%) because carriers are already fairly balanced and the bounds limit change; the North-East gains most because its cost is highest. Carrier mix is therefore a secondary lever; the allocation of warehouses to hubs is the primary one.</w:t>
      </w:r>
    </w:p>
    <w:p>
      <w:pPr>
        <w:pStyle w:val="Heading2"/>
      </w:pPr>
      <w:r>
        <w:t>5.3 Data-driven delivery promises</w:t>
      </w:r>
    </w:p>
    <w:p>
      <w:r>
        <w:rPr>
          <w:b w:val="0"/>
          <w:i w:val="0"/>
        </w:rPr>
        <w:t>Today the promised date is a distance-and-mode rule. Instead, quantile gradient-boosting models predict the q-th percentile of delivery time for each shipment and the promise is that value rounded up. Raising q buys reliability with longer promises; the question is how efficiently.</w:t>
      </w:r>
    </w:p>
    <w:p>
      <w:pPr>
        <w:keepNext/>
        <w:spacing w:after="40"/>
        <w:jc w:val="center"/>
      </w:pPr>
      <w:r>
        <w:drawing>
          <wp:inline xmlns:a="http://schemas.openxmlformats.org/drawingml/2006/main" xmlns:pic="http://schemas.openxmlformats.org/drawingml/2006/picture">
            <wp:extent cx="4937760" cy="2831551"/>
            <wp:docPr id="6" name="Picture 6"/>
            <wp:cNvGraphicFramePr>
              <a:graphicFrameLocks noChangeAspect="1"/>
            </wp:cNvGraphicFramePr>
            <a:graphic>
              <a:graphicData uri="http://schemas.openxmlformats.org/drawingml/2006/picture">
                <pic:pic>
                  <pic:nvPicPr>
                    <pic:cNvPr id="0" name="w4_promise_frontier.png"/>
                    <pic:cNvPicPr/>
                  </pic:nvPicPr>
                  <pic:blipFill>
                    <a:blip r:embed="rId16"/>
                    <a:stretch>
                      <a:fillRect/>
                    </a:stretch>
                  </pic:blipFill>
                  <pic:spPr>
                    <a:xfrm>
                      <a:off x="0" y="0"/>
                      <a:ext cx="4937760" cy="2831551"/>
                    </a:xfrm>
                    <a:prstGeom prst="rect"/>
                  </pic:spPr>
                </pic:pic>
              </a:graphicData>
            </a:graphic>
          </wp:inline>
        </w:drawing>
      </w:r>
    </w:p>
    <w:p>
      <w:pPr>
        <w:pStyle w:val="Cap"/>
      </w:pPr>
      <w:r>
        <w:rPr>
          <w:b/>
          <w:i w:val="0"/>
        </w:rPr>
        <w:t xml:space="preserve">Figure 6. </w:t>
      </w:r>
      <w:r>
        <w:t>On-time rate versus average promised days: per-shipment quantile promise versus a flat buffer on the current rule.</w:t>
      </w:r>
    </w:p>
    <w:p>
      <w:pPr>
        <w:keepNext/>
        <w:spacing w:after="60"/>
      </w:pPr>
      <w:r>
        <w:rPr>
          <w:b/>
          <w:color w:val="1F3864"/>
          <w:sz w:val="18"/>
        </w:rPr>
        <w:t xml:space="preserve">Table 7. </w:t>
      </w:r>
      <w:r>
        <w:rPr>
          <w:color w:val="52514E"/>
          <w:sz w:val="18"/>
        </w:rPr>
        <w:t>Promise policies on the hold-out set.</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3137"/>
        <w:gridCol w:w="3137"/>
        <w:gridCol w:w="3137"/>
      </w:tblGrid>
      <w:tr>
        <w:trPr>
          <w:tblHeader w:val="true"/>
        </w:trPr>
        <w:tc>
          <w:tcPr>
            <w:tcW w:type="dxa" w:w="2835"/>
            <w:shd w:val="clear" w:color="auto" w:fill="1F3864"/>
            <w:tcMar>
              <w:top w:w="50" w:type="dxa"/>
              <w:left w:w="80" w:type="dxa"/>
              <w:bottom w:w="50" w:type="dxa"/>
              <w:right w:w="80" w:type="dxa"/>
            </w:tcMar>
          </w:tcPr>
          <w:p>
            <w:pPr>
              <w:spacing w:after="0"/>
            </w:pPr>
            <w:r>
              <w:rPr>
                <w:b/>
                <w:color w:val="FFFFFF"/>
                <w:sz w:val="18"/>
              </w:rPr>
              <w:t>Policy</w:t>
            </w:r>
          </w:p>
        </w:tc>
        <w:tc>
          <w:tcPr>
            <w:tcW w:type="dxa" w:w="2268"/>
            <w:shd w:val="clear" w:color="auto" w:fill="1F3864"/>
            <w:tcMar>
              <w:top w:w="50" w:type="dxa"/>
              <w:left w:w="80" w:type="dxa"/>
              <w:bottom w:w="50" w:type="dxa"/>
              <w:right w:w="80" w:type="dxa"/>
            </w:tcMar>
          </w:tcPr>
          <w:p>
            <w:pPr>
              <w:spacing w:after="0"/>
              <w:jc w:val="right"/>
            </w:pPr>
            <w:r>
              <w:rPr>
                <w:b/>
                <w:color w:val="FFFFFF"/>
                <w:sz w:val="18"/>
              </w:rPr>
              <w:t>Avg promise (days)</w:t>
            </w:r>
          </w:p>
        </w:tc>
        <w:tc>
          <w:tcPr>
            <w:tcW w:type="dxa" w:w="1701"/>
            <w:shd w:val="clear" w:color="auto" w:fill="1F3864"/>
            <w:tcMar>
              <w:top w:w="50" w:type="dxa"/>
              <w:left w:w="80" w:type="dxa"/>
              <w:bottom w:w="50" w:type="dxa"/>
              <w:right w:w="80" w:type="dxa"/>
            </w:tcMar>
          </w:tcPr>
          <w:p>
            <w:pPr>
              <w:spacing w:after="0"/>
              <w:jc w:val="right"/>
            </w:pPr>
            <w:r>
              <w:rPr>
                <w:b/>
                <w:color w:val="FFFFFF"/>
                <w:sz w:val="18"/>
              </w:rPr>
              <w:t>On-time</w:t>
            </w:r>
          </w:p>
        </w:tc>
      </w:tr>
      <w:tr>
        <w:trPr>
          <w:cantSplit w:val="true"/>
        </w:trPr>
        <w:tc>
          <w:tcPr>
            <w:tcW w:type="dxa" w:w="2835"/>
            <w:tcMar>
              <w:top w:w="50" w:type="dxa"/>
              <w:left w:w="80" w:type="dxa"/>
              <w:bottom w:w="50" w:type="dxa"/>
              <w:right w:w="80" w:type="dxa"/>
            </w:tcMar>
          </w:tcPr>
          <w:p>
            <w:pPr>
              <w:spacing w:after="0"/>
            </w:pPr>
            <w:r>
              <w:rPr>
                <w:b w:val="0"/>
                <w:i w:val="0"/>
                <w:sz w:val="18"/>
              </w:rPr>
              <w:t>Current rule</w:t>
            </w:r>
          </w:p>
        </w:tc>
        <w:tc>
          <w:tcPr>
            <w:tcW w:type="dxa" w:w="2268"/>
            <w:tcMar>
              <w:top w:w="50" w:type="dxa"/>
              <w:left w:w="80" w:type="dxa"/>
              <w:bottom w:w="50" w:type="dxa"/>
              <w:right w:w="80" w:type="dxa"/>
            </w:tcMar>
          </w:tcPr>
          <w:p>
            <w:pPr>
              <w:spacing w:after="0"/>
              <w:jc w:val="right"/>
            </w:pPr>
            <w:r>
              <w:rPr>
                <w:b w:val="0"/>
                <w:i w:val="0"/>
                <w:sz w:val="18"/>
              </w:rPr>
              <w:t>3.86</w:t>
            </w:r>
          </w:p>
        </w:tc>
        <w:tc>
          <w:tcPr>
            <w:tcW w:type="dxa" w:w="1701"/>
            <w:tcMar>
              <w:top w:w="50" w:type="dxa"/>
              <w:left w:w="80" w:type="dxa"/>
              <w:bottom w:w="50" w:type="dxa"/>
              <w:right w:w="80" w:type="dxa"/>
            </w:tcMar>
          </w:tcPr>
          <w:p>
            <w:pPr>
              <w:spacing w:after="0"/>
              <w:jc w:val="right"/>
            </w:pPr>
            <w:r>
              <w:rPr>
                <w:b w:val="0"/>
                <w:i w:val="0"/>
                <w:sz w:val="18"/>
              </w:rPr>
              <w:t>69.9%</w:t>
            </w:r>
          </w:p>
        </w:tc>
      </w:tr>
      <w:tr>
        <w:trPr>
          <w:cantSplit w:val="true"/>
        </w:trPr>
        <w:tc>
          <w:tcPr>
            <w:tcW w:type="dxa" w:w="2835"/>
            <w:tcMar>
              <w:top w:w="50" w:type="dxa"/>
              <w:left w:w="80" w:type="dxa"/>
              <w:bottom w:w="50" w:type="dxa"/>
              <w:right w:w="80" w:type="dxa"/>
            </w:tcMar>
            <w:shd w:val="clear" w:color="auto" w:fill="F2F6FB"/>
          </w:tcPr>
          <w:p>
            <w:pPr>
              <w:spacing w:after="0"/>
            </w:pPr>
            <w:r>
              <w:rPr>
                <w:b w:val="0"/>
                <w:i w:val="0"/>
                <w:sz w:val="18"/>
              </w:rPr>
              <w:t>Flat +1 day</w:t>
            </w:r>
          </w:p>
        </w:tc>
        <w:tc>
          <w:tcPr>
            <w:tcW w:type="dxa" w:w="2268"/>
            <w:tcMar>
              <w:top w:w="50" w:type="dxa"/>
              <w:left w:w="80" w:type="dxa"/>
              <w:bottom w:w="50" w:type="dxa"/>
              <w:right w:w="80" w:type="dxa"/>
            </w:tcMar>
            <w:shd w:val="clear" w:color="auto" w:fill="F2F6FB"/>
          </w:tcPr>
          <w:p>
            <w:pPr>
              <w:spacing w:after="0"/>
              <w:jc w:val="right"/>
            </w:pPr>
            <w:r>
              <w:rPr>
                <w:b w:val="0"/>
                <w:i w:val="0"/>
                <w:sz w:val="18"/>
              </w:rPr>
              <w:t>4.86</w:t>
            </w:r>
          </w:p>
        </w:tc>
        <w:tc>
          <w:tcPr>
            <w:tcW w:type="dxa" w:w="1701"/>
            <w:tcMar>
              <w:top w:w="50" w:type="dxa"/>
              <w:left w:w="80" w:type="dxa"/>
              <w:bottom w:w="50" w:type="dxa"/>
              <w:right w:w="80" w:type="dxa"/>
            </w:tcMar>
            <w:shd w:val="clear" w:color="auto" w:fill="F2F6FB"/>
          </w:tcPr>
          <w:p>
            <w:pPr>
              <w:spacing w:after="0"/>
              <w:jc w:val="right"/>
            </w:pPr>
            <w:r>
              <w:rPr>
                <w:b w:val="0"/>
                <w:i w:val="0"/>
                <w:sz w:val="18"/>
              </w:rPr>
              <w:t>95.4%</w:t>
            </w:r>
          </w:p>
        </w:tc>
      </w:tr>
      <w:tr>
        <w:trPr>
          <w:cantSplit w:val="true"/>
        </w:trPr>
        <w:tc>
          <w:tcPr>
            <w:tcW w:type="dxa" w:w="2835"/>
            <w:tcMar>
              <w:top w:w="50" w:type="dxa"/>
              <w:left w:w="80" w:type="dxa"/>
              <w:bottom w:w="50" w:type="dxa"/>
              <w:right w:w="80" w:type="dxa"/>
            </w:tcMar>
          </w:tcPr>
          <w:p>
            <w:pPr>
              <w:spacing w:after="0"/>
            </w:pPr>
            <w:r>
              <w:rPr>
                <w:b w:val="0"/>
                <w:i w:val="0"/>
                <w:sz w:val="18"/>
              </w:rPr>
              <w:t>Flat +2 day</w:t>
            </w:r>
          </w:p>
        </w:tc>
        <w:tc>
          <w:tcPr>
            <w:tcW w:type="dxa" w:w="2268"/>
            <w:tcMar>
              <w:top w:w="50" w:type="dxa"/>
              <w:left w:w="80" w:type="dxa"/>
              <w:bottom w:w="50" w:type="dxa"/>
              <w:right w:w="80" w:type="dxa"/>
            </w:tcMar>
          </w:tcPr>
          <w:p>
            <w:pPr>
              <w:spacing w:after="0"/>
              <w:jc w:val="right"/>
            </w:pPr>
            <w:r>
              <w:rPr>
                <w:b w:val="0"/>
                <w:i w:val="0"/>
                <w:sz w:val="18"/>
              </w:rPr>
              <w:t>5.86</w:t>
            </w:r>
          </w:p>
        </w:tc>
        <w:tc>
          <w:tcPr>
            <w:tcW w:type="dxa" w:w="1701"/>
            <w:tcMar>
              <w:top w:w="50" w:type="dxa"/>
              <w:left w:w="80" w:type="dxa"/>
              <w:bottom w:w="50" w:type="dxa"/>
              <w:right w:w="80" w:type="dxa"/>
            </w:tcMar>
          </w:tcPr>
          <w:p>
            <w:pPr>
              <w:spacing w:after="0"/>
              <w:jc w:val="right"/>
            </w:pPr>
            <w:r>
              <w:rPr>
                <w:b w:val="0"/>
                <w:i w:val="0"/>
                <w:sz w:val="18"/>
              </w:rPr>
              <w:t>99.3%</w:t>
            </w:r>
          </w:p>
        </w:tc>
      </w:tr>
      <w:tr>
        <w:trPr>
          <w:cantSplit w:val="true"/>
        </w:trPr>
        <w:tc>
          <w:tcPr>
            <w:tcW w:type="dxa" w:w="2835"/>
            <w:tcMar>
              <w:top w:w="50" w:type="dxa"/>
              <w:left w:w="80" w:type="dxa"/>
              <w:bottom w:w="50" w:type="dxa"/>
              <w:right w:w="80" w:type="dxa"/>
            </w:tcMar>
            <w:shd w:val="clear" w:color="auto" w:fill="F2F6FB"/>
          </w:tcPr>
          <w:p>
            <w:pPr>
              <w:spacing w:after="0"/>
            </w:pPr>
            <w:r>
              <w:rPr>
                <w:b w:val="0"/>
                <w:i w:val="0"/>
                <w:sz w:val="18"/>
              </w:rPr>
              <w:t>Quantile q50</w:t>
            </w:r>
          </w:p>
        </w:tc>
        <w:tc>
          <w:tcPr>
            <w:tcW w:type="dxa" w:w="2268"/>
            <w:tcMar>
              <w:top w:w="50" w:type="dxa"/>
              <w:left w:w="80" w:type="dxa"/>
              <w:bottom w:w="50" w:type="dxa"/>
              <w:right w:w="80" w:type="dxa"/>
            </w:tcMar>
            <w:shd w:val="clear" w:color="auto" w:fill="F2F6FB"/>
          </w:tcPr>
          <w:p>
            <w:pPr>
              <w:spacing w:after="0"/>
              <w:jc w:val="right"/>
            </w:pPr>
            <w:r>
              <w:rPr>
                <w:b w:val="0"/>
                <w:i w:val="0"/>
                <w:sz w:val="18"/>
              </w:rPr>
              <w:t>4.08</w:t>
            </w:r>
          </w:p>
        </w:tc>
        <w:tc>
          <w:tcPr>
            <w:tcW w:type="dxa" w:w="1701"/>
            <w:tcMar>
              <w:top w:w="50" w:type="dxa"/>
              <w:left w:w="80" w:type="dxa"/>
              <w:bottom w:w="50" w:type="dxa"/>
              <w:right w:w="80" w:type="dxa"/>
            </w:tcMar>
            <w:shd w:val="clear" w:color="auto" w:fill="F2F6FB"/>
          </w:tcPr>
          <w:p>
            <w:pPr>
              <w:spacing w:after="0"/>
              <w:jc w:val="right"/>
            </w:pPr>
            <w:r>
              <w:rPr>
                <w:b w:val="0"/>
                <w:i w:val="0"/>
                <w:sz w:val="18"/>
              </w:rPr>
              <w:t>80.5%</w:t>
            </w:r>
          </w:p>
        </w:tc>
      </w:tr>
      <w:tr>
        <w:trPr>
          <w:cantSplit w:val="true"/>
        </w:trPr>
        <w:tc>
          <w:tcPr>
            <w:tcW w:type="dxa" w:w="2835"/>
            <w:tcMar>
              <w:top w:w="50" w:type="dxa"/>
              <w:left w:w="80" w:type="dxa"/>
              <w:bottom w:w="50" w:type="dxa"/>
              <w:right w:w="80" w:type="dxa"/>
            </w:tcMar>
          </w:tcPr>
          <w:p>
            <w:pPr>
              <w:spacing w:after="0"/>
            </w:pPr>
            <w:r>
              <w:rPr>
                <w:b w:val="0"/>
                <w:i w:val="0"/>
                <w:sz w:val="18"/>
              </w:rPr>
              <w:t>Quantile q70</w:t>
            </w:r>
          </w:p>
        </w:tc>
        <w:tc>
          <w:tcPr>
            <w:tcW w:type="dxa" w:w="2268"/>
            <w:tcMar>
              <w:top w:w="50" w:type="dxa"/>
              <w:left w:w="80" w:type="dxa"/>
              <w:bottom w:w="50" w:type="dxa"/>
              <w:right w:w="80" w:type="dxa"/>
            </w:tcMar>
          </w:tcPr>
          <w:p>
            <w:pPr>
              <w:spacing w:after="0"/>
              <w:jc w:val="right"/>
            </w:pPr>
            <w:r>
              <w:rPr>
                <w:b w:val="0"/>
                <w:i w:val="0"/>
                <w:sz w:val="18"/>
              </w:rPr>
              <w:t>4.31</w:t>
            </w:r>
          </w:p>
        </w:tc>
        <w:tc>
          <w:tcPr>
            <w:tcW w:type="dxa" w:w="1701"/>
            <w:tcMar>
              <w:top w:w="50" w:type="dxa"/>
              <w:left w:w="80" w:type="dxa"/>
              <w:bottom w:w="50" w:type="dxa"/>
              <w:right w:w="80" w:type="dxa"/>
            </w:tcMar>
          </w:tcPr>
          <w:p>
            <w:pPr>
              <w:spacing w:after="0"/>
              <w:jc w:val="right"/>
            </w:pPr>
            <w:r>
              <w:rPr>
                <w:b w:val="0"/>
                <w:i w:val="0"/>
                <w:sz w:val="18"/>
              </w:rPr>
              <w:t>88.0%</w:t>
            </w:r>
          </w:p>
        </w:tc>
      </w:tr>
      <w:tr>
        <w:trPr>
          <w:cantSplit w:val="true"/>
        </w:trPr>
        <w:tc>
          <w:tcPr>
            <w:tcW w:type="dxa" w:w="2835"/>
            <w:tcMar>
              <w:top w:w="50" w:type="dxa"/>
              <w:left w:w="80" w:type="dxa"/>
              <w:bottom w:w="50" w:type="dxa"/>
              <w:right w:w="80" w:type="dxa"/>
            </w:tcMar>
            <w:shd w:val="clear" w:color="auto" w:fill="F2F6FB"/>
          </w:tcPr>
          <w:p>
            <w:pPr>
              <w:spacing w:after="0"/>
            </w:pPr>
            <w:r>
              <w:rPr>
                <w:b w:val="0"/>
                <w:i w:val="0"/>
                <w:sz w:val="18"/>
              </w:rPr>
              <w:t>Quantile q80</w:t>
            </w:r>
          </w:p>
        </w:tc>
        <w:tc>
          <w:tcPr>
            <w:tcW w:type="dxa" w:w="2268"/>
            <w:tcMar>
              <w:top w:w="50" w:type="dxa"/>
              <w:left w:w="80" w:type="dxa"/>
              <w:bottom w:w="50" w:type="dxa"/>
              <w:right w:w="80" w:type="dxa"/>
            </w:tcMar>
            <w:shd w:val="clear" w:color="auto" w:fill="F2F6FB"/>
          </w:tcPr>
          <w:p>
            <w:pPr>
              <w:spacing w:after="0"/>
              <w:jc w:val="right"/>
            </w:pPr>
            <w:r>
              <w:rPr>
                <w:b w:val="0"/>
                <w:i w:val="0"/>
                <w:sz w:val="18"/>
              </w:rPr>
              <w:t>4.50</w:t>
            </w:r>
          </w:p>
        </w:tc>
        <w:tc>
          <w:tcPr>
            <w:tcW w:type="dxa" w:w="1701"/>
            <w:tcMar>
              <w:top w:w="50" w:type="dxa"/>
              <w:left w:w="80" w:type="dxa"/>
              <w:bottom w:w="50" w:type="dxa"/>
              <w:right w:w="80" w:type="dxa"/>
            </w:tcMar>
            <w:shd w:val="clear" w:color="auto" w:fill="F2F6FB"/>
          </w:tcPr>
          <w:p>
            <w:pPr>
              <w:spacing w:after="0"/>
              <w:jc w:val="right"/>
            </w:pPr>
            <w:r>
              <w:rPr>
                <w:b w:val="0"/>
                <w:i w:val="0"/>
                <w:sz w:val="18"/>
              </w:rPr>
              <w:t>91.9%</w:t>
            </w:r>
          </w:p>
        </w:tc>
      </w:tr>
      <w:tr>
        <w:trPr>
          <w:cantSplit w:val="true"/>
        </w:trPr>
        <w:tc>
          <w:tcPr>
            <w:tcW w:type="dxa" w:w="2835"/>
            <w:tcMar>
              <w:top w:w="50" w:type="dxa"/>
              <w:left w:w="80" w:type="dxa"/>
              <w:bottom w:w="50" w:type="dxa"/>
              <w:right w:w="80" w:type="dxa"/>
            </w:tcMar>
          </w:tcPr>
          <w:p>
            <w:pPr>
              <w:spacing w:after="0"/>
            </w:pPr>
            <w:r>
              <w:rPr>
                <w:b w:val="0"/>
                <w:i w:val="0"/>
                <w:sz w:val="18"/>
              </w:rPr>
              <w:t>Quantile q90</w:t>
            </w:r>
          </w:p>
        </w:tc>
        <w:tc>
          <w:tcPr>
            <w:tcW w:type="dxa" w:w="2268"/>
            <w:tcMar>
              <w:top w:w="50" w:type="dxa"/>
              <w:left w:w="80" w:type="dxa"/>
              <w:bottom w:w="50" w:type="dxa"/>
              <w:right w:w="80" w:type="dxa"/>
            </w:tcMar>
          </w:tcPr>
          <w:p>
            <w:pPr>
              <w:spacing w:after="0"/>
              <w:jc w:val="right"/>
            </w:pPr>
            <w:r>
              <w:rPr>
                <w:b w:val="0"/>
                <w:i w:val="0"/>
                <w:sz w:val="18"/>
              </w:rPr>
              <w:t>4.76</w:t>
            </w:r>
          </w:p>
        </w:tc>
        <w:tc>
          <w:tcPr>
            <w:tcW w:type="dxa" w:w="1701"/>
            <w:tcMar>
              <w:top w:w="50" w:type="dxa"/>
              <w:left w:w="80" w:type="dxa"/>
              <w:bottom w:w="50" w:type="dxa"/>
              <w:right w:w="80" w:type="dxa"/>
            </w:tcMar>
          </w:tcPr>
          <w:p>
            <w:pPr>
              <w:spacing w:after="0"/>
              <w:jc w:val="right"/>
            </w:pPr>
            <w:r>
              <w:rPr>
                <w:b w:val="0"/>
                <w:i w:val="0"/>
                <w:sz w:val="18"/>
              </w:rPr>
              <w:t>95.2%</w:t>
            </w:r>
          </w:p>
        </w:tc>
      </w:tr>
    </w:tbl>
    <w:p>
      <w:pPr>
        <w:spacing w:after="40"/>
      </w:pPr>
    </w:p>
    <w:p>
      <w:r>
        <w:rPr>
          <w:b w:val="0"/>
          <w:i w:val="0"/>
        </w:rPr>
        <w:t>At the same average promise length as today (3.86 days) the model gives 69.9% on time, essentially the same as the current rule (69.9%): better predictions do not create reliability for free. The gain appears when targeting a service level. To reach 90% on time, the per-shipment promise needs 4.41 days on average, whereas a flat buffer on the current rule needs 4.65 days, about 0.24 day shorter for the same reliability, because the model gives long, risky lanes more time and short, safe lanes less.</w:t>
      </w:r>
    </w:p>
    <w:p>
      <w:pPr>
        <w:pStyle w:val="Heading1"/>
      </w:pPr>
      <w:r>
        <w:t>6. Final recommendations</w:t>
      </w:r>
    </w:p>
    <w:p>
      <w:pPr>
        <w:keepNext/>
        <w:spacing w:after="60"/>
      </w:pPr>
      <w:r>
        <w:rPr>
          <w:b/>
          <w:color w:val="1F3864"/>
          <w:sz w:val="18"/>
        </w:rPr>
        <w:t xml:space="preserve">Table 8. </w:t>
      </w:r>
      <w:r>
        <w:rPr>
          <w:color w:val="52514E"/>
          <w:sz w:val="18"/>
        </w:rPr>
        <w:t>Prioritised actions.</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353"/>
        <w:gridCol w:w="2353"/>
        <w:gridCol w:w="2353"/>
        <w:gridCol w:w="2353"/>
      </w:tblGrid>
      <w:tr>
        <w:trPr>
          <w:tblHeader w:val="true"/>
        </w:trPr>
        <w:tc>
          <w:tcPr>
            <w:tcW w:type="dxa" w:w="454"/>
            <w:shd w:val="clear" w:color="auto" w:fill="1F3864"/>
            <w:tcMar>
              <w:top w:w="50" w:type="dxa"/>
              <w:left w:w="80" w:type="dxa"/>
              <w:bottom w:w="50" w:type="dxa"/>
              <w:right w:w="80" w:type="dxa"/>
            </w:tcMar>
          </w:tcPr>
          <w:p>
            <w:pPr>
              <w:spacing w:after="0"/>
            </w:pPr>
            <w:r>
              <w:rPr>
                <w:b/>
                <w:color w:val="FFFFFF"/>
                <w:sz w:val="17"/>
              </w:rPr>
              <w:t>#</w:t>
            </w:r>
          </w:p>
        </w:tc>
        <w:tc>
          <w:tcPr>
            <w:tcW w:type="dxa" w:w="3515"/>
            <w:shd w:val="clear" w:color="auto" w:fill="1F3864"/>
            <w:tcMar>
              <w:top w:w="50" w:type="dxa"/>
              <w:left w:w="80" w:type="dxa"/>
              <w:bottom w:w="50" w:type="dxa"/>
              <w:right w:w="80" w:type="dxa"/>
            </w:tcMar>
          </w:tcPr>
          <w:p>
            <w:pPr>
              <w:spacing w:after="0"/>
            </w:pPr>
            <w:r>
              <w:rPr>
                <w:b/>
                <w:color w:val="FFFFFF"/>
                <w:sz w:val="17"/>
              </w:rPr>
              <w:t>Recommendation</w:t>
            </w:r>
          </w:p>
        </w:tc>
        <w:tc>
          <w:tcPr>
            <w:tcW w:type="dxa" w:w="1928"/>
            <w:shd w:val="clear" w:color="auto" w:fill="1F3864"/>
            <w:tcMar>
              <w:top w:w="50" w:type="dxa"/>
              <w:left w:w="80" w:type="dxa"/>
              <w:bottom w:w="50" w:type="dxa"/>
              <w:right w:w="80" w:type="dxa"/>
            </w:tcMar>
          </w:tcPr>
          <w:p>
            <w:pPr>
              <w:spacing w:after="0"/>
            </w:pPr>
            <w:r>
              <w:rPr>
                <w:b/>
                <w:color w:val="FFFFFF"/>
                <w:sz w:val="17"/>
              </w:rPr>
              <w:t>Evidence</w:t>
            </w:r>
          </w:p>
        </w:tc>
        <w:tc>
          <w:tcPr>
            <w:tcW w:type="dxa" w:w="3628"/>
            <w:shd w:val="clear" w:color="auto" w:fill="1F3864"/>
            <w:tcMar>
              <w:top w:w="50" w:type="dxa"/>
              <w:left w:w="80" w:type="dxa"/>
              <w:bottom w:w="50" w:type="dxa"/>
              <w:right w:w="80" w:type="dxa"/>
            </w:tcMar>
          </w:tcPr>
          <w:p>
            <w:pPr>
              <w:spacing w:after="0"/>
            </w:pPr>
            <w:r>
              <w:rPr>
                <w:b/>
                <w:color w:val="FFFFFF"/>
                <w:sz w:val="17"/>
              </w:rPr>
              <w:t>Expected effect</w:t>
            </w:r>
          </w:p>
        </w:tc>
      </w:tr>
      <w:tr>
        <w:trPr>
          <w:cantSplit w:val="true"/>
        </w:trPr>
        <w:tc>
          <w:tcPr>
            <w:tcW w:type="dxa" w:w="454"/>
            <w:tcMar>
              <w:top w:w="50" w:type="dxa"/>
              <w:left w:w="80" w:type="dxa"/>
              <w:bottom w:w="50" w:type="dxa"/>
              <w:right w:w="80" w:type="dxa"/>
            </w:tcMar>
          </w:tcPr>
          <w:p>
            <w:pPr>
              <w:spacing w:after="0"/>
            </w:pPr>
            <w:r>
              <w:rPr>
                <w:b w:val="0"/>
                <w:i w:val="0"/>
                <w:sz w:val="17"/>
              </w:rPr>
              <w:t>1</w:t>
            </w:r>
          </w:p>
        </w:tc>
        <w:tc>
          <w:tcPr>
            <w:tcW w:type="dxa" w:w="3515"/>
            <w:tcMar>
              <w:top w:w="50" w:type="dxa"/>
              <w:left w:w="80" w:type="dxa"/>
              <w:bottom w:w="50" w:type="dxa"/>
              <w:right w:w="80" w:type="dxa"/>
            </w:tcMar>
          </w:tcPr>
          <w:p>
            <w:pPr>
              <w:spacing w:after="0"/>
            </w:pPr>
            <w:r>
              <w:rPr>
                <w:b w:val="0"/>
                <w:i w:val="0"/>
                <w:sz w:val="17"/>
              </w:rPr>
              <w:t>Replace the rule-based promise with a quantile model targeting 85-90% on-time</w:t>
            </w:r>
          </w:p>
        </w:tc>
        <w:tc>
          <w:tcPr>
            <w:tcW w:type="dxa" w:w="1928"/>
            <w:tcMar>
              <w:top w:w="50" w:type="dxa"/>
              <w:left w:w="80" w:type="dxa"/>
              <w:bottom w:w="50" w:type="dxa"/>
              <w:right w:w="80" w:type="dxa"/>
            </w:tcMar>
          </w:tcPr>
          <w:p>
            <w:pPr>
              <w:spacing w:after="0"/>
            </w:pPr>
            <w:r>
              <w:rPr>
                <w:b w:val="0"/>
                <w:i w:val="0"/>
                <w:sz w:val="17"/>
              </w:rPr>
              <w:t>Frontier in Section 5.3</w:t>
            </w:r>
          </w:p>
        </w:tc>
        <w:tc>
          <w:tcPr>
            <w:tcW w:type="dxa" w:w="3628"/>
            <w:tcMar>
              <w:top w:w="50" w:type="dxa"/>
              <w:left w:w="80" w:type="dxa"/>
              <w:bottom w:w="50" w:type="dxa"/>
              <w:right w:w="80" w:type="dxa"/>
            </w:tcMar>
          </w:tcPr>
          <w:p>
            <w:pPr>
              <w:spacing w:after="0"/>
            </w:pPr>
            <w:r>
              <w:rPr>
                <w:b w:val="0"/>
                <w:i w:val="0"/>
                <w:sz w:val="17"/>
              </w:rPr>
              <w:t>90% on-time with about 0.2 day shorter average promise than a flat buffer</w:t>
            </w:r>
          </w:p>
        </w:tc>
      </w:tr>
      <w:tr>
        <w:trPr>
          <w:cantSplit w:val="true"/>
        </w:trPr>
        <w:tc>
          <w:tcPr>
            <w:tcW w:type="dxa" w:w="454"/>
            <w:tcMar>
              <w:top w:w="50" w:type="dxa"/>
              <w:left w:w="80" w:type="dxa"/>
              <w:bottom w:w="50" w:type="dxa"/>
              <w:right w:w="80" w:type="dxa"/>
            </w:tcMar>
            <w:shd w:val="clear" w:color="auto" w:fill="F2F6FB"/>
          </w:tcPr>
          <w:p>
            <w:pPr>
              <w:spacing w:after="0"/>
            </w:pPr>
            <w:r>
              <w:rPr>
                <w:b w:val="0"/>
                <w:i w:val="0"/>
                <w:sz w:val="17"/>
              </w:rPr>
              <w:t>2</w:t>
            </w:r>
          </w:p>
        </w:tc>
        <w:tc>
          <w:tcPr>
            <w:tcW w:type="dxa" w:w="3515"/>
            <w:tcMar>
              <w:top w:w="50" w:type="dxa"/>
              <w:left w:w="80" w:type="dxa"/>
              <w:bottom w:w="50" w:type="dxa"/>
              <w:right w:w="80" w:type="dxa"/>
            </w:tcMar>
            <w:shd w:val="clear" w:color="auto" w:fill="F2F6FB"/>
          </w:tcPr>
          <w:p>
            <w:pPr>
              <w:spacing w:after="0"/>
            </w:pPr>
            <w:r>
              <w:rPr>
                <w:b w:val="0"/>
                <w:i w:val="0"/>
                <w:sz w:val="17"/>
              </w:rPr>
              <w:t>Pilot the practical warehouse-allocation plan on 2-3 hubs (Guwahati, Chennai, Lucknow first)</w:t>
            </w:r>
          </w:p>
        </w:tc>
        <w:tc>
          <w:tcPr>
            <w:tcW w:type="dxa" w:w="1928"/>
            <w:tcMar>
              <w:top w:w="50" w:type="dxa"/>
              <w:left w:w="80" w:type="dxa"/>
              <w:bottom w:w="50" w:type="dxa"/>
              <w:right w:w="80" w:type="dxa"/>
            </w:tcMar>
            <w:shd w:val="clear" w:color="auto" w:fill="F2F6FB"/>
          </w:tcPr>
          <w:p>
            <w:pPr>
              <w:spacing w:after="0"/>
            </w:pPr>
            <w:r>
              <w:rPr>
                <w:b w:val="0"/>
                <w:i w:val="0"/>
                <w:sz w:val="17"/>
              </w:rPr>
              <w:t>Section 5.1</w:t>
            </w:r>
          </w:p>
        </w:tc>
        <w:tc>
          <w:tcPr>
            <w:tcW w:type="dxa" w:w="3628"/>
            <w:tcMar>
              <w:top w:w="50" w:type="dxa"/>
              <w:left w:w="80" w:type="dxa"/>
              <w:bottom w:w="50" w:type="dxa"/>
              <w:right w:w="80" w:type="dxa"/>
            </w:tcMar>
            <w:shd w:val="clear" w:color="auto" w:fill="F2F6FB"/>
          </w:tcPr>
          <w:p>
            <w:pPr>
              <w:spacing w:after="0"/>
            </w:pPr>
            <w:r>
              <w:rPr>
                <w:b w:val="0"/>
                <w:i w:val="0"/>
                <w:sz w:val="17"/>
              </w:rPr>
              <w:t>Up to 19% lower delivery cost with no rise in late rate (to be validated)</w:t>
            </w:r>
          </w:p>
        </w:tc>
      </w:tr>
      <w:tr>
        <w:trPr>
          <w:cantSplit w:val="true"/>
        </w:trPr>
        <w:tc>
          <w:tcPr>
            <w:tcW w:type="dxa" w:w="454"/>
            <w:tcMar>
              <w:top w:w="50" w:type="dxa"/>
              <w:left w:w="80" w:type="dxa"/>
              <w:bottom w:w="50" w:type="dxa"/>
              <w:right w:w="80" w:type="dxa"/>
            </w:tcMar>
          </w:tcPr>
          <w:p>
            <w:pPr>
              <w:spacing w:after="0"/>
            </w:pPr>
            <w:r>
              <w:rPr>
                <w:b w:val="0"/>
                <w:i w:val="0"/>
                <w:sz w:val="17"/>
              </w:rPr>
              <w:t>3</w:t>
            </w:r>
          </w:p>
        </w:tc>
        <w:tc>
          <w:tcPr>
            <w:tcW w:type="dxa" w:w="3515"/>
            <w:tcMar>
              <w:top w:w="50" w:type="dxa"/>
              <w:left w:w="80" w:type="dxa"/>
              <w:bottom w:w="50" w:type="dxa"/>
              <w:right w:w="80" w:type="dxa"/>
            </w:tcMar>
          </w:tcPr>
          <w:p>
            <w:pPr>
              <w:spacing w:after="0"/>
            </w:pPr>
            <w:r>
              <w:rPr>
                <w:b w:val="0"/>
                <w:i w:val="0"/>
                <w:sz w:val="17"/>
              </w:rPr>
              <w:t>Score every shipment for late risk at dispatch and review the top 20%</w:t>
            </w:r>
          </w:p>
        </w:tc>
        <w:tc>
          <w:tcPr>
            <w:tcW w:type="dxa" w:w="1928"/>
            <w:tcMar>
              <w:top w:w="50" w:type="dxa"/>
              <w:left w:w="80" w:type="dxa"/>
              <w:bottom w:w="50" w:type="dxa"/>
              <w:right w:w="80" w:type="dxa"/>
            </w:tcMar>
          </w:tcPr>
          <w:p>
            <w:pPr>
              <w:spacing w:after="0"/>
            </w:pPr>
            <w:r>
              <w:rPr>
                <w:b w:val="0"/>
                <w:i w:val="0"/>
                <w:sz w:val="17"/>
              </w:rPr>
              <w:t>Section 4</w:t>
            </w:r>
          </w:p>
        </w:tc>
        <w:tc>
          <w:tcPr>
            <w:tcW w:type="dxa" w:w="3628"/>
            <w:tcMar>
              <w:top w:w="50" w:type="dxa"/>
              <w:left w:w="80" w:type="dxa"/>
              <w:bottom w:w="50" w:type="dxa"/>
              <w:right w:w="80" w:type="dxa"/>
            </w:tcMar>
          </w:tcPr>
          <w:p>
            <w:pPr>
              <w:spacing w:after="0"/>
            </w:pPr>
            <w:r>
              <w:rPr>
                <w:b w:val="0"/>
                <w:i w:val="0"/>
                <w:sz w:val="17"/>
              </w:rPr>
              <w:t>Catch 40% of late shipments with 20% of the effort</w:t>
            </w:r>
          </w:p>
        </w:tc>
      </w:tr>
      <w:tr>
        <w:trPr>
          <w:cantSplit w:val="true"/>
        </w:trPr>
        <w:tc>
          <w:tcPr>
            <w:tcW w:type="dxa" w:w="454"/>
            <w:tcMar>
              <w:top w:w="50" w:type="dxa"/>
              <w:left w:w="80" w:type="dxa"/>
              <w:bottom w:w="50" w:type="dxa"/>
              <w:right w:w="80" w:type="dxa"/>
            </w:tcMar>
            <w:shd w:val="clear" w:color="auto" w:fill="F2F6FB"/>
          </w:tcPr>
          <w:p>
            <w:pPr>
              <w:spacing w:after="0"/>
            </w:pPr>
            <w:r>
              <w:rPr>
                <w:b w:val="0"/>
                <w:i w:val="0"/>
                <w:sz w:val="17"/>
              </w:rPr>
              <w:t>4</w:t>
            </w:r>
          </w:p>
        </w:tc>
        <w:tc>
          <w:tcPr>
            <w:tcW w:type="dxa" w:w="3515"/>
            <w:tcMar>
              <w:top w:w="50" w:type="dxa"/>
              <w:left w:w="80" w:type="dxa"/>
              <w:bottom w:w="50" w:type="dxa"/>
              <w:right w:w="80" w:type="dxa"/>
            </w:tcMar>
            <w:shd w:val="clear" w:color="auto" w:fill="F2F6FB"/>
          </w:tcPr>
          <w:p>
            <w:pPr>
              <w:spacing w:after="0"/>
            </w:pPr>
            <w:r>
              <w:rPr>
                <w:b w:val="0"/>
                <w:i w:val="0"/>
                <w:sz w:val="17"/>
              </w:rPr>
              <w:t>Re-balance carrier mix by zone within 10-45% bounds</w:t>
            </w:r>
          </w:p>
        </w:tc>
        <w:tc>
          <w:tcPr>
            <w:tcW w:type="dxa" w:w="1928"/>
            <w:tcMar>
              <w:top w:w="50" w:type="dxa"/>
              <w:left w:w="80" w:type="dxa"/>
              <w:bottom w:w="50" w:type="dxa"/>
              <w:right w:w="80" w:type="dxa"/>
            </w:tcMar>
            <w:shd w:val="clear" w:color="auto" w:fill="F2F6FB"/>
          </w:tcPr>
          <w:p>
            <w:pPr>
              <w:spacing w:after="0"/>
            </w:pPr>
            <w:r>
              <w:rPr>
                <w:b w:val="0"/>
                <w:i w:val="0"/>
                <w:sz w:val="17"/>
              </w:rPr>
              <w:t>Section 5.2</w:t>
            </w:r>
          </w:p>
        </w:tc>
        <w:tc>
          <w:tcPr>
            <w:tcW w:type="dxa" w:w="3628"/>
            <w:tcMar>
              <w:top w:w="50" w:type="dxa"/>
              <w:left w:w="80" w:type="dxa"/>
              <w:bottom w:w="50" w:type="dxa"/>
              <w:right w:w="80" w:type="dxa"/>
            </w:tcMar>
            <w:shd w:val="clear" w:color="auto" w:fill="F2F6FB"/>
          </w:tcPr>
          <w:p>
            <w:pPr>
              <w:spacing w:after="0"/>
            </w:pPr>
            <w:r>
              <w:rPr>
                <w:b w:val="0"/>
                <w:i w:val="0"/>
                <w:sz w:val="17"/>
              </w:rPr>
              <w:t>1-4% cost saving at constant service</w:t>
            </w:r>
          </w:p>
        </w:tc>
      </w:tr>
      <w:tr>
        <w:trPr>
          <w:cantSplit w:val="true"/>
        </w:trPr>
        <w:tc>
          <w:tcPr>
            <w:tcW w:type="dxa" w:w="454"/>
            <w:tcMar>
              <w:top w:w="50" w:type="dxa"/>
              <w:left w:w="80" w:type="dxa"/>
              <w:bottom w:w="50" w:type="dxa"/>
              <w:right w:w="80" w:type="dxa"/>
            </w:tcMar>
          </w:tcPr>
          <w:p>
            <w:pPr>
              <w:spacing w:after="0"/>
            </w:pPr>
            <w:r>
              <w:rPr>
                <w:b w:val="0"/>
                <w:i w:val="0"/>
                <w:sz w:val="17"/>
              </w:rPr>
              <w:t>5</w:t>
            </w:r>
          </w:p>
        </w:tc>
        <w:tc>
          <w:tcPr>
            <w:tcW w:type="dxa" w:w="3515"/>
            <w:tcMar>
              <w:top w:w="50" w:type="dxa"/>
              <w:left w:w="80" w:type="dxa"/>
              <w:bottom w:w="50" w:type="dxa"/>
              <w:right w:w="80" w:type="dxa"/>
            </w:tcMar>
          </w:tcPr>
          <w:p>
            <w:pPr>
              <w:spacing w:after="0"/>
            </w:pPr>
            <w:r>
              <w:rPr>
                <w:b w:val="0"/>
                <w:i w:val="0"/>
                <w:sz w:val="17"/>
              </w:rPr>
              <w:t>Retrain monthly and before each peak; monitor RMSE and AUC</w:t>
            </w:r>
          </w:p>
        </w:tc>
        <w:tc>
          <w:tcPr>
            <w:tcW w:type="dxa" w:w="1928"/>
            <w:tcMar>
              <w:top w:w="50" w:type="dxa"/>
              <w:left w:w="80" w:type="dxa"/>
              <w:bottom w:w="50" w:type="dxa"/>
              <w:right w:w="80" w:type="dxa"/>
            </w:tcMar>
          </w:tcPr>
          <w:p>
            <w:pPr>
              <w:spacing w:after="0"/>
            </w:pPr>
            <w:r>
              <w:rPr>
                <w:b w:val="0"/>
                <w:i w:val="0"/>
                <w:sz w:val="17"/>
              </w:rPr>
              <w:t>Time-series CV, Section 3.4</w:t>
            </w:r>
          </w:p>
        </w:tc>
        <w:tc>
          <w:tcPr>
            <w:tcW w:type="dxa" w:w="3628"/>
            <w:tcMar>
              <w:top w:w="50" w:type="dxa"/>
              <w:left w:w="80" w:type="dxa"/>
              <w:bottom w:w="50" w:type="dxa"/>
              <w:right w:w="80" w:type="dxa"/>
            </w:tcMar>
          </w:tcPr>
          <w:p>
            <w:pPr>
              <w:spacing w:after="0"/>
            </w:pPr>
            <w:r>
              <w:rPr>
                <w:b w:val="0"/>
                <w:i w:val="0"/>
                <w:sz w:val="17"/>
              </w:rPr>
              <w:t>Prevents drift-related degradation</w:t>
            </w:r>
          </w:p>
        </w:tc>
      </w:tr>
    </w:tbl>
    <w:p>
      <w:pPr>
        <w:spacing w:after="40"/>
      </w:pPr>
    </w:p>
    <w:p>
      <w:pPr>
        <w:pStyle w:val="Heading2"/>
      </w:pPr>
      <w:r>
        <w:t>Limitations</w:t>
      </w:r>
    </w:p>
    <w:p>
      <w:pPr>
        <w:pStyle w:val="ListBullet"/>
      </w:pPr>
      <w:r>
        <w:rPr>
          <w:b w:val="0"/>
          <w:i w:val="0"/>
        </w:rPr>
        <w:t>Simulated data: effect sizes illustrate the method; they are not forecasts for a real company.</w:t>
      </w:r>
    </w:p>
    <w:p>
      <w:pPr>
        <w:pStyle w:val="ListBullet"/>
      </w:pPr>
      <w:r>
        <w:rPr>
          <w:b w:val="0"/>
          <w:i w:val="0"/>
        </w:rPr>
        <w:t>Delivery time is dominated by distance and promised days, so absolute R-squared is high and the improvement over simple baselines is small.</w:t>
      </w:r>
    </w:p>
    <w:p>
      <w:pPr>
        <w:pStyle w:val="ListBullet"/>
      </w:pPr>
      <w:r>
        <w:rPr>
          <w:b w:val="0"/>
          <w:i w:val="0"/>
        </w:rPr>
        <w:t>LP savings assume stable lane costs and late rates; the late penalty is an assumption.</w:t>
      </w:r>
    </w:p>
    <w:p>
      <w:pPr>
        <w:pStyle w:val="ListBullet"/>
      </w:pPr>
      <w:r>
        <w:rPr>
          <w:b w:val="0"/>
          <w:i w:val="0"/>
        </w:rPr>
        <w:t>A random split was used for the main test; the forward-chaining CV shows error rises in peak months.</w:t>
      </w:r>
    </w:p>
    <w:p>
      <w:pPr>
        <w:pStyle w:val="Heading1"/>
      </w:pPr>
      <w:r>
        <w:t>References</w:t>
      </w:r>
    </w:p>
    <w:p>
      <w:pPr>
        <w:spacing w:after="60"/>
        <w:ind w:left="340" w:hanging="340"/>
      </w:pPr>
      <w:r>
        <w:rPr>
          <w:b w:val="0"/>
          <w:i w:val="0"/>
          <w:sz w:val="19"/>
        </w:rPr>
        <w:t>Breiman, L. (2001). Random forests. Machine Learning, 45(1), 5-32.</w:t>
      </w:r>
    </w:p>
    <w:p>
      <w:pPr>
        <w:spacing w:after="60"/>
        <w:ind w:left="340" w:hanging="340"/>
      </w:pPr>
      <w:r>
        <w:rPr>
          <w:b w:val="0"/>
          <w:i w:val="0"/>
          <w:sz w:val="19"/>
        </w:rPr>
        <w:t>Friedman, J. H. (2001). Greedy function approximation: A gradient boosting machine. Annals of Statistics, 29(5), 1189-1232.</w:t>
      </w:r>
    </w:p>
    <w:p>
      <w:pPr>
        <w:spacing w:after="60"/>
        <w:ind w:left="340" w:hanging="340"/>
      </w:pPr>
      <w:r>
        <w:rPr>
          <w:b w:val="0"/>
          <w:i w:val="0"/>
          <w:sz w:val="19"/>
        </w:rPr>
        <w:t>Pedregosa, F., et al. (2011). Scikit-learn: Machine learning in Python. Journal of Machine Learning Research, 12, 2825-2830.</w:t>
      </w:r>
    </w:p>
    <w:p>
      <w:pPr>
        <w:spacing w:after="60"/>
        <w:ind w:left="340" w:hanging="340"/>
      </w:pPr>
      <w:r>
        <w:rPr>
          <w:b w:val="0"/>
          <w:i w:val="0"/>
          <w:sz w:val="19"/>
        </w:rPr>
        <w:t>Koenker, R., &amp; Bassett, G. (1978). Regression quantiles. Econometrica, 46(1), 33-50.</w:t>
      </w:r>
    </w:p>
    <w:p>
      <w:pPr>
        <w:spacing w:after="60"/>
        <w:ind w:left="340" w:hanging="340"/>
      </w:pPr>
      <w:r>
        <w:rPr>
          <w:b w:val="0"/>
          <w:i w:val="0"/>
          <w:sz w:val="19"/>
        </w:rPr>
        <w:t>Toth, P., &amp; Vigo, D. (Eds.) (2014). Vehicle Routing: Problems, Methods, and Applications (2nd ed.). SIAM.</w:t>
      </w:r>
    </w:p>
    <w:p>
      <w:pPr>
        <w:spacing w:after="60"/>
        <w:ind w:left="340" w:hanging="340"/>
      </w:pPr>
      <w:r>
        <w:rPr>
          <w:b w:val="0"/>
          <w:i w:val="0"/>
          <w:sz w:val="19"/>
        </w:rPr>
        <w:t>Dantzig, G. B., &amp; Ramser, J. H. (1959). The truck dispatching problem. Management Science, 6(1), 80-91.</w:t>
      </w:r>
    </w:p>
    <w:p>
      <w:pPr>
        <w:spacing w:after="60"/>
        <w:ind w:left="340" w:hanging="340"/>
      </w:pPr>
      <w:r>
        <w:rPr>
          <w:b w:val="0"/>
          <w:i w:val="0"/>
          <w:sz w:val="19"/>
        </w:rPr>
        <w:t>Huangfu, Q., &amp; Hall, J. A. J. (2018). Parallelizing the dual revised simplex method. Mathematical Programming Computation, 10, 119-142.</w:t>
      </w:r>
    </w:p>
    <w:p>
      <w:pPr>
        <w:spacing w:after="60"/>
        <w:ind w:left="340" w:hanging="340"/>
      </w:pPr>
      <w:r>
        <w:rPr>
          <w:b w:val="0"/>
          <w:i w:val="0"/>
          <w:sz w:val="19"/>
        </w:rPr>
        <w:t>Virtanen, P., et al. (2020). SciPy 1.0: Fundamental algorithms for scientific computing in Python. Nature Methods, 17, 261-272.</w:t>
      </w:r>
    </w:p>
    <w:p>
      <w:pPr>
        <w:spacing w:after="60"/>
        <w:ind w:left="340" w:hanging="340"/>
      </w:pPr>
      <w:r>
        <w:rPr>
          <w:b w:val="0"/>
          <w:i w:val="0"/>
          <w:sz w:val="19"/>
        </w:rPr>
        <w:t>Christopher, M. (2016). Logistics &amp; Supply Chain Management (5th ed.). Pearson.</w:t>
      </w:r>
    </w:p>
    <w:p>
      <w:pPr>
        <w:spacing w:after="60"/>
        <w:ind w:left="340" w:hanging="340"/>
      </w:pPr>
      <w:r>
        <w:rPr>
          <w:b w:val="0"/>
          <w:i w:val="0"/>
          <w:sz w:val="19"/>
        </w:rPr>
        <w:t>Chopra, S., &amp; Meindl, P. (2016). Supply Chain Management: Strategy, Planning, and Operation (6th ed.). Pearson.</w:t>
      </w:r>
    </w:p>
    <w:p>
      <w:pPr>
        <w:spacing w:after="60"/>
        <w:ind w:left="340" w:hanging="340"/>
      </w:pPr>
      <w:r>
        <w:rPr>
          <w:b w:val="0"/>
          <w:i w:val="0"/>
          <w:sz w:val="19"/>
        </w:rPr>
        <w:t>Hunter, J. D. (2007). Matplotlib: A 2D graphics environment. Computing in Science &amp; Engineering, 9(3), 90-95.</w:t>
      </w: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7"/>
      </w:rPr>
      <w:t xml:space="preserve">Page </w:t>
    </w:r>
    <w:r>
      <w:rPr>
        <w:color w:val="52514E"/>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514E"/>
        <w:sz w:val="17"/>
      </w:rPr>
      <w:t>Week 4 | Predictive Modeling and Optimization in Logistics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2A78D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pacing w:after="0" w:before="0" w:line="240" w:lineRule="auto"/>
      <w:ind w:left="113"/>
      <w:shd w:val="clear" w:color="auto" w:fill="F4F4F2"/>
    </w:pPr>
    <w:rPr>
      <w:rFonts w:ascii="Consolas" w:hAnsi="Consolas" w:cs="Consolas"/>
      <w:sz w:val="16"/>
    </w:rPr>
  </w:style>
  <w:style w:type="paragraph" w:customStyle="1" w:styleId="Cap">
    <w:name w:val="Cap"/>
    <w:basedOn w:val="Normal"/>
    <w:pPr>
      <w:spacing w:after="200"/>
      <w:jc w:val="center"/>
    </w:pPr>
    <w:rPr>
      <w:i/>
      <w:color w:val="52514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