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Vendor Payment &amp; Approval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  <w:vAlign w:val="center"/>
          </w:tcPr>
          <w:p>
            <w:r>
              <w:t>Document ID</w:t>
            </w:r>
          </w:p>
        </w:tc>
        <w:tc>
          <w:tcPr>
            <w:tcW w:type="dxa" w:w="4320"/>
            <w:vAlign w:val="center"/>
          </w:tcPr>
          <w:p>
            <w:r>
              <w:t>FIN-POL-014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Owner</w:t>
            </w:r>
          </w:p>
        </w:tc>
        <w:tc>
          <w:tcPr>
            <w:tcW w:type="dxa" w:w="4320"/>
            <w:vAlign w:val="center"/>
          </w:tcPr>
          <w:p>
            <w:r>
              <w:t>Finance Operations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Classification</w:t>
            </w:r>
          </w:p>
        </w:tc>
        <w:tc>
          <w:tcPr>
            <w:tcW w:type="dxa" w:w="4320"/>
            <w:vAlign w:val="center"/>
          </w:tcPr>
          <w:p>
            <w:r>
              <w:t>CONFIDENTIAL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Access Scope</w:t>
            </w:r>
          </w:p>
        </w:tc>
        <w:tc>
          <w:tcPr>
            <w:tcW w:type="dxa" w:w="4320"/>
            <w:vAlign w:val="center"/>
          </w:tcPr>
          <w:p>
            <w:r>
              <w:t>CEO, CTO, COFOUNDER, FINANCE_HEAD, HR_HEAD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Effective Date</w:t>
            </w:r>
          </w:p>
        </w:tc>
        <w:tc>
          <w:tcPr>
            <w:tcW w:type="dxa" w:w="4320"/>
            <w:vAlign w:val="center"/>
          </w:tcPr>
          <w:p>
            <w:r>
              <w:t>2026-07-01</w:t>
            </w:r>
          </w:p>
        </w:tc>
      </w:tr>
    </w:tbl>
    <w:p>
      <w:pPr>
        <w:pStyle w:val="Heading1"/>
      </w:pPr>
      <w:r>
        <w:t>Purpose</w:t>
      </w:r>
    </w:p>
    <w:p>
      <w:r>
        <w:t>This policy defines invoice validation, approval thresholds, segregation of duties, and payment-release controls for Monk-E vendors.</w:t>
      </w:r>
    </w:p>
    <w:p>
      <w:r>
        <w:t>The objective is to ensure that vendor payments are accurate, authorized, traceable, and released only after the underlying obligation has been validated.</w:t>
      </w:r>
    </w:p>
    <w:p>
      <w:pPr>
        <w:pStyle w:val="Heading1"/>
      </w:pPr>
      <w:r>
        <w:t>Three-Way Match</w:t>
      </w:r>
    </w:p>
    <w:p>
      <w:r>
        <w:t>Invoices for procurement-driven spend must be matched against the approved purchase order and the receiving or service-confirmation record where applicable.</w:t>
      </w:r>
    </w:p>
    <w:p>
      <w:r>
        <w:t>Exceptions require written confirmation from the budget owner and Finance Operations before payment scheduling.</w:t>
      </w:r>
    </w:p>
    <w:p>
      <w:pPr>
        <w:pStyle w:val="Heading1"/>
      </w:pPr>
      <w:r>
        <w:t>Approval Thresholds</w:t>
      </w:r>
    </w:p>
    <w:p>
      <w:r>
        <w:t>Payments up to INR 100,000 require budget-owner approval. Payments from INR 100,001 to INR 1,000,000 require budget-owner and Finance approval. Payments above INR 1,000,000 require Finance Head approval and documented executive sponsorship.</w:t>
      </w:r>
    </w:p>
    <w:p>
      <w:r>
        <w:t>Payroll, statutory remittances, and board-approved recurring obligations follow their dedicated approval workflow.</w:t>
      </w:r>
    </w:p>
    <w:p>
      <w:pPr>
        <w:pStyle w:val="Heading1"/>
      </w:pPr>
      <w:r>
        <w:t>Control Requirements</w:t>
      </w:r>
    </w:p>
    <w:p>
      <w:r>
        <w:t>No employee may both create a new vendor and release the first payment to that vendor. Bank-account changes require independent callback verification using the vendor master contact record.</w:t>
      </w:r>
    </w:p>
    <w:p>
      <w:r>
        <w:t>Month-end unpaid invoices must be reconciled to the accrual schedule before the close is finalized.</w:t>
      </w:r>
    </w:p>
    <w:p>
      <w:pPr>
        <w:pStyle w:val="Heading1"/>
      </w:pPr>
      <w:r>
        <w:t>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/>
          </w:tcPr>
          <w:p>
            <w:r>
              <w:t>Payment Range</w:t>
            </w:r>
          </w:p>
        </w:tc>
        <w:tc>
          <w:tcPr>
            <w:tcW w:type="dxa" w:w="2880"/>
            <w:shd w:fill="E8EEF7"/>
          </w:tcPr>
          <w:p>
            <w:r>
              <w:t>Required Approvals</w:t>
            </w:r>
          </w:p>
        </w:tc>
        <w:tc>
          <w:tcPr>
            <w:tcW w:type="dxa" w:w="2880"/>
            <w:shd w:fill="E8EEF7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&lt;= INR 100K</w:t>
            </w:r>
          </w:p>
        </w:tc>
        <w:tc>
          <w:tcPr>
            <w:tcW w:type="dxa" w:w="2880"/>
          </w:tcPr>
          <w:p>
            <w:r>
              <w:t>Budget Owner</w:t>
            </w:r>
          </w:p>
        </w:tc>
        <w:tc>
          <w:tcPr>
            <w:tcW w:type="dxa" w:w="2880"/>
          </w:tcPr>
          <w:p>
            <w:r>
              <w:t>PO + invoice</w:t>
            </w:r>
          </w:p>
        </w:tc>
      </w:tr>
      <w:tr>
        <w:tc>
          <w:tcPr>
            <w:tcW w:type="dxa" w:w="2880"/>
          </w:tcPr>
          <w:p>
            <w:r>
              <w:t>INR 100K-1M</w:t>
            </w:r>
          </w:p>
        </w:tc>
        <w:tc>
          <w:tcPr>
            <w:tcW w:type="dxa" w:w="2880"/>
          </w:tcPr>
          <w:p>
            <w:r>
              <w:t>Budget Owner + Finance</w:t>
            </w:r>
          </w:p>
        </w:tc>
        <w:tc>
          <w:tcPr>
            <w:tcW w:type="dxa" w:w="2880"/>
          </w:tcPr>
          <w:p>
            <w:r>
              <w:t>PO + invoice + receipt/service note</w:t>
            </w:r>
          </w:p>
        </w:tc>
      </w:tr>
      <w:tr>
        <w:tc>
          <w:tcPr>
            <w:tcW w:type="dxa" w:w="2880"/>
          </w:tcPr>
          <w:p>
            <w:r>
              <w:t>&gt; INR 1M</w:t>
            </w:r>
          </w:p>
        </w:tc>
        <w:tc>
          <w:tcPr>
            <w:tcW w:type="dxa" w:w="2880"/>
          </w:tcPr>
          <w:p>
            <w:r>
              <w:t>Budget Owner + Finance Head + Executive Sponsor</w:t>
            </w:r>
          </w:p>
        </w:tc>
        <w:tc>
          <w:tcPr>
            <w:tcW w:type="dxa" w:w="2880"/>
          </w:tcPr>
          <w:p>
            <w:r>
              <w:t>Full approval packet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prototype corpus - not real company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Monk-E Technologies Pvt. Ltd. | CONFIDENTIAL | FIN-POL-014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