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Monk-E Brand Guidelines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  <w:vAlign w:val="center"/>
          </w:tcPr>
          <w:p>
            <w:r>
              <w:t>Document ID</w:t>
            </w:r>
          </w:p>
        </w:tc>
        <w:tc>
          <w:tcPr>
            <w:tcW w:type="dxa" w:w="4320"/>
            <w:vAlign w:val="center"/>
          </w:tcPr>
          <w:p>
            <w:r>
              <w:t>MKT-BRAND-006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Owner</w:t>
            </w:r>
          </w:p>
        </w:tc>
        <w:tc>
          <w:tcPr>
            <w:tcW w:type="dxa" w:w="4320"/>
            <w:vAlign w:val="center"/>
          </w:tcPr>
          <w:p>
            <w:r>
              <w:t>Brand &amp; Communications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Classification</w:t>
            </w:r>
          </w:p>
        </w:tc>
        <w:tc>
          <w:tcPr>
            <w:tcW w:type="dxa" w:w="4320"/>
            <w:vAlign w:val="center"/>
          </w:tcPr>
          <w:p>
            <w:r>
              <w:t>INTERNAL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Access Scope</w:t>
            </w:r>
          </w:p>
        </w:tc>
        <w:tc>
          <w:tcPr>
            <w:tcW w:type="dxa" w:w="4320"/>
            <w:vAlign w:val="center"/>
          </w:tcPr>
          <w:p>
            <w:r>
              <w:t>CEO, CTO, COFOUNDER, MARKETING_DEPARTMENT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Effective Date</w:t>
            </w:r>
          </w:p>
        </w:tc>
        <w:tc>
          <w:tcPr>
            <w:tcW w:type="dxa" w:w="4320"/>
            <w:vAlign w:val="center"/>
          </w:tcPr>
          <w:p>
            <w:r>
              <w:t>2026-05-01</w:t>
            </w:r>
          </w:p>
        </w:tc>
      </w:tr>
    </w:tbl>
    <w:p>
      <w:pPr>
        <w:pStyle w:val="Heading1"/>
      </w:pPr>
      <w:r>
        <w:t>Brand Voice</w:t>
      </w:r>
    </w:p>
    <w:p>
      <w:r>
        <w:t>Use confident, specific language grounded in customer outcomes. Avoid unexplained AI jargon and avoid making claims that cannot be supported by evidence.</w:t>
      </w:r>
    </w:p>
    <w:p>
      <w:r>
        <w:t>Technical content should assume an informed professional audience but define specialist terms when they are central to the message.</w:t>
      </w:r>
    </w:p>
    <w:p>
      <w:pPr>
        <w:pStyle w:val="Heading1"/>
      </w:pPr>
      <w:r>
        <w:t>Visual Direction</w:t>
      </w:r>
    </w:p>
    <w:p>
      <w:r>
        <w:t>Use a clean editorial layout with generous spacing, strong hierarchy, and simple diagrams. Screenshots should show meaningful product behaviour rather than decorative UI.</w:t>
      </w:r>
    </w:p>
    <w:p>
      <w:r>
        <w:t>Do not present synthetic benchmark numbers as customer results.</w:t>
      </w:r>
    </w:p>
    <w:p>
      <w:pPr>
        <w:pStyle w:val="Heading1"/>
      </w:pPr>
      <w:r>
        <w:t>Messaging Rules</w:t>
      </w:r>
    </w:p>
    <w:p>
      <w:r>
        <w:t>Describe the Second Brain concept as a secure organizational knowledge layer. When describing permissions, state that retrieval is restricted before information enters the model context.</w:t>
      </w:r>
    </w:p>
    <w:p>
      <w:r>
        <w:t>Current campaign claims should reference the latest approved campaign brief or performance report.</w:t>
      </w:r>
    </w:p>
    <w:p>
      <w:pPr>
        <w:pStyle w:val="Heading1"/>
      </w:pPr>
      <w:r>
        <w:t>Approved Message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/>
          </w:tcPr>
          <w:p>
            <w:r>
              <w:t>Topic</w:t>
            </w:r>
          </w:p>
        </w:tc>
        <w:tc>
          <w:tcPr>
            <w:tcW w:type="dxa" w:w="2880"/>
            <w:shd w:fill="E8EEF7"/>
          </w:tcPr>
          <w:p>
            <w:r>
              <w:t>Preferred</w:t>
            </w:r>
          </w:p>
        </w:tc>
        <w:tc>
          <w:tcPr>
            <w:tcW w:type="dxa" w:w="2880"/>
            <w:shd w:fill="E8EEF7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RAG security</w:t>
            </w:r>
          </w:p>
        </w:tc>
        <w:tc>
          <w:tcPr>
            <w:tcW w:type="dxa" w:w="2880"/>
          </w:tcPr>
          <w:p>
            <w:r>
              <w:t>Permission-aware retrieval before generation</w:t>
            </w:r>
          </w:p>
        </w:tc>
        <w:tc>
          <w:tcPr>
            <w:tcW w:type="dxa" w:w="2880"/>
          </w:tcPr>
          <w:p>
            <w:r>
              <w:t>The LLM knows what it can see</w:t>
            </w:r>
          </w:p>
        </w:tc>
      </w:tr>
      <w:tr>
        <w:tc>
          <w:tcPr>
            <w:tcW w:type="dxa" w:w="2880"/>
          </w:tcPr>
          <w:p>
            <w:r>
              <w:t>Enterprise AI</w:t>
            </w:r>
          </w:p>
        </w:tc>
        <w:tc>
          <w:tcPr>
            <w:tcW w:type="dxa" w:w="2880"/>
          </w:tcPr>
          <w:p>
            <w:r>
              <w:t>Measured workflow automation</w:t>
            </w:r>
          </w:p>
        </w:tc>
        <w:tc>
          <w:tcPr>
            <w:tcW w:type="dxa" w:w="2880"/>
          </w:tcPr>
          <w:p>
            <w:r>
              <w:t>AI magic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Evidence-linked answers</w:t>
            </w:r>
          </w:p>
        </w:tc>
        <w:tc>
          <w:tcPr>
            <w:tcW w:type="dxa" w:w="2880"/>
          </w:tcPr>
          <w:p>
            <w:r>
              <w:t>Trust us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prototype corpus - not real company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Monk-E Technologies Pvt. Ltd. | INTERNAL | MKT-BRAND-006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