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Employee Quick Start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/>
            <w:vAlign w:val="center"/>
          </w:tcPr>
          <w:p>
            <w:r>
              <w:t>Document ID</w:t>
            </w:r>
          </w:p>
        </w:tc>
        <w:tc>
          <w:tcPr>
            <w:tcW w:type="dxa" w:w="4320"/>
            <w:vAlign w:val="center"/>
          </w:tcPr>
          <w:p>
            <w:r>
              <w:t>PUB-HR-START-001</w:t>
            </w:r>
          </w:p>
        </w:tc>
      </w:tr>
      <w:tr>
        <w:tc>
          <w:tcPr>
            <w:tcW w:type="dxa" w:w="4320"/>
            <w:shd w:fill="E8EEF7"/>
            <w:vAlign w:val="center"/>
          </w:tcPr>
          <w:p>
            <w:r>
              <w:t>Owner</w:t>
            </w:r>
          </w:p>
        </w:tc>
        <w:tc>
          <w:tcPr>
            <w:tcW w:type="dxa" w:w="4320"/>
            <w:vAlign w:val="center"/>
          </w:tcPr>
          <w:p>
            <w:r>
              <w:t>People Operations</w:t>
            </w:r>
          </w:p>
        </w:tc>
      </w:tr>
      <w:tr>
        <w:tc>
          <w:tcPr>
            <w:tcW w:type="dxa" w:w="4320"/>
            <w:shd w:fill="E8EEF7"/>
            <w:vAlign w:val="center"/>
          </w:tcPr>
          <w:p>
            <w:r>
              <w:t>Classification</w:t>
            </w:r>
          </w:p>
        </w:tc>
        <w:tc>
          <w:tcPr>
            <w:tcW w:type="dxa" w:w="4320"/>
            <w:vAlign w:val="center"/>
          </w:tcPr>
          <w:p>
            <w:r>
              <w:t>PUBLIC_INTERNAL</w:t>
            </w:r>
          </w:p>
        </w:tc>
      </w:tr>
      <w:tr>
        <w:tc>
          <w:tcPr>
            <w:tcW w:type="dxa" w:w="4320"/>
            <w:shd w:fill="E8EEF7"/>
            <w:vAlign w:val="center"/>
          </w:tcPr>
          <w:p>
            <w:r>
              <w:t>Access Scope</w:t>
            </w:r>
          </w:p>
        </w:tc>
        <w:tc>
          <w:tcPr>
            <w:tcW w:type="dxa" w:w="4320"/>
            <w:vAlign w:val="center"/>
          </w:tcPr>
          <w:p>
            <w:r>
              <w:t>ALL_AUTHENTICATED_EMPLOYEES</w:t>
            </w:r>
          </w:p>
        </w:tc>
      </w:tr>
      <w:tr>
        <w:tc>
          <w:tcPr>
            <w:tcW w:type="dxa" w:w="4320"/>
            <w:shd w:fill="E8EEF7"/>
            <w:vAlign w:val="center"/>
          </w:tcPr>
          <w:p>
            <w:r>
              <w:t>Effective Date</w:t>
            </w:r>
          </w:p>
        </w:tc>
        <w:tc>
          <w:tcPr>
            <w:tcW w:type="dxa" w:w="4320"/>
            <w:vAlign w:val="center"/>
          </w:tcPr>
          <w:p>
            <w:r>
              <w:t>2026-04-01</w:t>
            </w:r>
          </w:p>
        </w:tc>
      </w:tr>
    </w:tbl>
    <w:p>
      <w:pPr>
        <w:pStyle w:val="Heading1"/>
      </w:pPr>
      <w:r>
        <w:t>First Week</w:t>
      </w:r>
    </w:p>
    <w:p>
      <w:r>
        <w:t>Complete identity verification, security training, payroll setup, and required policy acknowledgements. Your manager should confirm your first-week goals and introduce you to the team operating cadence.</w:t>
      </w:r>
    </w:p>
    <w:p>
      <w:r>
        <w:t>Set up the approved communication tools, calendar profile, development environment if required, and access to the systems relevant to your role.</w:t>
      </w:r>
    </w:p>
    <w:p>
      <w:pPr>
        <w:pStyle w:val="Heading1"/>
      </w:pPr>
      <w:r>
        <w:t>Where to Find Information</w:t>
      </w:r>
    </w:p>
    <w:p>
      <w:r>
        <w:t>Use the company knowledge portal for policies and general information. Department-specific systems remain the source of truth for operational details owned by a specific function.</w:t>
      </w:r>
    </w:p>
    <w:p>
      <w:r>
        <w:t>If information appears inconsistent, ask the document owner or department administrator to confirm which source is current.</w:t>
      </w:r>
    </w:p>
    <w:p>
      <w:pPr>
        <w:pStyle w:val="Heading1"/>
      </w:pPr>
      <w:r>
        <w:t>Security Basics</w:t>
      </w:r>
    </w:p>
    <w:p>
      <w:r>
        <w:t>Do not share company credentials, API keys, or restricted documents through personal accounts. Report suspicious messages or access anomalies using the security reporting workflow.</w:t>
      </w:r>
    </w:p>
    <w:p>
      <w:pPr>
        <w:pStyle w:val="Heading1"/>
      </w:pPr>
      <w:r>
        <w:t>Getting Help</w:t>
      </w:r>
    </w:p>
    <w:p>
      <w:r>
        <w:t>People questions go to People Operations, technical access issues go to Technology, finance questions go to Finance, and general operating questions can be routed through your manager.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Synthetic prototype corpus - not real company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Monk-E Technologies Pvt. Ltd. | PUBLIC_INTERNAL | PUB-HR-START-001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