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Incident Response Runbook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/>
            <w:vAlign w:val="center"/>
          </w:tcPr>
          <w:p>
            <w:r>
              <w:t>Document ID</w:t>
            </w:r>
          </w:p>
        </w:tc>
        <w:tc>
          <w:tcPr>
            <w:tcW w:type="dxa" w:w="4320"/>
            <w:vAlign w:val="center"/>
          </w:tcPr>
          <w:p>
            <w:r>
              <w:t>TECH-RUN-021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Owner</w:t>
            </w:r>
          </w:p>
        </w:tc>
        <w:tc>
          <w:tcPr>
            <w:tcW w:type="dxa" w:w="4320"/>
            <w:vAlign w:val="center"/>
          </w:tcPr>
          <w:p>
            <w:r>
              <w:t>SRE / Platform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Classification</w:t>
            </w:r>
          </w:p>
        </w:tc>
        <w:tc>
          <w:tcPr>
            <w:tcW w:type="dxa" w:w="4320"/>
            <w:vAlign w:val="center"/>
          </w:tcPr>
          <w:p>
            <w:r>
              <w:t>INTERNAL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Access Scope</w:t>
            </w:r>
          </w:p>
        </w:tc>
        <w:tc>
          <w:tcPr>
            <w:tcW w:type="dxa" w:w="4320"/>
            <w:vAlign w:val="center"/>
          </w:tcPr>
          <w:p>
            <w:r>
              <w:t>CEO, CTO, COFOUNDER, TECHNOLOGY_DEPARTMENT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Effective Date</w:t>
            </w:r>
          </w:p>
        </w:tc>
        <w:tc>
          <w:tcPr>
            <w:tcW w:type="dxa" w:w="4320"/>
            <w:vAlign w:val="center"/>
          </w:tcPr>
          <w:p>
            <w:r>
              <w:t>2026-08-05</w:t>
            </w:r>
          </w:p>
        </w:tc>
      </w:tr>
    </w:tbl>
    <w:p>
      <w:pPr>
        <w:pStyle w:val="Heading1"/>
      </w:pPr>
      <w:r>
        <w:t>Severity Model</w:t>
      </w:r>
    </w:p>
    <w:p>
      <w:r>
        <w:t>SEV-1 covers major customer or security impact requiring immediate coordination. SEV-2 covers significant degradation with a viable workaround. SEV-3 covers limited-impact issues that can be handled within normal operating hours.</w:t>
      </w:r>
    </w:p>
    <w:p>
      <w:r>
        <w:t>The incident commander owns coordination; the technical lead owns mitigation steps; the communications owner maintains the incident timeline.</w:t>
      </w:r>
    </w:p>
    <w:p>
      <w:pPr>
        <w:pStyle w:val="Heading1"/>
      </w:pPr>
      <w:r>
        <w:t>First 15 Minutes</w:t>
      </w:r>
    </w:p>
    <w:p>
      <w:r>
        <w:t>Confirm the signal, establish the incident channel, assign an incident commander, capture the current impact statement, and preserve relevant logs and request identifiers.</w:t>
      </w:r>
    </w:p>
    <w:p>
      <w:r>
        <w:t>Do not delete or rotate evidence needed to understand the failure. If a security incident is suspected, preserve access logs before making broad changes.</w:t>
      </w:r>
    </w:p>
    <w:p>
      <w:pPr>
        <w:pStyle w:val="Heading1"/>
      </w:pPr>
      <w:r>
        <w:t>Recovery</w:t>
      </w:r>
    </w:p>
    <w:p>
      <w:r>
        <w:t>Prefer reversible mitigations that reduce user impact while preserving evidence. Validate service health with both technical signals and a representative end-to-end request before closing the incident.</w:t>
      </w:r>
    </w:p>
    <w:p>
      <w:pPr>
        <w:pStyle w:val="Heading1"/>
      </w:pPr>
      <w:r>
        <w:t>Postmortem</w:t>
      </w:r>
    </w:p>
    <w:p>
      <w:r>
        <w:t>Within five business days, document what happened, contributing factors, customer impact, detection gaps, and concrete prevention actions. Avoid blame-oriented language; focus on system conditions and controls.</w:t>
      </w:r>
    </w:p>
    <w:p>
      <w:pPr>
        <w:pStyle w:val="Heading1"/>
      </w:pPr>
      <w:r>
        <w:t>Incident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/>
          </w:tcPr>
          <w:p>
            <w:r>
              <w:t>Role</w:t>
            </w:r>
          </w:p>
        </w:tc>
        <w:tc>
          <w:tcPr>
            <w:tcW w:type="dxa" w:w="4320"/>
            <w:shd w:fill="E8EEF7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Incident Commander</w:t>
            </w:r>
          </w:p>
        </w:tc>
        <w:tc>
          <w:tcPr>
            <w:tcW w:type="dxa" w:w="4320"/>
          </w:tcPr>
          <w:p>
            <w:r>
              <w:t>Coordination and decisions</w:t>
            </w:r>
          </w:p>
        </w:tc>
      </w:tr>
      <w:tr>
        <w:tc>
          <w:tcPr>
            <w:tcW w:type="dxa" w:w="4320"/>
          </w:tcPr>
          <w:p>
            <w:r>
              <w:t>Technical Lead</w:t>
            </w:r>
          </w:p>
        </w:tc>
        <w:tc>
          <w:tcPr>
            <w:tcW w:type="dxa" w:w="4320"/>
          </w:tcPr>
          <w:p>
            <w:r>
              <w:t>Diagnosis and mitigation</w:t>
            </w:r>
          </w:p>
        </w:tc>
      </w:tr>
      <w:tr>
        <w:tc>
          <w:tcPr>
            <w:tcW w:type="dxa" w:w="4320"/>
          </w:tcPr>
          <w:p>
            <w:r>
              <w:t>Communications</w:t>
            </w:r>
          </w:p>
        </w:tc>
        <w:tc>
          <w:tcPr>
            <w:tcW w:type="dxa" w:w="4320"/>
          </w:tcPr>
          <w:p>
            <w:r>
              <w:t>Timeline and stakeholder updates</w:t>
            </w:r>
          </w:p>
        </w:tc>
      </w:tr>
      <w:tr>
        <w:tc>
          <w:tcPr>
            <w:tcW w:type="dxa" w:w="4320"/>
          </w:tcPr>
          <w:p>
            <w:r>
              <w:t>Scribe</w:t>
            </w:r>
          </w:p>
        </w:tc>
        <w:tc>
          <w:tcPr>
            <w:tcW w:type="dxa" w:w="4320"/>
          </w:tcPr>
          <w:p>
            <w:r>
              <w:t>Evidence and action tracking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prototype corpus - not real company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Monk-E Technologies Pvt. Ltd. | INTERNAL | TECH-RUN-021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