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🛡  SafeHer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aac4e8"/>
                <w:sz w:val="24"/>
                <w:szCs w:val="24"/>
              </w:rPr>
              <w:t xml:space="preserve">Real-Time Women Safety Navigation — Demo Script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7a9ec4"/>
                <w:sz w:val="18"/>
                <w:szCs w:val="18"/>
              </w:rPr>
              <w:t xml:space="preserve">Chicago Crime Dataset  ·  LightGBM  ·  R² = 0.9997  ·  14,129 Grid Cells  ·  React + Google Maps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dce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36"/>
                <w:szCs w:val="36"/>
              </w:rPr>
              <w:t xml:space="preserve">8.4M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Crime incidents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2001–2025</w:t>
            </w:r>
          </w:p>
        </w:tc>
        <w:tc>
          <w:tcPr>
            <w:tcW w:type="dxa" w:w="234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dce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36"/>
                <w:szCs w:val="36"/>
              </w:rPr>
              <w:t xml:space="preserve">14,129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200m grid cells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across Chicago</w:t>
            </w:r>
          </w:p>
        </w:tc>
        <w:tc>
          <w:tcPr>
            <w:tcW w:type="dxa" w:w="234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dce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36"/>
                <w:szCs w:val="36"/>
              </w:rPr>
              <w:t xml:space="preserve">0.9997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R² spatial model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(LightGBM)</w:t>
            </w:r>
          </w:p>
        </w:tc>
        <w:tc>
          <w:tcPr>
            <w:tcW w:type="dxa" w:w="234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dce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36"/>
                <w:szCs w:val="36"/>
              </w:rPr>
              <w:t xml:space="preserve">~1s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Heatmap regen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vs 90s CNN-LSTM</w:t>
            </w:r>
          </w:p>
        </w:tc>
      </w:tr>
    </w:tbl>
    <w:p>
      <w:pPr>
        <w:spacing w:before="0" w:after="280"/>
      </w:pPr>
    </w:p>
    <w:p>
      <w:pPr>
        <w:pBdr>
          <w:bottom w:val="single" w:color="1a3c6e" w:sz="8" w:space="1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  Pre-Demo Setup  (Do before judges arrive)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e3c" w:sz="12"/>
              <w:left w:val="single" w:color="1a6e3c" w:sz="12"/>
              <w:bottom w:val="single" w:color="1a6e3c" w:sz="2"/>
              <w:right w:val="single" w:color="1a6e3c" w:sz="2"/>
            </w:tcBorders>
            <w:shd w:fill="dceee4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6e3c"/>
                <w:sz w:val="17"/>
                <w:szCs w:val="17"/>
              </w:rPr>
              <w:t xml:space="preserve">Backend — Terminal 1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6e3c"/>
                <w:sz w:val="19"/>
                <w:szCs w:val="19"/>
              </w:rPr>
              <w:t xml:space="preserve">cd backend &amp;&amp; python app.py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Expected output: 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[risk_grid] Ready — 14,129 grid cells in lookup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e3c" w:sz="12"/>
              <w:left w:val="single" w:color="1a6e3c" w:sz="12"/>
              <w:bottom w:val="single" w:color="1a6e3c" w:sz="2"/>
              <w:right w:val="single" w:color="1a6e3c" w:sz="2"/>
            </w:tcBorders>
            <w:shd w:fill="dceee4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6e3c"/>
                <w:sz w:val="17"/>
                <w:szCs w:val="17"/>
              </w:rPr>
              <w:t xml:space="preserve">Frontend — Terminal 2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6e3c"/>
                <w:sz w:val="19"/>
                <w:szCs w:val="19"/>
              </w:rPr>
              <w:t xml:space="preserve">cd frontend &amp;&amp; npm start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Open: </w:t>
            </w:r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http://localhost:3000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2"/>
              <w:left w:val="single" w:color="888888" w:sz="12"/>
              <w:bottom w:val="single" w:color="888888" w:sz="2"/>
              <w:right w:val="single" w:color="888888" w:sz="2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Browser — Pre-load state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✔  Heatmap tab open  ·  Hour slider at 11PM (23)  ·  Day = Friday</w:t>
            </w:r>
          </w:p>
        </w:tc>
      </w:tr>
    </w:tbl>
    <w:p>
      <w:pPr>
        <w:spacing w:before="0" w:after="280"/>
      </w:pPr>
    </w:p>
    <w:p>
      <w:pPr>
        <w:pBdr>
          <w:bottom w:val="single" w:color="1a3c6e" w:sz="8" w:space="1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  Live Demo Steps  (7 minutes total)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PART A — Dynamic Temporal Heatmap  (2.5 min)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6840"/>
        <w:gridCol w:w="200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Open the app — heatmap loads at current hour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Point out: red zones over Austin (Community Area 25), South Side, West Side. Say: “This is Chicago’s live risk landscape right now.”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e3c"/>
                <w:sz w:val="18"/>
                <w:szCs w:val="18"/>
              </w:rPr>
              <w:t xml:space="preserve">0:00–0:30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6840"/>
        <w:gridCol w:w="200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Drag hour slider to 11PM Friday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Red zones intensify. High-risk cell count visible in top-left chip jumps. Say: “The model updates the entire city’s risk grid in under one second.”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e3c"/>
                <w:sz w:val="18"/>
                <w:szCs w:val="18"/>
              </w:rPr>
              <w:t xml:space="preserve">0:30–1:00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6840"/>
        <w:gridCol w:w="200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Drag slider back to 9AM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Red zones shrink, most city turns green. Say: “The same spatial model, the same grid — only the temporal multiplier changes. This is 100× faster than CNN-LSTM approaches.”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e3c"/>
                <w:sz w:val="18"/>
                <w:szCs w:val="18"/>
              </w:rPr>
              <w:t xml:space="preserve">1:00–1:45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6840"/>
        <w:gridCol w:w="200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Click the day buttons: Fri → Mon → Sat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 heatmap changing across days. Sat midnight = highest multiplier (1.507×). Say: “We have 168 time slots — every hour of every day of the week.”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e3c"/>
                <w:sz w:val="18"/>
                <w:szCs w:val="18"/>
              </w:rPr>
              <w:t xml:space="preserve">1:45–2:30</w:t>
            </w:r>
          </w:p>
        </w:tc>
      </w:tr>
    </w:tbl>
    <w:p>
      <w:pPr>
        <w:spacing w:before="0" w:after="1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PART B — Safe Route Recommendation  (3 min)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6840"/>
        <w:gridCol w:w="200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Switch to Safe Route tab  —  set hour to 11PM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Click demo preset: “Downtown → Wicker Park”. Say: “Same hour, same model, now applied to routing.”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e3c"/>
                <w:sz w:val="18"/>
                <w:szCs w:val="18"/>
              </w:rPr>
              <w:t xml:space="preserve">2:30–3:00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6840"/>
        <w:gridCol w:w="200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Routes appear — three coloured polylines on map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Point to the green route (RECOMMENDED badge). Say: “Google returns 3 alternative paths. We score every waypoint on each path using the same LightGBM model the heatmap uses — that’s the unified risk architecture.”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e3c"/>
                <w:sz w:val="18"/>
                <w:szCs w:val="18"/>
              </w:rPr>
              <w:t xml:space="preserve">3:00–4:00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6840"/>
        <w:gridCol w:w="200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Click the red route card — it highlights on the map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Compare risk score bars. Say: “Route 3 passes through Austin — you can see it crossing the red zone on the heatmap. Route 1 avoids it entirely. Same model, consistent scores.”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e3c"/>
                <w:sz w:val="18"/>
                <w:szCs w:val="18"/>
              </w:rPr>
              <w:t xml:space="preserve">4:00–4:45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6840"/>
        <w:gridCol w:w="200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Change hour to 9AM — click Find again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Risk scores drop across all routes. Say: “At 9AM the same journey scores as safe. The route recommendation is time-aware, not just distance-aware.”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e3c"/>
                <w:sz w:val="18"/>
                <w:szCs w:val="18"/>
              </w:rPr>
              <w:t xml:space="preserve">4:45–5:30</w:t>
            </w:r>
          </w:p>
        </w:tc>
      </w:tr>
    </w:tbl>
    <w:p>
      <w:pPr>
        <w:spacing w:before="0" w:after="1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PART C — Model Credibility  (1.5 min)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6840"/>
        <w:gridCol w:w="200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Point to Model Info panel in sidebar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Read out: R² = 0.9997, 14,129 grid cells, 168 temporal slots. Say: “The spatial model was trained on 8.4 million incidents from 2001–2025. Each 200m cell gets its own danger score.”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e3c"/>
                <w:sz w:val="18"/>
                <w:szCs w:val="18"/>
              </w:rPr>
              <w:t xml:space="preserve">5:30–6:00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6840"/>
        <w:gridCol w:w="200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Mention the architecture (say, do not code)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Say: “Risk = spatial danger × temporal multiplier. ML handles the spatial generalisation — predicting danger for cells with sparse data by learning from nearby cells. The temporal multiplier is a direct empirical lookup from violent crime rates — no ML needed, it’s just a fact about when crime happens.”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e3c"/>
                <w:sz w:val="18"/>
                <w:szCs w:val="18"/>
              </w:rPr>
              <w:t xml:space="preserve">6:00–7:00</w:t>
            </w:r>
          </w:p>
        </w:tc>
      </w:tr>
    </w:tbl>
    <w:p>
      <w:pPr>
        <w:spacing w:before="0" w:after="280"/>
      </w:pPr>
    </w:p>
    <w:p>
      <w:pPr>
        <w:pBdr>
          <w:bottom w:val="single" w:color="1a3c6e" w:sz="8" w:space="1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  Anticipated Judge Questions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6e" w:sz="12"/>
              <w:left w:val="single" w:color="1a3c6e" w:sz="12"/>
              <w:bottom w:val="single" w:color="1a3c6e" w:sz="2"/>
              <w:right w:val="single" w:color="1a3c6e" w:sz="2"/>
            </w:tcBorders>
            <w:shd w:fill="dce6f1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Q: Why LightGBM and not a deep learning model?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A: LightGBM scores 14,129 grid cells in under 1 second. A CNN-LSTM at equivalent resolution takes ~90 seconds. Real-time hourly regeneration is physically impossible with deep learning at this scale. LightGBM also achieves R² = 0.9997 — there is no accuracy gap to justify the inference cost.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6e" w:sz="12"/>
              <w:left w:val="single" w:color="1a3c6e" w:sz="12"/>
              <w:bottom w:val="single" w:color="1a3c6e" w:sz="2"/>
              <w:right w:val="single" w:color="1a3c6e" w:sz="2"/>
            </w:tcBorders>
            <w:shd w:fill="dce6f1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Q: How do you define ‘risk’ — isn’t it subjective?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A: Risk is the Crime Danger Index percentile: CDI = violent_rate × log(crime_count). Violent crimes are those with severity ≥3 (battery, assault, robbery, homicide). Converting to a percentile rank gives a uniform 0–1 distribution: a score of 0.9 means this cell is more dangerous than 90% of all cells in Chicago. It is empirical, not subjective.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e3c" w:sz="12"/>
              <w:left w:val="single" w:color="1a6e3c" w:sz="12"/>
              <w:bottom w:val="single" w:color="1a6e3c" w:sz="2"/>
              <w:right w:val="single" w:color="1a6e3c" w:sz="2"/>
            </w:tcBorders>
            <w:shd w:fill="dceee4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6e3c"/>
                <w:sz w:val="17"/>
                <w:szCs w:val="17"/>
              </w:rPr>
              <w:t xml:space="preserve">Q: What stops the heatmap from showing biased results?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A: We use reported incidents, not arrest records, which reduces over-policing bias. Risk is shown as a relative percentile, not an absolute count — so heavily-policed areas do not automatically appear more dangerous than areas with equivalent crime but less policing. We acknowledge this as a limitation in the paper and propose fairness constraints as future work.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e3c" w:sz="12"/>
              <w:left w:val="single" w:color="1a6e3c" w:sz="12"/>
              <w:bottom w:val="single" w:color="1a6e3c" w:sz="2"/>
              <w:right w:val="single" w:color="1a6e3c" w:sz="2"/>
            </w:tcBorders>
            <w:shd w:fill="dceee4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6e3c"/>
                <w:sz w:val="17"/>
                <w:szCs w:val="17"/>
              </w:rPr>
              <w:t xml:space="preserve">Q: Why Chicago? Does this generalise?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A: Chicago’s open data portal provides the longest, most complete geo-timestamped crime dataset publicly available — 8.4M incidents over 24 years. The architecture generalises to any city with similar open crime data. The preprocess and train pipeline requires only a CSV with latitude, longitude, datetime, and crime type.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5c00" w:sz="12"/>
              <w:left w:val="single" w:color="7a5c00" w:sz="12"/>
              <w:bottom w:val="single" w:color="7a5c00" w:sz="2"/>
              <w:right w:val="single" w:color="7a5c00" w:sz="2"/>
            </w:tcBorders>
            <w:shd w:fill="fef9e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7"/>
                <w:szCs w:val="17"/>
              </w:rPr>
              <w:t xml:space="preserve">Q: Isn’t the R² = 0.9997 suspiciously high?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A: The spatial target is a CDI percentile rank, which is a deterministic function of the training data. The model is learning a smooth mapping from spatial features (location, crime density, violent rate) to a rank score. High R² on a rank target is expected — it confirms the features are sufficient to determine relative danger. The meaningful metric is HR Precision = 0.992: of cells predicted as top-30% most dangerous, 99.2% actually are.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5c00" w:sz="12"/>
              <w:left w:val="single" w:color="7a5c00" w:sz="12"/>
              <w:bottom w:val="single" w:color="7a5c00" w:sz="2"/>
              <w:right w:val="single" w:color="7a5c00" w:sz="2"/>
            </w:tcBorders>
            <w:shd w:fill="fef9e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7"/>
                <w:szCs w:val="17"/>
              </w:rPr>
              <w:t xml:space="preserve">Q: How does the route scoring work exactly?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A: Google Directions returns up to 3 alternative polylines (with alternatives=true). Each polyline is decoded into (lat, lon) waypoints. We sample every 5th waypoint, build a spatial feature vector for each, run LightGBM predict(), multiply by the temporal multiplier, and average across all waypoints. Routes are sorted by avg_risk ascending. The safest route is always index 0.</w:t>
            </w:r>
          </w:p>
        </w:tc>
      </w:tr>
    </w:tbl>
    <w:p>
      <w:pPr>
        <w:spacing w:before="0" w:after="80"/>
      </w:pPr>
    </w:p>
    <w:p>
      <w:pPr>
        <w:spacing w:before="0" w:after="200"/>
      </w:pPr>
    </w:p>
    <w:p>
      <w:pPr>
        <w:pBdr>
          <w:bottom w:val="single" w:color="1a3c6e" w:sz="8" w:space="1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  Novel Contributions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800"/>
        <w:gridCol w:w="50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Contribution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52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CDI percentile target</w:t>
            </w:r>
          </w:p>
        </w:tc>
        <w:tc>
          <w:tcPr>
            <w:tcW w:type="dxa" w:w="504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Resolves class imbalance + label ambiguity. Makes spatial risk learnable (R² = 0.9997 vs 0.17 with naive target).</w:t>
            </w:r>
          </w:p>
        </w:tc>
      </w:tr>
      <w:tr>
        <w:tc>
          <w:tcPr>
            <w:tcW w:type="dxa" w:w="52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Unified risk grid</w:t>
            </w:r>
          </w:p>
        </w:tc>
        <w:tc>
          <w:tcPr>
            <w:tcW w:type="dxa" w:w="504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Heatmap colours and route scores use identical computation. First such guarantee in the literature.</w:t>
            </w:r>
          </w:p>
        </w:tc>
      </w:tr>
      <w:tr>
        <w:tc>
          <w:tcPr>
            <w:tcW w:type="dxa" w:w="52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Two-component model</w:t>
            </w:r>
          </w:p>
        </w:tc>
        <w:tc>
          <w:tcPr>
            <w:tcW w:type="dxa" w:w="504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Spatial ML + temporal lookup. Enables &lt;1s heatmap regen vs 90s for CNN-LSTM.</w:t>
            </w:r>
          </w:p>
        </w:tc>
      </w:tr>
      <w:tr>
        <w:tc>
          <w:tcPr>
            <w:tcW w:type="dxa" w:w="52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13-feature engineering</w:t>
            </w:r>
          </w:p>
        </w:tc>
        <w:tc>
          <w:tcPr>
            <w:tcW w:type="dxa" w:w="504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Violent rate, rolling 7-day rate, distance to police, location type — all derived from public data.</w:t>
            </w:r>
          </w:p>
        </w:tc>
      </w:tr>
      <w:tr>
        <w:tc>
          <w:tcPr>
            <w:tcW w:type="dxa" w:w="52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Dynamic temporal heatmap</w:t>
            </w:r>
          </w:p>
        </w:tc>
        <w:tc>
          <w:tcPr>
            <w:tcW w:type="dxa" w:w="504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City risk landscape visibly changes hour-by-hour. No prior women-safety system demonstrates this.</w:t>
            </w:r>
          </w:p>
        </w:tc>
      </w:tr>
    </w:tbl>
    <w:p>
      <w:pPr>
        <w:spacing w:before="0" w:after="280"/>
      </w:pPr>
    </w:p>
    <w:p>
      <w:pPr>
        <w:pBdr>
          <w:bottom w:val="single" w:color="1a3c6e" w:sz="8" w:space="1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  Demo Do’s and Don’ts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e3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  DO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1a1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✖  DON’T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dceee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4a2e"/>
                <w:sz w:val="19"/>
                <w:szCs w:val="19"/>
              </w:rPr>
              <w:t xml:space="preserve">Say ‘same model powers both heatmap and routes’ — this is Novel Contribution 2</w:t>
            </w:r>
          </w:p>
        </w:tc>
        <w:tc>
          <w:tcPr>
            <w:tcW w:type="dxa" w:w="468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a1a1a"/>
                <w:sz w:val="19"/>
                <w:szCs w:val="19"/>
              </w:rPr>
              <w:t xml:space="preserve">Open code editor or terminal during demo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dceee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4a2e"/>
                <w:sz w:val="19"/>
                <w:szCs w:val="19"/>
              </w:rPr>
              <w:t xml:space="preserve">Drag slider slowly — let judges see the heatmap animate</w:t>
            </w:r>
          </w:p>
        </w:tc>
        <w:tc>
          <w:tcPr>
            <w:tcW w:type="dxa" w:w="468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a1a1a"/>
                <w:sz w:val="19"/>
                <w:szCs w:val="19"/>
              </w:rPr>
              <w:t xml:space="preserve">Apologise for load time — it’s fast by design (&lt;1s)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dceee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4a2e"/>
                <w:sz w:val="19"/>
                <w:szCs w:val="19"/>
              </w:rPr>
              <w:t xml:space="preserve">Use the demo presets — Downtown→Wicker Park is clearest</w:t>
            </w:r>
          </w:p>
        </w:tc>
        <w:tc>
          <w:tcPr>
            <w:tcW w:type="dxa" w:w="468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a1a1a"/>
                <w:sz w:val="19"/>
                <w:szCs w:val="19"/>
              </w:rPr>
              <w:t xml:space="preserve">Claim the system predicts future crime — it models historical risk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dceee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4a2e"/>
                <w:sz w:val="19"/>
                <w:szCs w:val="19"/>
              </w:rPr>
              <w:t xml:space="preserve">Mention the 8.4M training incidents unprompted</w:t>
            </w:r>
          </w:p>
        </w:tc>
        <w:tc>
          <w:tcPr>
            <w:tcW w:type="dxa" w:w="468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a1a1a"/>
                <w:sz w:val="19"/>
                <w:szCs w:val="19"/>
              </w:rPr>
              <w:t xml:space="preserve">Open the API endpoints directly — use the UI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dceee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4a2e"/>
                <w:sz w:val="19"/>
                <w:szCs w:val="19"/>
              </w:rPr>
              <w:t xml:space="preserve">Let judges drag the slider themselves</w:t>
            </w:r>
          </w:p>
        </w:tc>
        <w:tc>
          <w:tcPr>
            <w:tcW w:type="dxa" w:w="4680"/>
            <w:tcBorders>
              <w:top w:val="single" w:color="CCCCCC" w:sz="2"/>
              <w:left w:val="none" w:color="FFFFFF" w:sz="0"/>
              <w:bottom w:val="single" w:color="CCCCCC" w:sz="2"/>
              <w:right w:val="none" w:color="FFFFFF" w:sz="0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a1a1a"/>
                <w:sz w:val="19"/>
                <w:szCs w:val="19"/>
              </w:rPr>
              <w:t xml:space="preserve">Tab-switch rapidly — let each view settle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1"/>
                <w:szCs w:val="21"/>
              </w:rPr>
              <w:t xml:space="preserve">“SafeHer is the first system to guarantee that what you see on the heatmap and what the route recommender knows are the same number — computed from the same model, at the same time.”</w:t>
            </w:r>
          </w:p>
        </w:tc>
      </w:tr>
    </w:tbl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spacing w:after="0"/>
    </w:pPr>
    <w:r>
      <w:rPr>
        <w:rFonts w:ascii="Arial" w:cs="Arial" w:eastAsia="Arial" w:hAnsi="Arial"/>
        <w:color w:val="888888"/>
        <w:sz w:val="17"/>
        <w:szCs w:val="17"/>
      </w:rPr>
      <w:t xml:space="preserve">SafeHer — Demo Script for Evaluators / Judges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2026-03-27T18:26:25.901Z</dcterms:created>
  <dcterms:modified xsi:type="dcterms:W3CDTF">2026-03-27T18:26:25.903Z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