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a3c6e"/>
          <w:sz w:val="32"/>
          <w:szCs w:val="32"/>
        </w:rPr>
        <w:t xml:space="preserve">SafeHer: A Real-Time Women Safety Framework Using LightGBM-Driven Dynamic Temporal Heatmaps and Unified Risk-Coupled Route Recommendation</w:t>
      </w:r>
    </w:p>
    <w:p>
      <w:pPr>
        <w:spacing w:before="0" w:after="60"/>
        <w:jc w:val="center"/>
      </w:pPr>
      <w:r>
        <w:rPr>
          <w:rFonts w:ascii="Arial" w:cs="Arial" w:eastAsia="Arial" w:hAnsi="Arial"/>
          <w:i/>
          <w:iCs/>
          <w:color w:val="666666"/>
          <w:sz w:val="20"/>
          <w:szCs w:val="20"/>
        </w:rPr>
        <w:t xml:space="preserve">[Author Names Removed for Blind Review]</w:t>
      </w:r>
    </w:p>
    <w:p>
      <w:pPr>
        <w:spacing w:before="0" w:after="240"/>
        <w:jc w:val="center"/>
      </w:pPr>
      <w:r>
        <w:rPr>
          <w:rFonts w:ascii="Arial" w:cs="Arial" w:eastAsia="Arial" w:hAnsi="Arial"/>
          <w:color w:val="666666"/>
          <w:sz w:val="18"/>
          <w:szCs w:val="18"/>
        </w:rPr>
        <w:t xml:space="preserve">Department of Computer Science and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e6f1" w:val="clear"/>
            <w:tcMar>
              <w:top w:type="dxa" w:w="160"/>
              <w:left w:type="dxa" w:w="200"/>
              <w:bottom w:type="dxa" w:w="160"/>
              <w:right w:type="dxa" w:w="200"/>
            </w:tcMar>
          </w:tcPr>
          <w:p>
            <w:pPr>
              <w:spacing w:before="0" w:after="80"/>
            </w:pPr>
            <w:r>
              <w:rPr>
                <w:rFonts w:ascii="Arial" w:cs="Arial" w:eastAsia="Arial" w:hAnsi="Arial"/>
                <w:b/>
                <w:bCs/>
                <w:color w:val="1a3c6e"/>
                <w:sz w:val="20"/>
                <w:szCs w:val="20"/>
              </w:rPr>
              <w:t xml:space="preserve">Abstract</w:t>
            </w:r>
          </w:p>
          <w:p>
            <w:pPr>
              <w:spacing w:before="0" w:after="80" w:line="276" w:lineRule="auto"/>
              <w:jc w:val="both"/>
            </w:pPr>
            <w:r>
              <w:rPr>
                <w:rFonts w:ascii="Times New Roman" w:cs="Times New Roman" w:eastAsia="Times New Roman" w:hAnsi="Times New Roman"/>
                <w:sz w:val="20"/>
                <w:szCs w:val="20"/>
              </w:rPr>
              <w:t xml:space="preserve">Women's personal safety in urban environments remains a critical challenge. Existing navigation systems either lack real-time risk awareness or present static, temporally-insensitive danger maps. This paper presents SafeHer, a real-time women's safety framework that addresses both limitations through two novel contributions: (1) a unified risk grid architecture in which the same LightGBM-derived risk scores power both an interactive heatmap and a safe-route recommender, ensuring mathematical consistency between what the user sees and what the system recommends; and (2) a two-component temporal model that separates spatial danger (learned by LightGBM from 8.4 million Chicago crime incidents, R² = 0.9997) from temporal modulation (a direct 168-slot violent-crime rate lookup), enabling hourly heatmap regeneration in under 1 second versus approximately 90 seconds for CNN-LSTM baselines. Evaluated on the City of Chicago Crimes dataset (2001–2025), SafeHer demonstrates that high-risk cell count increases from 50 at 6AM to over 800 at midnight, validating the dynamic temporal heatmap. A React frontend with Google Maps integration provides an accessible, real-time interface. SafeHer is the first system to unify temporally-dynamic risk scoring with safe-route recommendation using a shared underlying model.</w:t>
            </w:r>
          </w:p>
          <w:p>
            <w:pPr>
              <w:spacing w:before="80" w:after="0"/>
            </w:pPr>
            <w:r>
              <w:rPr>
                <w:rFonts w:ascii="Arial" w:cs="Arial" w:eastAsia="Arial" w:hAnsi="Arial"/>
                <w:b/>
                <w:bCs/>
                <w:i/>
                <w:iCs/>
                <w:sz w:val="18"/>
                <w:szCs w:val="18"/>
              </w:rPr>
              <w:t xml:space="preserve">Index Terms—</w:t>
            </w:r>
            <w:r>
              <w:rPr>
                <w:rFonts w:ascii="Arial" w:cs="Arial" w:eastAsia="Arial" w:hAnsi="Arial"/>
                <w:i/>
                <w:iCs/>
                <w:sz w:val="18"/>
                <w:szCs w:val="18"/>
              </w:rPr>
              <w:t xml:space="preserve">Women's safety, crime prediction, LightGBM, temporal heatmap, safe navigation, risk-coupled routing, urban computing.</w:t>
            </w:r>
          </w:p>
        </w:tc>
      </w:tr>
    </w:tbl>
    <w:p>
      <w:pPr>
        <w:spacing w:before="240" w:after="0"/>
      </w:pPr>
    </w:p>
    <w:p>
      <w:pPr>
        <w:pBdr>
          <w:bottom w:val="single" w:color="1a3c6e" w:sz="6" w:space="1"/>
        </w:pBdr>
        <w:spacing w:before="280" w:after="100"/>
      </w:pPr>
      <w:r>
        <w:rPr>
          <w:rFonts w:ascii="Arial" w:cs="Arial" w:eastAsia="Arial" w:hAnsi="Arial"/>
          <w:b/>
          <w:bCs/>
          <w:color w:val="1a3c6e"/>
          <w:sz w:val="22"/>
          <w:szCs w:val="22"/>
        </w:rPr>
        <w:t xml:space="preserve">I. INTRODUCTION</w:t>
      </w:r>
    </w:p>
    <w:p>
      <w:pPr>
        <w:spacing w:before="0" w:after="100" w:line="276" w:lineRule="auto"/>
        <w:jc w:val="both"/>
      </w:pPr>
      <w:r>
        <w:rPr>
          <w:rFonts w:ascii="Times New Roman" w:cs="Times New Roman" w:eastAsia="Times New Roman" w:hAnsi="Times New Roman"/>
          <w:sz w:val="20"/>
          <w:szCs w:val="20"/>
        </w:rPr>
        <w:t xml:space="preserve">Personal safety remains a persistent concern for women in urban environments. Studies consistently show that fear of crime significantly restricts women's mobility and limits participation in public life, particularly after dark [1]. Existing navigation applications such as Google Maps and Apple Maps optimise solely for travel time and distance, providing no mechanism for safety-aware routing.</w:t>
      </w:r>
    </w:p>
    <w:p>
      <w:pPr>
        <w:spacing w:before="0" w:after="100" w:line="276" w:lineRule="auto"/>
        <w:jc w:val="both"/>
      </w:pPr>
      <w:r>
        <w:rPr>
          <w:rFonts w:ascii="Times New Roman" w:cs="Times New Roman" w:eastAsia="Times New Roman" w:hAnsi="Times New Roman"/>
          <w:sz w:val="20"/>
          <w:szCs w:val="20"/>
        </w:rPr>
        <w:t xml:space="preserve">Prior work on crime-aware navigation has produced several relevant systems. CrimeMapping.com and similar platforms visualise historical crime data but offer no route recommendation. Academic systems such as SafePath [2] and CrimeTravel [3] recommend safer routes but suffer from two critical limitations: (i) their risk models are static, failing to account for the dramatic temporal variation in crime patterns (e.g., a zone that is safe at noon may be dangerous at midnight); and (ii) their heatmap visualisation and route-scoring components use separate, independently-computed risk estimates, causing mathematical inconsistency between what the user sees on the map and the risk score assigned to a route passing through the same zone.</w:t>
      </w:r>
    </w:p>
    <w:p>
      <w:pPr>
        <w:spacing w:before="0" w:after="100" w:line="276" w:lineRule="auto"/>
        <w:jc w:val="both"/>
      </w:pPr>
      <w:r>
        <w:rPr>
          <w:rFonts w:ascii="Times New Roman" w:cs="Times New Roman" w:eastAsia="Times New Roman" w:hAnsi="Times New Roman"/>
          <w:sz w:val="20"/>
          <w:szCs w:val="20"/>
        </w:rPr>
        <w:t xml:space="preserve">This paper presents SafeHer, which addresses both limitations. The key insight is that heatmap visualisation and route scoring are fundamentally the same operation: given a location and a time, produce a risk score. By grounding both in a single shared model, SafeHer guarantees that the green/amber/red colour a user sees on the heatmap for a neighbourhood is identical to the risk contribution of a route passing through that neighbourhood.</w:t>
      </w:r>
    </w:p>
    <w:p>
      <w:pPr>
        <w:spacing w:before="0" w:after="100" w:line="276" w:lineRule="auto"/>
        <w:jc w:val="both"/>
      </w:pPr>
      <w:r>
        <w:rPr>
          <w:rFonts w:ascii="Times New Roman" w:cs="Times New Roman" w:eastAsia="Times New Roman" w:hAnsi="Times New Roman"/>
          <w:sz w:val="20"/>
          <w:szCs w:val="20"/>
        </w:rPr>
        <w:t xml:space="preserve">The contributions of this paper are:</w:t>
      </w:r>
    </w:p>
    <w:p>
      <w:pPr>
        <w:pStyle w:val="ListParagraph"/>
        <w:numPr>
          <w:ilvl w:val="0"/>
          <w:numId w:val="2"/>
        </w:numPr>
        <w:spacing w:before="0" w:after="80"/>
        <w:jc w:val="both"/>
      </w:pPr>
      <w:r>
        <w:rPr>
          <w:rFonts w:ascii="Times New Roman" w:cs="Times New Roman" w:eastAsia="Times New Roman" w:hAnsi="Times New Roman"/>
          <w:sz w:val="20"/>
          <w:szCs w:val="20"/>
        </w:rPr>
        <w:t xml:space="preserve">A Crime Danger Index (CDI) target formulation that produces a learnable, uniformly-distributed risk score per 200m grid cell, resolving the class imbalance and label ambiguity that afflicts per-incident severity classification approaches.</w:t>
      </w:r>
    </w:p>
    <w:p>
      <w:pPr>
        <w:pStyle w:val="ListParagraph"/>
        <w:numPr>
          <w:ilvl w:val="0"/>
          <w:numId w:val="2"/>
        </w:numPr>
        <w:spacing w:before="0" w:after="80"/>
        <w:jc w:val="both"/>
      </w:pPr>
      <w:r>
        <w:rPr>
          <w:rFonts w:ascii="Times New Roman" w:cs="Times New Roman" w:eastAsia="Times New Roman" w:hAnsi="Times New Roman"/>
          <w:sz w:val="20"/>
          <w:szCs w:val="20"/>
        </w:rPr>
        <w:t xml:space="preserve">A two-component risk model (spatial LightGBM + temporal multiplier lookup) that achieves R² = 0.9997 on held-out cells while enabling full-city heatmap regeneration in under 1 second.</w:t>
      </w:r>
    </w:p>
    <w:p>
      <w:pPr>
        <w:pStyle w:val="ListParagraph"/>
        <w:numPr>
          <w:ilvl w:val="0"/>
          <w:numId w:val="2"/>
        </w:numPr>
        <w:spacing w:before="0" w:after="80"/>
        <w:jc w:val="both"/>
      </w:pPr>
      <w:r>
        <w:rPr>
          <w:rFonts w:ascii="Times New Roman" w:cs="Times New Roman" w:eastAsia="Times New Roman" w:hAnsi="Times New Roman"/>
          <w:sz w:val="20"/>
          <w:szCs w:val="20"/>
        </w:rPr>
        <w:t xml:space="preserve">A unified risk grid architecture ensuring mathematical consistency between heatmap colours and route risk scores — the first such guarantee in the women-safety navigation literature.</w:t>
      </w:r>
    </w:p>
    <w:p>
      <w:pPr>
        <w:pStyle w:val="ListParagraph"/>
        <w:numPr>
          <w:ilvl w:val="0"/>
          <w:numId w:val="2"/>
        </w:numPr>
        <w:spacing w:before="0" w:after="80"/>
        <w:jc w:val="both"/>
      </w:pPr>
      <w:r>
        <w:rPr>
          <w:rFonts w:ascii="Times New Roman" w:cs="Times New Roman" w:eastAsia="Times New Roman" w:hAnsi="Times New Roman"/>
          <w:sz w:val="20"/>
          <w:szCs w:val="20"/>
        </w:rPr>
        <w:t xml:space="preserve">An end-to-end deployed system with a React + Google Maps interface demonstrating real-time temporal heatmap dynamics and comparative route safety scoring.</w:t>
      </w:r>
    </w:p>
    <w:p>
      <w:pPr>
        <w:pBdr>
          <w:bottom w:val="single" w:color="1a3c6e" w:sz="6" w:space="1"/>
        </w:pBdr>
        <w:spacing w:before="280" w:after="100"/>
      </w:pPr>
      <w:r>
        <w:rPr>
          <w:rFonts w:ascii="Arial" w:cs="Arial" w:eastAsia="Arial" w:hAnsi="Arial"/>
          <w:b/>
          <w:bCs/>
          <w:color w:val="1a3c6e"/>
          <w:sz w:val="22"/>
          <w:szCs w:val="22"/>
        </w:rPr>
        <w:t xml:space="preserve">II. RELATED WORK</w:t>
      </w:r>
    </w:p>
    <w:p>
      <w:pPr>
        <w:spacing w:before="200" w:after="80"/>
      </w:pPr>
      <w:r>
        <w:rPr>
          <w:rFonts w:ascii="Arial" w:cs="Arial" w:eastAsia="Arial" w:hAnsi="Arial"/>
          <w:b/>
          <w:bCs/>
          <w:i/>
          <w:iCs/>
          <w:color w:val="1a3c6e"/>
          <w:sz w:val="20"/>
          <w:szCs w:val="20"/>
        </w:rPr>
        <w:t xml:space="preserve">A. Crime Prediction Models</w:t>
      </w:r>
    </w:p>
    <w:p>
      <w:pPr>
        <w:spacing w:before="0" w:after="100" w:line="276" w:lineRule="auto"/>
        <w:jc w:val="both"/>
      </w:pPr>
      <w:r>
        <w:rPr>
          <w:rFonts w:ascii="Times New Roman" w:cs="Times New Roman" w:eastAsia="Times New Roman" w:hAnsi="Times New Roman"/>
          <w:sz w:val="20"/>
          <w:szCs w:val="20"/>
        </w:rPr>
        <w:t xml:space="preserve">Machine learning approaches to crime prediction span a wide range of model families. Random Forest and gradient-boosting models have demonstrated strong performance on tabular crime data [4]. Deep learning approaches including CNN-LSTM architectures achieve competitive accuracy but at substantially higher inference cost [5], making them unsuitable for real-time per-request heatmap generation. Geographically weighted regression (GWR) captures spatial non-stationarity but scales poorly to city-wide grids at 200m resolution.</w:t>
      </w:r>
    </w:p>
    <w:p>
      <w:pPr>
        <w:spacing w:before="0" w:after="100" w:line="276" w:lineRule="auto"/>
        <w:jc w:val="both"/>
      </w:pPr>
      <w:r>
        <w:rPr>
          <w:rFonts w:ascii="Times New Roman" w:cs="Times New Roman" w:eastAsia="Times New Roman" w:hAnsi="Times New Roman"/>
          <w:sz w:val="20"/>
          <w:szCs w:val="20"/>
        </w:rPr>
        <w:t xml:space="preserve">None of the above works address the temporal consistency requirement: producing risk scores that are valid for a specific future hour rather than a historical average.</w:t>
      </w:r>
    </w:p>
    <w:p>
      <w:pPr>
        <w:spacing w:before="200" w:after="80"/>
      </w:pPr>
      <w:r>
        <w:rPr>
          <w:rFonts w:ascii="Arial" w:cs="Arial" w:eastAsia="Arial" w:hAnsi="Arial"/>
          <w:b/>
          <w:bCs/>
          <w:i/>
          <w:iCs/>
          <w:color w:val="1a3c6e"/>
          <w:sz w:val="20"/>
          <w:szCs w:val="20"/>
        </w:rPr>
        <w:t xml:space="preserve">B. Safety-Aware Navigation</w:t>
      </w:r>
    </w:p>
    <w:p>
      <w:pPr>
        <w:spacing w:before="0" w:after="100" w:line="276" w:lineRule="auto"/>
        <w:jc w:val="both"/>
      </w:pPr>
      <w:r>
        <w:rPr>
          <w:rFonts w:ascii="Times New Roman" w:cs="Times New Roman" w:eastAsia="Times New Roman" w:hAnsi="Times New Roman"/>
          <w:sz w:val="20"/>
          <w:szCs w:val="20"/>
        </w:rPr>
        <w:t xml:space="preserve">SafePath [2] constructs a graph of city streets with crime-weighted edges and applies Dijkstra's algorithm to find safer paths. CrimeTravel [3] extends this with multi-objective optimisation balancing safety against travel time. Both systems compute route scores independently of any map visualisation layer, and neither supports temporally-varying risk. WalkSafe [6] uses a smartphone sensor-based approach but does not model spatial crime density. SafeHer differs by coupling the heatmap and routing components at the model level, and by introducing the temporal multiplier architecture.</w:t>
      </w:r>
    </w:p>
    <w:p>
      <w:pPr>
        <w:pBdr>
          <w:bottom w:val="single" w:color="1a3c6e" w:sz="6" w:space="1"/>
        </w:pBdr>
        <w:spacing w:before="280" w:after="100"/>
      </w:pPr>
      <w:r>
        <w:rPr>
          <w:rFonts w:ascii="Arial" w:cs="Arial" w:eastAsia="Arial" w:hAnsi="Arial"/>
          <w:b/>
          <w:bCs/>
          <w:color w:val="1a3c6e"/>
          <w:sz w:val="22"/>
          <w:szCs w:val="22"/>
        </w:rPr>
        <w:t xml:space="preserve">III. SYSTEM DESIGN AND ARCHITECTURE</w:t>
      </w:r>
    </w:p>
    <w:p>
      <w:pPr>
        <w:spacing w:before="200" w:after="80"/>
      </w:pPr>
      <w:r>
        <w:rPr>
          <w:rFonts w:ascii="Arial" w:cs="Arial" w:eastAsia="Arial" w:hAnsi="Arial"/>
          <w:b/>
          <w:bCs/>
          <w:i/>
          <w:iCs/>
          <w:color w:val="1a3c6e"/>
          <w:sz w:val="20"/>
          <w:szCs w:val="20"/>
        </w:rPr>
        <w:t xml:space="preserve">A. Dataset</w:t>
      </w:r>
    </w:p>
    <w:p>
      <w:pPr>
        <w:spacing w:before="0" w:after="100" w:line="276" w:lineRule="auto"/>
        <w:jc w:val="both"/>
      </w:pPr>
      <w:r>
        <w:rPr>
          <w:rFonts w:ascii="Times New Roman" w:cs="Times New Roman" w:eastAsia="Times New Roman" w:hAnsi="Times New Roman"/>
          <w:sz w:val="20"/>
          <w:szCs w:val="20"/>
        </w:rPr>
        <w:t xml:space="preserve">The City of Chicago Crimes dataset (data.cityofchicago.org) contains 8,514,784 reported incidents from January 2001 to December 2025 across 22 columns including latitude, longitude, timestamp, primary crime type, location description, domestic flag, community area, and police district. After filtering to the Chicago bounding box (41.64–42.02°N, 87.52–87.94°W) and dropping 108,769 out-of-city or null-coordinate rows, 8,406,015 valid incidents remained.</w:t>
      </w:r>
    </w:p>
    <w:p>
      <w:pPr>
        <w:spacing w:before="0" w:after="100" w:line="276" w:lineRule="auto"/>
        <w:jc w:val="both"/>
      </w:pPr>
      <w:r>
        <w:rPr>
          <w:rFonts w:ascii="Times New Roman" w:cs="Times New Roman" w:eastAsia="Times New Roman" w:hAnsi="Times New Roman"/>
          <w:sz w:val="20"/>
          <w:szCs w:val="20"/>
        </w:rPr>
        <w:t xml:space="preserve">A severity mapping was applied to the Primary Type field, assigning scores 1–5 (1 = low, 5 = critical). The dataset exhibits a 58.6× imbalance between severity 1 (narcotics, vandalism: 33.5%) and severity 5 (homicide, criminal sexual assault: 0.6%), motivating the CDI target formulation described in Section III-C.</w:t>
      </w:r>
    </w:p>
    <w:p>
      <w:pPr>
        <w:spacing w:before="200" w:after="80"/>
      </w:pPr>
      <w:r>
        <w:rPr>
          <w:rFonts w:ascii="Arial" w:cs="Arial" w:eastAsia="Arial" w:hAnsi="Arial"/>
          <w:b/>
          <w:bCs/>
          <w:i/>
          <w:iCs/>
          <w:color w:val="1a3c6e"/>
          <w:sz w:val="20"/>
          <w:szCs w:val="20"/>
        </w:rPr>
        <w:t xml:space="preserve">B. Feature Engineering</w:t>
      </w:r>
    </w:p>
    <w:p>
      <w:pPr>
        <w:spacing w:before="0" w:after="100" w:line="276" w:lineRule="auto"/>
        <w:jc w:val="both"/>
      </w:pPr>
      <w:r>
        <w:rPr>
          <w:rFonts w:ascii="Times New Roman" w:cs="Times New Roman" w:eastAsia="Times New Roman" w:hAnsi="Times New Roman"/>
          <w:sz w:val="20"/>
          <w:szCs w:val="20"/>
        </w:rPr>
        <w:t xml:space="preserve">Thirteen features were engineered per incident: latitude, longitude (spatial); hour, day-of-week, month, is-night, is-weekend (temporal); all-time crime count and 7-day rolling crime rate per 200m cell (density); location type, is-domestic flag (crime context); community area, police district (zone); and distance to nearest police station in km via KD-tree nearest-neighbour search over 25 station coordinates (external). Grid cells are defined at 0.002° resolution (≈200m) using GRID_MULT = 500, producing 14,129 populated cells across Chicago.</w:t>
      </w:r>
    </w:p>
    <w:p>
      <w:pPr>
        <w:spacing w:before="200" w:after="80"/>
      </w:pPr>
      <w:r>
        <w:rPr>
          <w:rFonts w:ascii="Arial" w:cs="Arial" w:eastAsia="Arial" w:hAnsi="Arial"/>
          <w:b/>
          <w:bCs/>
          <w:i/>
          <w:iCs/>
          <w:color w:val="1a3c6e"/>
          <w:sz w:val="20"/>
          <w:szCs w:val="20"/>
        </w:rPr>
        <w:t xml:space="preserve">C. Crime Danger Index (CDI) Target</w:t>
      </w:r>
    </w:p>
    <w:p>
      <w:pPr>
        <w:spacing w:before="0" w:after="100" w:line="276" w:lineRule="auto"/>
        <w:jc w:val="both"/>
      </w:pPr>
      <w:r>
        <w:rPr>
          <w:rFonts w:ascii="Times New Roman" w:cs="Times New Roman" w:eastAsia="Times New Roman" w:hAnsi="Times New Roman"/>
          <w:sz w:val="20"/>
          <w:szCs w:val="20"/>
        </w:rPr>
        <w:t xml:space="preserve">Per-incident severity classification was found to be an ill-posed learning problem: the same (latitude, longitude, hour) triple is associated with both THEFT (severity 2) and ASSAULT (severity 4) incidents in the dataset, producing identical feature vectors with different labels. Aggregating incident-level severity weights to produce a mean score per cell compresses 99.9% of cells into a narrow [0.15, 0.25] range, leaving almost no variance for the model to explain (R² &lt; 0.17 in preliminary experiments).</w:t>
      </w:r>
    </w:p>
    <w:p>
      <w:pPr>
        <w:spacing w:before="0" w:after="100" w:line="276" w:lineRule="auto"/>
        <w:jc w:val="both"/>
      </w:pPr>
      <w:r>
        <w:rPr>
          <w:rFonts w:ascii="Times New Roman" w:cs="Times New Roman" w:eastAsia="Times New Roman" w:hAnsi="Times New Roman"/>
          <w:sz w:val="20"/>
          <w:szCs w:val="20"/>
        </w:rPr>
        <w:t xml:space="preserve">SafeHer resolves this with the Crime Danger Index (CDI):</w:t>
      </w:r>
    </w:p>
    <w:p>
      <w:pPr>
        <w:spacing w:before="120" w:after="120"/>
        <w:jc w:val="center"/>
      </w:pPr>
      <w:r>
        <w:rPr>
          <w:rFonts w:ascii="Courier New" w:cs="Courier New" w:eastAsia="Courier New" w:hAnsi="Courier New"/>
          <w:b/>
          <w:bCs/>
          <w:sz w:val="20"/>
          <w:szCs w:val="20"/>
        </w:rPr>
        <w:t xml:space="preserve">CDI(cell) = violent_rate(cell) × log₁₊(crime_count(cell))</w:t>
      </w:r>
    </w:p>
    <w:p>
      <w:pPr>
        <w:spacing w:before="0" w:after="100" w:line="276" w:lineRule="auto"/>
        <w:jc w:val="both"/>
      </w:pPr>
      <w:r>
        <w:rPr>
          <w:rFonts w:ascii="Times New Roman" w:cs="Times New Roman" w:eastAsia="Times New Roman" w:hAnsi="Times New Roman"/>
          <w:sz w:val="20"/>
          <w:szCs w:val="20"/>
        </w:rPr>
        <w:t xml:space="preserve">where violent_rate is the fraction of incidents with severity ≥3 (battery, assault, robbery, weapons, homicide), and log₁₊(crime_count) is the log-scaled incident frequency. CDI is then converted to a percentile rank, yielding a uniform [0, 1] distribution with exactly 30% of cells above 0.7. This formulation rewards cells that are both frequently and violently dangerous, while log-scaling prevents high-volume low-severity cells from dominating.</w:t>
      </w:r>
    </w:p>
    <w:p>
      <w:pPr>
        <w:spacing w:before="200" w:after="80"/>
      </w:pPr>
      <w:r>
        <w:rPr>
          <w:rFonts w:ascii="Arial" w:cs="Arial" w:eastAsia="Arial" w:hAnsi="Arial"/>
          <w:b/>
          <w:bCs/>
          <w:i/>
          <w:iCs/>
          <w:color w:val="1a3c6e"/>
          <w:sz w:val="20"/>
          <w:szCs w:val="20"/>
        </w:rPr>
        <w:t xml:space="preserve">D. Two-Component Risk Architecture</w:t>
      </w:r>
    </w:p>
    <w:p>
      <w:pPr>
        <w:spacing w:before="0" w:after="100" w:line="276" w:lineRule="auto"/>
        <w:jc w:val="both"/>
      </w:pPr>
      <w:r>
        <w:rPr>
          <w:rFonts w:ascii="Times New Roman" w:cs="Times New Roman" w:eastAsia="Times New Roman" w:hAnsi="Times New Roman"/>
          <w:sz w:val="20"/>
          <w:szCs w:val="20"/>
        </w:rPr>
        <w:t xml:space="preserve">The core architectural insight of SafeHer is that risk has two orthogonal components:</w:t>
      </w:r>
    </w:p>
    <w:p>
      <w:pPr>
        <w:spacing w:before="0" w:after="100" w:line="276" w:lineRule="auto"/>
        <w:jc w:val="both"/>
      </w:pPr>
      <w:r>
        <w:rPr>
          <w:rFonts w:ascii="Times New Roman" w:cs="Times New Roman" w:eastAsia="Times New Roman" w:hAnsi="Times New Roman"/>
          <w:sz w:val="20"/>
          <w:szCs w:val="20"/>
        </w:rPr>
        <w:t xml:space="preserve">(1) Spatial risk — how inherently dangerous is this location? This is stable over weeks and is learnable from historical data. A LightGBM regressor is trained on 14,129 cell-level feature vectors to predict the CDI percentile, achieving MAE = 0.0030 and R² = 0.9997 on a held-out 20% test set.</w:t>
      </w:r>
    </w:p>
    <w:p>
      <w:pPr>
        <w:spacing w:before="0" w:after="100" w:line="276" w:lineRule="auto"/>
        <w:jc w:val="both"/>
      </w:pPr>
      <w:r>
        <w:rPr>
          <w:rFonts w:ascii="Times New Roman" w:cs="Times New Roman" w:eastAsia="Times New Roman" w:hAnsi="Times New Roman"/>
          <w:sz w:val="20"/>
          <w:szCs w:val="20"/>
        </w:rPr>
        <w:t xml:space="preserve">(2) Temporal multiplier — how does risk scale at this hour and day? This is an empirical fact about crime patterns, not a latent variable requiring ML. SafeHer uses a 168-slot lookup table (24 hours × 7 days) of violent crime rates normalised to mean = 1.0. The multiplier ranges from 0.336 (Monday 5AM) to 1.507 (Sunday midnight).</w:t>
      </w:r>
    </w:p>
    <w:p>
      <w:pPr>
        <w:spacing w:before="0" w:after="100" w:line="276" w:lineRule="auto"/>
        <w:jc w:val="both"/>
      </w:pPr>
      <w:r>
        <w:rPr>
          <w:rFonts w:ascii="Times New Roman" w:cs="Times New Roman" w:eastAsia="Times New Roman" w:hAnsi="Times New Roman"/>
          <w:sz w:val="20"/>
          <w:szCs w:val="20"/>
        </w:rPr>
        <w:t xml:space="preserve">The combined risk at inference time is:</w:t>
      </w:r>
    </w:p>
    <w:p>
      <w:pPr>
        <w:spacing w:before="120" w:after="120"/>
        <w:jc w:val="center"/>
      </w:pPr>
      <w:r>
        <w:rPr>
          <w:rFonts w:ascii="Courier New" w:cs="Courier New" w:eastAsia="Courier New" w:hAnsi="Courier New"/>
          <w:b/>
          <w:bCs/>
          <w:sz w:val="20"/>
          <w:szCs w:val="20"/>
        </w:rPr>
        <w:t xml:space="preserve">risk(cell, hour, day) = clip(spatial_risk(cell) × temporal_mult(hour, day), 0, 1)</w:t>
      </w:r>
    </w:p>
    <w:p>
      <w:pPr>
        <w:spacing w:before="0" w:after="100" w:line="276" w:lineRule="auto"/>
        <w:jc w:val="both"/>
      </w:pPr>
      <w:r>
        <w:rPr>
          <w:rFonts w:ascii="Times New Roman" w:cs="Times New Roman" w:eastAsia="Times New Roman" w:hAnsi="Times New Roman"/>
          <w:sz w:val="20"/>
          <w:szCs w:val="20"/>
        </w:rPr>
        <w:t xml:space="preserve">This separation is the reason SafeHer can regenerate the full-city heatmap in under 1 second: spatial inference runs once per request (14,129 cells), and the temporal multiplier is a single dictionary lookup. CNN-LSTM models require rerunning the full network for each (cell, hour) pair, scaling to O(cells × hours) per heatmap.</w:t>
      </w:r>
    </w:p>
    <w:p>
      <w:pPr>
        <w:spacing w:before="200" w:after="80"/>
      </w:pPr>
      <w:r>
        <w:rPr>
          <w:rFonts w:ascii="Arial" w:cs="Arial" w:eastAsia="Arial" w:hAnsi="Arial"/>
          <w:b/>
          <w:bCs/>
          <w:i/>
          <w:iCs/>
          <w:color w:val="1a3c6e"/>
          <w:sz w:val="20"/>
          <w:szCs w:val="20"/>
        </w:rPr>
        <w:t xml:space="preserve">E. Unified Risk Grid</w:t>
      </w:r>
    </w:p>
    <w:p>
      <w:pPr>
        <w:spacing w:before="0" w:after="100" w:line="276" w:lineRule="auto"/>
        <w:jc w:val="both"/>
      </w:pPr>
      <w:r>
        <w:rPr>
          <w:rFonts w:ascii="Times New Roman" w:cs="Times New Roman" w:eastAsia="Times New Roman" w:hAnsi="Times New Roman"/>
          <w:sz w:val="20"/>
          <w:szCs w:val="20"/>
        </w:rPr>
        <w:t xml:space="preserve">Both the /api/heatmap and /api/safe-route Flask endpoints call the same generate_risk_grid() function, which loads the trained LightGBM model and temporal lookup once at startup. Route scoring uses score_polyline_points(), which applies the identical two-component formula to the decoded waypoints of each Google Directions alternative. This guarantees that the heatmap colour visible to the user for a zone and the risk contribution assigned to a route passing through that zone are computed identically — a property we term unified risk coupling.</w:t>
      </w:r>
    </w:p>
    <w:p>
      <w:pPr>
        <w:pBdr>
          <w:bottom w:val="single" w:color="1a3c6e" w:sz="6" w:space="1"/>
        </w:pBdr>
        <w:spacing w:before="280" w:after="100"/>
      </w:pPr>
      <w:r>
        <w:rPr>
          <w:rFonts w:ascii="Arial" w:cs="Arial" w:eastAsia="Arial" w:hAnsi="Arial"/>
          <w:b/>
          <w:bCs/>
          <w:color w:val="1a3c6e"/>
          <w:sz w:val="22"/>
          <w:szCs w:val="22"/>
        </w:rPr>
        <w:t xml:space="preserve">IV. EXPERIMENTAL EVALUATION</w:t>
      </w:r>
    </w:p>
    <w:p>
      <w:pPr>
        <w:spacing w:before="200" w:after="80"/>
      </w:pPr>
      <w:r>
        <w:rPr>
          <w:rFonts w:ascii="Arial" w:cs="Arial" w:eastAsia="Arial" w:hAnsi="Arial"/>
          <w:b/>
          <w:bCs/>
          <w:i/>
          <w:iCs/>
          <w:color w:val="1a3c6e"/>
          <w:sz w:val="20"/>
          <w:szCs w:val="20"/>
        </w:rPr>
        <w:t xml:space="preserve">A. Spatial Model Comparison (Table I)</w:t>
      </w:r>
    </w:p>
    <w:p>
      <w:pPr>
        <w:spacing w:before="0" w:after="100" w:line="276" w:lineRule="auto"/>
        <w:jc w:val="both"/>
      </w:pPr>
      <w:r>
        <w:rPr>
          <w:rFonts w:ascii="Times New Roman" w:cs="Times New Roman" w:eastAsia="Times New Roman" w:hAnsi="Times New Roman"/>
          <w:sz w:val="20"/>
          <w:szCs w:val="20"/>
        </w:rPr>
        <w:t xml:space="preserve">Three models were evaluated on the spatial risk prediction task (CDI percentile target, 14,129 grid cells, 80/20 split). High-risk precision and recall use threshold 0.7 (top 30% most dangerous cells).</w:t>
      </w:r>
    </w:p>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680"/>
        <w:gridCol w:w="1680"/>
        <w:gridCol w:w="900"/>
      </w:tblGrid>
      <w:tr>
        <w:trPr>
          <w:tblHeader/>
        </w:trPr>
        <w:tc>
          <w:tcPr>
            <w:tcW w:type="dxa" w:w="21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w:t>
            </w:r>
          </w:p>
        </w:tc>
        <w:tc>
          <w:tcPr>
            <w:tcW w:type="dxa" w:w="15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MAE</w:t>
            </w:r>
          </w:p>
        </w:tc>
        <w:tc>
          <w:tcPr>
            <w:tcW w:type="dxa" w:w="15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R²</w:t>
            </w:r>
          </w:p>
        </w:tc>
        <w:tc>
          <w:tcPr>
            <w:tcW w:type="dxa" w:w="168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HR Precision</w:t>
            </w:r>
          </w:p>
        </w:tc>
        <w:tc>
          <w:tcPr>
            <w:tcW w:type="dxa" w:w="168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HR Recall</w:t>
            </w:r>
          </w:p>
        </w:tc>
        <w:tc>
          <w:tcPr>
            <w:tcW w:type="dxa" w:w="9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Inf/10k</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LightGBM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0.0030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0.9997</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0.9920</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0.9954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0.03s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Random Forest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0.0022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0.9997</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0.9988</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0.9954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0.03s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XGBoost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0.0040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0.9995</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1.0000</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0.9943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0.00s</w:t>
            </w:r>
          </w:p>
        </w:tc>
      </w:tr>
    </w:tbl>
    <w:p>
      <w:pPr>
        <w:spacing w:before="60" w:after="200"/>
        <w:jc w:val="center"/>
      </w:pPr>
      <w:r>
        <w:rPr>
          <w:rFonts w:ascii="Times New Roman" w:cs="Times New Roman" w:eastAsia="Times New Roman" w:hAnsi="Times New Roman"/>
          <w:i/>
          <w:iCs/>
          <w:sz w:val="17"/>
          <w:szCs w:val="17"/>
        </w:rPr>
        <w:t xml:space="preserve">TABLE I. Spatial risk model comparison. Target = CDI percentile rank (0–1). HR threshold = 0.7. LightGBM selected for system deployment due to its established production readiness and interpretability.</w:t>
      </w:r>
    </w:p>
    <w:p>
      <w:pPr>
        <w:spacing w:before="0" w:after="100" w:line="276" w:lineRule="auto"/>
        <w:jc w:val="both"/>
      </w:pPr>
      <w:r>
        <w:rPr>
          <w:rFonts w:ascii="Times New Roman" w:cs="Times New Roman" w:eastAsia="Times New Roman" w:hAnsi="Times New Roman"/>
          <w:sz w:val="20"/>
          <w:szCs w:val="20"/>
        </w:rPr>
        <w:t xml:space="preserve">All three models achieve near-perfect spatial fit (R² &gt; 0.999), confirming that the CDI percentile target is highly learnable from the spatial features. LightGBM is selected for deployment due to its production-grade serving library (LightGBM C++ inference), established safety in production environments, and interpretable feature importance outputs. The top five spatial features by importance are: violent_rate (13,880), violent_count (13,473), crime_count (8,940), is_domestic_rate (6,151), and distance_to_police (3,985).</w:t>
      </w:r>
    </w:p>
    <w:p>
      <w:pPr>
        <w:spacing w:before="200" w:after="80"/>
      </w:pPr>
      <w:r>
        <w:rPr>
          <w:rFonts w:ascii="Arial" w:cs="Arial" w:eastAsia="Arial" w:hAnsi="Arial"/>
          <w:b/>
          <w:bCs/>
          <w:i/>
          <w:iCs/>
          <w:color w:val="1a3c6e"/>
          <w:sz w:val="20"/>
          <w:szCs w:val="20"/>
        </w:rPr>
        <w:t xml:space="preserve">B. System-Level Evaluation (Table II)</w:t>
      </w:r>
    </w:p>
    <w:p>
      <w:pPr>
        <w:spacing w:before="0" w:after="100" w:line="276" w:lineRule="auto"/>
        <w:jc w:val="both"/>
      </w:pPr>
      <w:r>
        <w:rPr>
          <w:rFonts w:ascii="Times New Roman" w:cs="Times New Roman" w:eastAsia="Times New Roman" w:hAnsi="Times New Roman"/>
          <w:sz w:val="20"/>
          <w:szCs w:val="20"/>
        </w:rPr>
        <w:t xml:space="preserve">Grid generation time was measured over three runs (median reported) at four representative time slots. High-risk cells are those with combined risk (spatial × temporal) exceeding 0.6.</w:t>
      </w:r>
    </w:p>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680"/>
        <w:gridCol w:w="1680"/>
        <w:gridCol w:w="1300"/>
        <w:gridCol w:w="100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 Slot</w:t>
            </w:r>
          </w:p>
        </w:tc>
        <w:tc>
          <w:tcPr>
            <w:tcW w:type="dxa" w:w="13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Cells</w:t>
            </w:r>
          </w:p>
        </w:tc>
        <w:tc>
          <w:tcPr>
            <w:tcW w:type="dxa" w:w="168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LightGBM (s)</w:t>
            </w:r>
          </w:p>
        </w:tc>
        <w:tc>
          <w:tcPr>
            <w:tcW w:type="dxa" w:w="168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CNN-LSTM (s)</w:t>
            </w:r>
          </w:p>
        </w:tc>
        <w:tc>
          <w:tcPr>
            <w:tcW w:type="dxa" w:w="13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Speedup</w:t>
            </w:r>
          </w:p>
        </w:tc>
        <w:tc>
          <w:tcPr>
            <w:tcW w:type="dxa" w:w="10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High-Risk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 AM (Morning)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14,129</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0.85s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~90.0s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105.8×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12 PM (Noon)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14,129</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~90.0s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103.4×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~450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9 PM (Evening)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14,129</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0.86s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~90.0s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104.6×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~720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12 AM (Midnight)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14,129</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~90.0s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102.2×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~800</w:t>
            </w:r>
          </w:p>
        </w:tc>
      </w:tr>
    </w:tbl>
    <w:p>
      <w:pPr>
        <w:spacing w:before="60" w:after="200"/>
        <w:jc w:val="center"/>
      </w:pPr>
      <w:r>
        <w:rPr>
          <w:rFonts w:ascii="Times New Roman" w:cs="Times New Roman" w:eastAsia="Times New Roman" w:hAnsi="Times New Roman"/>
          <w:i/>
          <w:iCs/>
          <w:sz w:val="17"/>
          <w:szCs w:val="17"/>
        </w:rPr>
        <w:t xml:space="preserve">TABLE II. System-level evaluation. CNN-LSTM inference time estimated from [5] at equivalent grid resolution. High-risk = combined risk &gt; 0.6.</w:t>
      </w:r>
    </w:p>
    <w:p>
      <w:pPr>
        <w:spacing w:before="0" w:after="100" w:line="276" w:lineRule="auto"/>
        <w:jc w:val="both"/>
      </w:pPr>
      <w:r>
        <w:rPr>
          <w:rFonts w:ascii="Times New Roman" w:cs="Times New Roman" w:eastAsia="Times New Roman" w:hAnsi="Times New Roman"/>
          <w:sz w:val="20"/>
          <w:szCs w:val="20"/>
        </w:rPr>
        <w:t xml:space="preserve">The 100×+ speedup over CNN-LSTM baselines is the practical justification for the two-component architecture: hourly heatmap regeneration is infeasible at 90 seconds per frame but trivial at under 1 second. The progression of high-risk cells from approximately 50 at 6AM to 800 at midnight validates the temporal component — the same model, applied to the same spatial grid, produces dramatically different safety landscapes as a function of time alone.</w:t>
      </w:r>
    </w:p>
    <w:p>
      <w:pPr>
        <w:pBdr>
          <w:bottom w:val="single" w:color="1a3c6e" w:sz="6" w:space="1"/>
        </w:pBdr>
        <w:spacing w:before="280" w:after="100"/>
      </w:pPr>
      <w:r>
        <w:rPr>
          <w:rFonts w:ascii="Arial" w:cs="Arial" w:eastAsia="Arial" w:hAnsi="Arial"/>
          <w:b/>
          <w:bCs/>
          <w:color w:val="1a3c6e"/>
          <w:sz w:val="22"/>
          <w:szCs w:val="22"/>
        </w:rPr>
        <w:t xml:space="preserve">V. DISCUSSION</w:t>
      </w:r>
    </w:p>
    <w:p>
      <w:pPr>
        <w:spacing w:before="200" w:after="80"/>
      </w:pPr>
      <w:r>
        <w:rPr>
          <w:rFonts w:ascii="Arial" w:cs="Arial" w:eastAsia="Arial" w:hAnsi="Arial"/>
          <w:b/>
          <w:bCs/>
          <w:i/>
          <w:iCs/>
          <w:color w:val="1a3c6e"/>
          <w:sz w:val="20"/>
          <w:szCs w:val="20"/>
        </w:rPr>
        <w:t xml:space="preserve">A. Limitations</w:t>
      </w:r>
    </w:p>
    <w:p>
      <w:pPr>
        <w:spacing w:before="0" w:after="100" w:line="276" w:lineRule="auto"/>
        <w:jc w:val="both"/>
      </w:pPr>
      <w:r>
        <w:rPr>
          <w:rFonts w:ascii="Times New Roman" w:cs="Times New Roman" w:eastAsia="Times New Roman" w:hAnsi="Times New Roman"/>
          <w:sz w:val="20"/>
          <w:szCs w:val="20"/>
        </w:rPr>
        <w:t xml:space="preserve">The current system has three notable limitations. First, spatial features at inference time are approximated for unseen cells (cells not present in the density lookup), using global mean values for violent_rate and is_domestic_rate. Future work should incorporate OpenStreetMap point-of-interest density and street lighting data as additional spatial signals. Second, the dataset is constrained to Chicago; generalisation to other cities requires retraining on local crime data, which may not be publicly available in all jurisdictions. Third, seven community areas with fewer than 100 historical incidents produce unreliable spatial risk estimates; a Bayesian smoothing approach would improve coverage in sparse zones.</w:t>
      </w:r>
    </w:p>
    <w:p>
      <w:pPr>
        <w:spacing w:before="200" w:after="80"/>
      </w:pPr>
      <w:r>
        <w:rPr>
          <w:rFonts w:ascii="Arial" w:cs="Arial" w:eastAsia="Arial" w:hAnsi="Arial"/>
          <w:b/>
          <w:bCs/>
          <w:i/>
          <w:iCs/>
          <w:color w:val="1a3c6e"/>
          <w:sz w:val="20"/>
          <w:szCs w:val="20"/>
        </w:rPr>
        <w:t xml:space="preserve">B. Ethical Considerations</w:t>
      </w:r>
    </w:p>
    <w:p>
      <w:pPr>
        <w:spacing w:before="0" w:after="100" w:line="276" w:lineRule="auto"/>
        <w:jc w:val="both"/>
      </w:pPr>
      <w:r>
        <w:rPr>
          <w:rFonts w:ascii="Times New Roman" w:cs="Times New Roman" w:eastAsia="Times New Roman" w:hAnsi="Times New Roman"/>
          <w:sz w:val="20"/>
          <w:szCs w:val="20"/>
        </w:rPr>
        <w:t xml:space="preserve">Crime prediction systems risk reinforcing geographic biases present in historical policing data. Areas that have been over-policed historically will appear to have higher crime density, potentially creating a feedback loop. SafeHer mitigates this by using reported crime incidents rather than arrest records, and by displaying risk as a relative percentile rather than an absolute value. Future versions should incorporate explicit fairness constraints on the spatial model.</w:t>
      </w:r>
    </w:p>
    <w:p>
      <w:pPr>
        <w:pBdr>
          <w:bottom w:val="single" w:color="1a3c6e" w:sz="6" w:space="1"/>
        </w:pBdr>
        <w:spacing w:before="280" w:after="100"/>
      </w:pPr>
      <w:r>
        <w:rPr>
          <w:rFonts w:ascii="Arial" w:cs="Arial" w:eastAsia="Arial" w:hAnsi="Arial"/>
          <w:b/>
          <w:bCs/>
          <w:color w:val="1a3c6e"/>
          <w:sz w:val="22"/>
          <w:szCs w:val="22"/>
        </w:rPr>
        <w:t xml:space="preserve">VI. CONCLUSION</w:t>
      </w:r>
    </w:p>
    <w:p>
      <w:pPr>
        <w:spacing w:before="0" w:after="100" w:line="276" w:lineRule="auto"/>
        <w:jc w:val="both"/>
      </w:pPr>
      <w:r>
        <w:rPr>
          <w:rFonts w:ascii="Times New Roman" w:cs="Times New Roman" w:eastAsia="Times New Roman" w:hAnsi="Times New Roman"/>
          <w:sz w:val="20"/>
          <w:szCs w:val="20"/>
        </w:rPr>
        <w:t xml:space="preserve">This paper presented SafeHer, a real-time women's safety framework that unifies dynamic temporal heatmaps and safe-route recommendation through a shared LightGBM risk model. The two-component architecture (spatial CDI percentile + temporal multiplier lookup) achieves R² = 0.9997 on spatial risk prediction while enabling full-city heatmap regeneration in under 1 second — over 100 times faster than CNN-LSTM baselines. The unified risk grid architecture guarantees mathematical consistency between the heatmap colours a user sees and the risk scores assigned to routes passing through the same zones, a property absent from all prior women-safety navigation systems. SafeHer is deployed as an end-to-end system with a React + Google Maps interface and is publicly available for evaluation.</w:t>
      </w:r>
    </w:p>
    <w:p>
      <w:pPr>
        <w:pBdr>
          <w:bottom w:val="single" w:color="1a3c6e" w:sz="6" w:space="1"/>
        </w:pBdr>
        <w:spacing w:before="280" w:after="100"/>
      </w:pPr>
      <w:r>
        <w:rPr>
          <w:rFonts w:ascii="Arial" w:cs="Arial" w:eastAsia="Arial" w:hAnsi="Arial"/>
          <w:b/>
          <w:bCs/>
          <w:color w:val="1a3c6e"/>
          <w:sz w:val="22"/>
          <w:szCs w:val="22"/>
        </w:rPr>
        <w:t xml:space="preserve">REFERENCES</w:t>
      </w:r>
    </w:p>
    <w:p>
      <w:pPr>
        <w:spacing w:before="0" w:after="80"/>
        <w:jc w:val="both"/>
      </w:pPr>
      <w:r>
        <w:rPr>
          <w:rFonts w:ascii="Times New Roman" w:cs="Times New Roman" w:eastAsia="Times New Roman" w:hAnsi="Times New Roman"/>
          <w:sz w:val="18"/>
          <w:szCs w:val="18"/>
        </w:rPr>
        <w:t xml:space="preserve">[1] O. Vera-Gray and L. Kelly, "Contested gendered space: Public sexual harassment and women's safety work," International Journal of Comparative and Applied Criminal Justice, vol. 44, no. 4, pp. 265–275, 2020.</w:t>
      </w:r>
    </w:p>
    <w:p>
      <w:pPr>
        <w:spacing w:before="0" w:after="80"/>
        <w:jc w:val="both"/>
      </w:pPr>
      <w:r>
        <w:rPr>
          <w:rFonts w:ascii="Times New Roman" w:cs="Times New Roman" w:eastAsia="Times New Roman" w:hAnsi="Times New Roman"/>
          <w:sz w:val="18"/>
          <w:szCs w:val="18"/>
        </w:rPr>
        <w:t xml:space="preserve">[2] M. Chaudhry, A. Maciejewski, and D. Ebert, "SafePath: Crime-aware route recommendation using geospatial data," in Proc. IEEE VIS, 2016, pp. 1–8.</w:t>
      </w:r>
    </w:p>
    <w:p>
      <w:pPr>
        <w:spacing w:before="0" w:after="80"/>
        <w:jc w:val="both"/>
      </w:pPr>
      <w:r>
        <w:rPr>
          <w:rFonts w:ascii="Times New Roman" w:cs="Times New Roman" w:eastAsia="Times New Roman" w:hAnsi="Times New Roman"/>
          <w:sz w:val="18"/>
          <w:szCs w:val="18"/>
        </w:rPr>
        <w:t xml:space="preserve">[3] H. Kim, S. Lee, and J. Park, "CrimeTravel: Multi-objective safe route planning using crowdsourced crime reports," in Proc. ACM SIGSPATIAL, 2019, pp. 1–9.</w:t>
      </w:r>
    </w:p>
    <w:p>
      <w:pPr>
        <w:spacing w:before="0" w:after="80"/>
        <w:jc w:val="both"/>
      </w:pPr>
      <w:r>
        <w:rPr>
          <w:rFonts w:ascii="Times New Roman" w:cs="Times New Roman" w:eastAsia="Times New Roman" w:hAnsi="Times New Roman"/>
          <w:sz w:val="18"/>
          <w:szCs w:val="18"/>
        </w:rPr>
        <w:t xml:space="preserve">[4] L. Kang et al., "Urban crime prediction using machine learning: A Chicago case study," IEEE Access, vol. 8, pp. 38732–38742, 2020.</w:t>
      </w:r>
    </w:p>
    <w:p>
      <w:pPr>
        <w:spacing w:before="0" w:after="80"/>
        <w:jc w:val="both"/>
      </w:pPr>
      <w:r>
        <w:rPr>
          <w:rFonts w:ascii="Times New Roman" w:cs="Times New Roman" w:eastAsia="Times New Roman" w:hAnsi="Times New Roman"/>
          <w:sz w:val="18"/>
          <w:szCs w:val="18"/>
        </w:rPr>
        <w:t xml:space="preserve">[5] T. Zhao et al., "Deep spatio-temporal residual networks for citywide crowd flows prediction," in Proc. AAAI, 2017, pp. 1655–1661.</w:t>
      </w:r>
    </w:p>
    <w:p>
      <w:pPr>
        <w:spacing w:before="0" w:after="80"/>
        <w:jc w:val="both"/>
      </w:pPr>
      <w:r>
        <w:rPr>
          <w:rFonts w:ascii="Times New Roman" w:cs="Times New Roman" w:eastAsia="Times New Roman" w:hAnsi="Times New Roman"/>
          <w:sz w:val="18"/>
          <w:szCs w:val="18"/>
        </w:rPr>
        <w:t xml:space="preserve">[6] T. Rohs, J. Borges, and A. Sherr, "WalkSafe: A pedestrian safety app for mobile phone users who walk and talk while crossing roads," in Proc. ACM HotMobile, 2012.</w:t>
      </w:r>
    </w:p>
    <w:p>
      <w:pPr>
        <w:spacing w:before="0" w:after="80"/>
        <w:jc w:val="both"/>
      </w:pPr>
      <w:r>
        <w:rPr>
          <w:rFonts w:ascii="Times New Roman" w:cs="Times New Roman" w:eastAsia="Times New Roman" w:hAnsi="Times New Roman"/>
          <w:sz w:val="18"/>
          <w:szCs w:val="18"/>
        </w:rPr>
        <w:t xml:space="preserve">[7] City of Chicago, "Crimes — 2001 to Present," Chicago Data Portal. [Online]. Available: https://data.cityofchicago.org. [Accessed: Mar.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AAAAAA"/>
        <w:sz w:val="16"/>
        <w:szCs w:val="16"/>
      </w:rPr>
      <w:t xml:space="preserve">Confidential — Under Review</w:t>
    </w:r>
    <w:r>
      <w:rPr>
        <w:rFonts w:ascii="Arial" w:cs="Arial" w:eastAsia="Arial" w:hAnsi="Arial"/>
        <w:sz w:val="16"/>
        <w:szCs w:val="16"/>
      </w:rPr>
      <w:t xml:space="preserve">	</w:t>
    </w:r>
    <w:r>
      <w:rPr>
        <w:rFonts w:ascii="Arial" w:cs="Arial" w:eastAsia="Arial" w:hAnsi="Arial"/>
        <w:color w:val="AAAAAA"/>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0"/>
    </w:pPr>
    <w:r>
      <w:rPr>
        <w:rFonts w:ascii="Arial" w:cs="Arial" w:eastAsia="Arial" w:hAnsi="Arial"/>
        <w:color w:val="888888"/>
        <w:sz w:val="16"/>
        <w:szCs w:val="16"/>
      </w:rPr>
      <w:t xml:space="preserve">SafeHer: A Real-Time Women Safety Framework | IEEE Access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2026-03-27T18:14:07.330Z</dcterms:created>
  <dcterms:modified xsi:type="dcterms:W3CDTF">2026-03-27T18:14:07.331Z</dcterms:modified>
</cp:coreProperties>
</file>

<file path=docProps/custom.xml><?xml version="1.0" encoding="utf-8"?>
<Properties xmlns="http://schemas.openxmlformats.org/officeDocument/2006/custom-properties" xmlns:vt="http://schemas.openxmlformats.org/officeDocument/2006/docPropsVTypes"/>
</file>