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40"/>
        <w:jc w:val="center"/>
      </w:pPr>
      <w:r>
        <w:rPr>
          <w:rFonts w:ascii="Calibri" w:hAnsi="Calibri"/>
          <w:b/>
          <w:color w:val="2E74B5"/>
          <w:sz w:val="20"/>
        </w:rPr>
        <w:t>VOLUME 2</w:t>
      </w:r>
    </w:p>
    <w:p>
      <w:pPr>
        <w:pStyle w:val="Title"/>
        <w:jc w:val="center"/>
      </w:pPr>
      <w:r>
        <w:t>Architecture You Can Feel</w:t>
      </w:r>
    </w:p>
    <w:p>
      <w:pPr>
        <w:pStyle w:val="Subtitle"/>
        <w:jc w:val="center"/>
      </w:pPr>
      <w:r>
        <w:t>Responsibilities, feature boundaries, folder structure, dependency direction, and growth</w:t>
      </w:r>
    </w:p>
    <w:p>
      <w:pPr>
        <w:spacing w:before="400"/>
        <w:jc w:val="center"/>
      </w:pPr>
      <w:r>
        <w:rPr>
          <w:rFonts w:ascii="Calibri" w:hAnsi="Calibri"/>
          <w:i/>
          <w:color w:val="66727D"/>
          <w:sz w:val="22"/>
        </w:rPr>
        <w:t>A beginner-to-engineer rebuild guide grounded in the real repository</w:t>
      </w:r>
    </w:p>
    <w:p>
      <w:pPr>
        <w:spacing w:before="1400"/>
        <w:jc w:val="center"/>
      </w:pPr>
      <w:r>
        <w:rPr>
          <w:rFonts w:ascii="Calibri" w:hAnsi="Calibri"/>
          <w:b/>
          <w:color w:val="1E6B68"/>
          <w:sz w:val="18"/>
        </w:rPr>
        <w:t>PATTERN  &gt;  PRACTICE  &gt;  REPETITION  &gt;  REFINEMENT  &gt;  HABIT</w:t>
      </w:r>
    </w:p>
    <w:p>
      <w:r>
        <w:br w:type="page"/>
      </w:r>
    </w:p>
    <w:p>
      <w:pPr>
        <w:pStyle w:val="Heading1"/>
      </w:pPr>
      <w:r>
        <w:t>Learning Map</w:t>
      </w:r>
    </w:p>
    <w:p>
      <w:pPr>
        <w:keepLines w:val="0"/>
      </w:pPr>
      <w:r>
        <w:rPr>
          <w:rFonts w:ascii="Calibri" w:hAnsi="Calibri"/>
          <w:i w:val="0"/>
          <w:color w:val="202A33"/>
          <w:sz w:val="22"/>
        </w:rPr>
        <w:t>Use this volume as a build session, not passive reading. Type the examples, pause at checkpoints, and keep the architecture questions beside your editor.</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trPr>
        <w:tc>
          <w:tcPr>
            <w:tcW w:type="dxa" w:w="2900"/>
            <w:shd w:fill="E8EEF5"/>
            <w:tcMar>
              <w:top w:w="80" w:type="dxa"/>
              <w:start w:w="120" w:type="dxa"/>
              <w:bottom w:w="80" w:type="dxa"/>
              <w:end w:w="120" w:type="dxa"/>
            </w:tcMar>
            <w:vAlign w:val="center"/>
          </w:tcPr>
          <w:p>
            <w:r>
              <w:rPr>
                <w:rFonts w:ascii="Calibri" w:hAnsi="Calibri"/>
                <w:b/>
                <w:color w:val="17324D"/>
                <w:sz w:val="19"/>
              </w:rPr>
              <w:t>Chapter</w:t>
            </w:r>
          </w:p>
        </w:tc>
        <w:tc>
          <w:tcPr>
            <w:tcW w:type="dxa" w:w="6460"/>
            <w:shd w:fill="E8EEF5"/>
            <w:tcMar>
              <w:top w:w="80" w:type="dxa"/>
              <w:start w:w="120" w:type="dxa"/>
              <w:bottom w:w="80" w:type="dxa"/>
              <w:end w:w="120" w:type="dxa"/>
            </w:tcMar>
            <w:vAlign w:val="center"/>
          </w:tcPr>
          <w:p>
            <w:r>
              <w:rPr>
                <w:rFonts w:ascii="Calibri" w:hAnsi="Calibri"/>
                <w:b/>
                <w:color w:val="17324D"/>
                <w:sz w:val="19"/>
              </w:rPr>
              <w:t>You will learn</w:t>
            </w:r>
          </w:p>
        </w:tc>
      </w:tr>
      <w:tr>
        <w:tc>
          <w:tcPr>
            <w:tcW w:type="dxa" w:w="2900"/>
            <w:tcMar>
              <w:top w:w="80" w:type="dxa"/>
              <w:start w:w="120" w:type="dxa"/>
              <w:bottom w:w="80" w:type="dxa"/>
              <w:end w:w="120" w:type="dxa"/>
            </w:tcMar>
            <w:vAlign w:val="center"/>
          </w:tcPr>
          <w:p>
            <w:r>
              <w:rPr>
                <w:rFonts w:ascii="Calibri" w:hAnsi="Calibri"/>
                <w:color w:val="202A33"/>
                <w:sz w:val="18"/>
              </w:rPr>
              <w:t>1. Read the product as domains</w:t>
            </w:r>
          </w:p>
        </w:tc>
        <w:tc>
          <w:tcPr>
            <w:tcW w:type="dxa" w:w="6460"/>
            <w:tcMar>
              <w:top w:w="80" w:type="dxa"/>
              <w:start w:w="120" w:type="dxa"/>
              <w:bottom w:w="80" w:type="dxa"/>
              <w:end w:w="120" w:type="dxa"/>
            </w:tcMar>
            <w:vAlign w:val="center"/>
          </w:tcPr>
          <w:p>
            <w:r>
              <w:rPr>
                <w:rFonts w:ascii="Calibri" w:hAnsi="Calibri"/>
                <w:color w:val="202A33"/>
                <w:sz w:val="18"/>
              </w:rPr>
              <w:t>Find stable areas of responsibility before choosing folders.</w:t>
            </w:r>
          </w:p>
        </w:tc>
      </w:tr>
      <w:tr>
        <w:tc>
          <w:tcPr>
            <w:tcW w:type="dxa" w:w="2900"/>
            <w:tcMar>
              <w:top w:w="80" w:type="dxa"/>
              <w:start w:w="120" w:type="dxa"/>
              <w:bottom w:w="80" w:type="dxa"/>
              <w:end w:w="120" w:type="dxa"/>
            </w:tcMar>
            <w:vAlign w:val="center"/>
          </w:tcPr>
          <w:p>
            <w:r>
              <w:rPr>
                <w:rFonts w:ascii="Calibri" w:hAnsi="Calibri"/>
                <w:color w:val="202A33"/>
                <w:sz w:val="18"/>
              </w:rPr>
              <w:t>2. Feature-based structure</w:t>
            </w:r>
          </w:p>
        </w:tc>
        <w:tc>
          <w:tcPr>
            <w:tcW w:type="dxa" w:w="6460"/>
            <w:tcMar>
              <w:top w:w="80" w:type="dxa"/>
              <w:start w:w="120" w:type="dxa"/>
              <w:bottom w:w="80" w:type="dxa"/>
              <w:end w:w="120" w:type="dxa"/>
            </w:tcMar>
            <w:vAlign w:val="center"/>
          </w:tcPr>
          <w:p>
            <w:r>
              <w:rPr>
                <w:rFonts w:ascii="Calibri" w:hAnsi="Calibri"/>
                <w:color w:val="202A33"/>
                <w:sz w:val="18"/>
              </w:rPr>
              <w:t>Place code by ownership and explain the compatibility layer.</w:t>
            </w:r>
          </w:p>
        </w:tc>
      </w:tr>
      <w:tr>
        <w:tc>
          <w:tcPr>
            <w:tcW w:type="dxa" w:w="2900"/>
            <w:tcMar>
              <w:top w:w="80" w:type="dxa"/>
              <w:start w:w="120" w:type="dxa"/>
              <w:bottom w:w="80" w:type="dxa"/>
              <w:end w:w="120" w:type="dxa"/>
            </w:tcMar>
            <w:vAlign w:val="center"/>
          </w:tcPr>
          <w:p>
            <w:r>
              <w:rPr>
                <w:rFonts w:ascii="Calibri" w:hAnsi="Calibri"/>
                <w:color w:val="202A33"/>
                <w:sz w:val="18"/>
              </w:rPr>
              <w:t>3. Dependency direction</w:t>
            </w:r>
          </w:p>
        </w:tc>
        <w:tc>
          <w:tcPr>
            <w:tcW w:type="dxa" w:w="6460"/>
            <w:tcMar>
              <w:top w:w="80" w:type="dxa"/>
              <w:start w:w="120" w:type="dxa"/>
              <w:bottom w:w="80" w:type="dxa"/>
              <w:end w:w="120" w:type="dxa"/>
            </w:tcMar>
            <w:vAlign w:val="center"/>
          </w:tcPr>
          <w:p>
            <w:r>
              <w:rPr>
                <w:rFonts w:ascii="Calibri" w:hAnsi="Calibri"/>
                <w:color w:val="202A33"/>
                <w:sz w:val="18"/>
              </w:rPr>
              <w:t>Keep shells, features, data, and shared code loosely coupled.</w:t>
            </w:r>
          </w:p>
        </w:tc>
      </w:tr>
      <w:tr>
        <w:tc>
          <w:tcPr>
            <w:tcW w:type="dxa" w:w="2900"/>
            <w:tcMar>
              <w:top w:w="80" w:type="dxa"/>
              <w:start w:w="120" w:type="dxa"/>
              <w:bottom w:w="80" w:type="dxa"/>
              <w:end w:w="120" w:type="dxa"/>
            </w:tcMar>
            <w:vAlign w:val="center"/>
          </w:tcPr>
          <w:p>
            <w:r>
              <w:rPr>
                <w:rFonts w:ascii="Calibri" w:hAnsi="Calibri"/>
                <w:color w:val="202A33"/>
                <w:sz w:val="18"/>
              </w:rPr>
              <w:t>4. State ownership</w:t>
            </w:r>
          </w:p>
        </w:tc>
        <w:tc>
          <w:tcPr>
            <w:tcW w:type="dxa" w:w="6460"/>
            <w:tcMar>
              <w:top w:w="80" w:type="dxa"/>
              <w:start w:w="120" w:type="dxa"/>
              <w:bottom w:w="80" w:type="dxa"/>
              <w:end w:w="120" w:type="dxa"/>
            </w:tcMar>
            <w:vAlign w:val="center"/>
          </w:tcPr>
          <w:p>
            <w:r>
              <w:rPr>
                <w:rFonts w:ascii="Calibri" w:hAnsi="Calibri"/>
                <w:color w:val="202A33"/>
                <w:sz w:val="18"/>
              </w:rPr>
              <w:t>Choose local state, hooks, or stores deliberately.</w:t>
            </w:r>
          </w:p>
        </w:tc>
      </w:tr>
      <w:tr>
        <w:tc>
          <w:tcPr>
            <w:tcW w:type="dxa" w:w="2900"/>
            <w:tcMar>
              <w:top w:w="80" w:type="dxa"/>
              <w:start w:w="120" w:type="dxa"/>
              <w:bottom w:w="80" w:type="dxa"/>
              <w:end w:w="120" w:type="dxa"/>
            </w:tcMar>
            <w:vAlign w:val="center"/>
          </w:tcPr>
          <w:p>
            <w:r>
              <w:rPr>
                <w:rFonts w:ascii="Calibri" w:hAnsi="Calibri"/>
                <w:color w:val="202A33"/>
                <w:sz w:val="18"/>
              </w:rPr>
              <w:t>5. Refactoring without panic</w:t>
            </w:r>
          </w:p>
        </w:tc>
        <w:tc>
          <w:tcPr>
            <w:tcW w:type="dxa" w:w="6460"/>
            <w:tcMar>
              <w:top w:w="80" w:type="dxa"/>
              <w:start w:w="120" w:type="dxa"/>
              <w:bottom w:w="80" w:type="dxa"/>
              <w:end w:w="120" w:type="dxa"/>
            </w:tcMar>
            <w:vAlign w:val="center"/>
          </w:tcPr>
          <w:p>
            <w:r>
              <w:rPr>
                <w:rFonts w:ascii="Calibri" w:hAnsi="Calibri"/>
                <w:color w:val="202A33"/>
                <w:sz w:val="18"/>
              </w:rPr>
              <w:t>Move boundaries gradually while the app keeps working.</w:t>
            </w:r>
          </w:p>
        </w:tc>
      </w:tr>
    </w:tbl>
    <w:p>
      <w:pPr>
        <w:spacing w:after="20"/>
      </w:pPr>
    </w:p>
    <w:p>
      <w:r>
        <w:br w:type="page"/>
      </w:r>
    </w:p>
    <w:p>
      <w:pPr>
        <w:pStyle w:val="Heading1"/>
      </w:pPr>
      <w:r>
        <w:t>Chapter 1: Read the Product as Domains</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identify architecture from product behavior instead of starting with generic component folders.</w:t>
      </w:r>
    </w:p>
    <w:p>
      <w:pPr>
        <w:spacing w:after="80"/>
      </w:pPr>
      <w:r>
        <w:rPr>
          <w:rFonts w:ascii="Calibri" w:hAnsi="Calibri"/>
          <w:b/>
          <w:color w:val="1E6B68"/>
          <w:sz w:val="19"/>
        </w:rPr>
        <w:t xml:space="preserve">WHAT  </w:t>
      </w:r>
      <w:r>
        <w:rPr>
          <w:rFonts w:ascii="Calibri" w:hAnsi="Calibri"/>
          <w:color w:val="202A33"/>
          <w:sz w:val="22"/>
        </w:rPr>
        <w:t>A domain is a coherent area of product responsibility and language.</w:t>
      </w:r>
    </w:p>
    <w:p>
      <w:pPr>
        <w:spacing w:after="80"/>
      </w:pPr>
      <w:r>
        <w:rPr>
          <w:rFonts w:ascii="Calibri" w:hAnsi="Calibri"/>
          <w:b/>
          <w:color w:val="1E6B68"/>
          <w:sz w:val="19"/>
        </w:rPr>
        <w:t xml:space="preserve">WHY  </w:t>
      </w:r>
      <w:r>
        <w:rPr>
          <w:rFonts w:ascii="Calibri" w:hAnsi="Calibri"/>
          <w:color w:val="202A33"/>
          <w:sz w:val="22"/>
        </w:rPr>
        <w:t>Domains create boundaries that change for one reason and can be understood independently.</w:t>
      </w:r>
    </w:p>
    <w:p>
      <w:pPr>
        <w:spacing w:after="80"/>
      </w:pPr>
      <w:r>
        <w:rPr>
          <w:rFonts w:ascii="Calibri" w:hAnsi="Calibri"/>
          <w:b/>
          <w:color w:val="1E6B68"/>
          <w:sz w:val="19"/>
        </w:rPr>
        <w:t xml:space="preserve">WHEN  </w:t>
      </w:r>
      <w:r>
        <w:rPr>
          <w:rFonts w:ascii="Calibri" w:hAnsi="Calibri"/>
          <w:color w:val="202A33"/>
          <w:sz w:val="22"/>
        </w:rPr>
        <w:t>Look for them when features have their own state, vocabulary, workflows, or growth path.</w:t>
      </w:r>
    </w:p>
    <w:p>
      <w:pPr>
        <w:spacing w:after="80"/>
      </w:pPr>
      <w:r>
        <w:rPr>
          <w:rFonts w:ascii="Calibri" w:hAnsi="Calibri"/>
          <w:b/>
          <w:color w:val="1E6B68"/>
          <w:sz w:val="19"/>
        </w:rPr>
        <w:t xml:space="preserve">WHERE  </w:t>
      </w:r>
      <w:r>
        <w:rPr>
          <w:rFonts w:ascii="Calibri" w:hAnsi="Calibri"/>
          <w:color w:val="202A33"/>
          <w:sz w:val="22"/>
        </w:rPr>
        <w:t>In Macfolio they live mainly under src/features.</w:t>
      </w:r>
    </w:p>
    <w:p>
      <w:pPr>
        <w:spacing w:after="80"/>
      </w:pPr>
      <w:r>
        <w:rPr>
          <w:rFonts w:ascii="Calibri" w:hAnsi="Calibri"/>
          <w:b/>
          <w:color w:val="1E6B68"/>
          <w:sz w:val="19"/>
        </w:rPr>
        <w:t xml:space="preserve">HOW  </w:t>
      </w:r>
      <w:r>
        <w:rPr>
          <w:rFonts w:ascii="Calibri" w:hAnsi="Calibri"/>
          <w:color w:val="202A33"/>
          <w:sz w:val="22"/>
        </w:rPr>
        <w:t>Name the user-visible capability, its data, its decisions, and the other domains it must talk to.</w:t>
      </w:r>
    </w:p>
    <w:tbl>
      <w:tblPr>
        <w:tblStyle w:val="TableGrid"/>
        <w:tblW w:type="dxa" w:w="9360"/>
        <w:jc w:val="left"/>
        <w:tblLayout w:type="fixed"/>
        <w:tblLook w:firstColumn="1" w:firstRow="1" w:lastColumn="0" w:lastRow="0" w:noHBand="0" w:noVBand="1" w:val="04A0"/>
        <w:tblInd w:w="120" w:type="dxa"/>
      </w:tblPr>
      <w:tblGrid>
        <w:gridCol w:w="2000"/>
        <w:gridCol w:w="3700"/>
        <w:gridCol w:w="3660"/>
      </w:tblGrid>
      <w:tr>
        <w:trPr>
          <w:tblHeader w:val="true"/>
        </w:trPr>
        <w:tc>
          <w:tcPr>
            <w:tcW w:type="dxa" w:w="2000"/>
            <w:shd w:fill="E8EEF5"/>
            <w:tcMar>
              <w:top w:w="80" w:type="dxa"/>
              <w:start w:w="120" w:type="dxa"/>
              <w:bottom w:w="80" w:type="dxa"/>
              <w:end w:w="120" w:type="dxa"/>
            </w:tcMar>
            <w:vAlign w:val="center"/>
          </w:tcPr>
          <w:p>
            <w:r>
              <w:rPr>
                <w:rFonts w:ascii="Calibri" w:hAnsi="Calibri"/>
                <w:b/>
                <w:color w:val="17324D"/>
                <w:sz w:val="19"/>
              </w:rPr>
              <w:t>Domain</w:t>
            </w:r>
          </w:p>
        </w:tc>
        <w:tc>
          <w:tcPr>
            <w:tcW w:type="dxa" w:w="3700"/>
            <w:shd w:fill="E8EEF5"/>
            <w:tcMar>
              <w:top w:w="80" w:type="dxa"/>
              <w:start w:w="120" w:type="dxa"/>
              <w:bottom w:w="80" w:type="dxa"/>
              <w:end w:w="120" w:type="dxa"/>
            </w:tcMar>
            <w:vAlign w:val="center"/>
          </w:tcPr>
          <w:p>
            <w:r>
              <w:rPr>
                <w:rFonts w:ascii="Calibri" w:hAnsi="Calibri"/>
                <w:b/>
                <w:color w:val="17324D"/>
                <w:sz w:val="19"/>
              </w:rPr>
              <w:t>Owns</w:t>
            </w:r>
          </w:p>
        </w:tc>
        <w:tc>
          <w:tcPr>
            <w:tcW w:type="dxa" w:w="3660"/>
            <w:shd w:fill="E8EEF5"/>
            <w:tcMar>
              <w:top w:w="80" w:type="dxa"/>
              <w:start w:w="120" w:type="dxa"/>
              <w:bottom w:w="80" w:type="dxa"/>
              <w:end w:w="120" w:type="dxa"/>
            </w:tcMar>
            <w:vAlign w:val="center"/>
          </w:tcPr>
          <w:p>
            <w:r>
              <w:rPr>
                <w:rFonts w:ascii="Calibri" w:hAnsi="Calibri"/>
                <w:b/>
                <w:color w:val="17324D"/>
                <w:sz w:val="19"/>
              </w:rPr>
              <w:t>Does not own</w:t>
            </w:r>
          </w:p>
        </w:tc>
      </w:tr>
      <w:tr>
        <w:tc>
          <w:tcPr>
            <w:tcW w:type="dxa" w:w="2000"/>
            <w:tcMar>
              <w:top w:w="80" w:type="dxa"/>
              <w:start w:w="120" w:type="dxa"/>
              <w:bottom w:w="80" w:type="dxa"/>
              <w:end w:w="120" w:type="dxa"/>
            </w:tcMar>
            <w:vAlign w:val="center"/>
          </w:tcPr>
          <w:p>
            <w:r>
              <w:rPr>
                <w:rFonts w:ascii="Calibri" w:hAnsi="Calibri"/>
                <w:color w:val="202A33"/>
                <w:sz w:val="18"/>
              </w:rPr>
              <w:t>App composition</w:t>
            </w:r>
          </w:p>
        </w:tc>
        <w:tc>
          <w:tcPr>
            <w:tcW w:type="dxa" w:w="3700"/>
            <w:tcMar>
              <w:top w:w="80" w:type="dxa"/>
              <w:start w:w="120" w:type="dxa"/>
              <w:bottom w:w="80" w:type="dxa"/>
              <w:end w:w="120" w:type="dxa"/>
            </w:tcMar>
            <w:vAlign w:val="center"/>
          </w:tcPr>
          <w:p>
            <w:r>
              <w:rPr>
                <w:rFonts w:ascii="Calibri" w:hAnsi="Calibri"/>
                <w:color w:val="202A33"/>
                <w:sz w:val="18"/>
              </w:rPr>
              <w:t>Startup, shell choice, top-level error/loading boundaries.</w:t>
            </w:r>
          </w:p>
        </w:tc>
        <w:tc>
          <w:tcPr>
            <w:tcW w:type="dxa" w:w="3660"/>
            <w:tcMar>
              <w:top w:w="80" w:type="dxa"/>
              <w:start w:w="120" w:type="dxa"/>
              <w:bottom w:w="80" w:type="dxa"/>
              <w:end w:w="120" w:type="dxa"/>
            </w:tcMar>
            <w:vAlign w:val="center"/>
          </w:tcPr>
          <w:p>
            <w:r>
              <w:rPr>
                <w:rFonts w:ascii="Calibri" w:hAnsi="Calibri"/>
                <w:color w:val="202A33"/>
                <w:sz w:val="18"/>
              </w:rPr>
              <w:t>Feature internals.</w:t>
            </w:r>
          </w:p>
        </w:tc>
      </w:tr>
      <w:tr>
        <w:tc>
          <w:tcPr>
            <w:tcW w:type="dxa" w:w="2000"/>
            <w:tcMar>
              <w:top w:w="80" w:type="dxa"/>
              <w:start w:w="120" w:type="dxa"/>
              <w:bottom w:w="80" w:type="dxa"/>
              <w:end w:w="120" w:type="dxa"/>
            </w:tcMar>
            <w:vAlign w:val="center"/>
          </w:tcPr>
          <w:p>
            <w:r>
              <w:rPr>
                <w:rFonts w:ascii="Calibri" w:hAnsi="Calibri"/>
                <w:color w:val="202A33"/>
                <w:sz w:val="18"/>
              </w:rPr>
              <w:t>Desktop shell</w:t>
            </w:r>
          </w:p>
        </w:tc>
        <w:tc>
          <w:tcPr>
            <w:tcW w:type="dxa" w:w="3700"/>
            <w:tcMar>
              <w:top w:w="80" w:type="dxa"/>
              <w:start w:w="120" w:type="dxa"/>
              <w:bottom w:w="80" w:type="dxa"/>
              <w:end w:w="120" w:type="dxa"/>
            </w:tcMar>
            <w:vAlign w:val="center"/>
          </w:tcPr>
          <w:p>
            <w:r>
              <w:rPr>
                <w:rFonts w:ascii="Calibri" w:hAnsi="Calibri"/>
                <w:color w:val="202A33"/>
                <w:sz w:val="18"/>
              </w:rPr>
              <w:t>Dock, navbar, window configuration, window mechanics.</w:t>
            </w:r>
          </w:p>
        </w:tc>
        <w:tc>
          <w:tcPr>
            <w:tcW w:type="dxa" w:w="3660"/>
            <w:tcMar>
              <w:top w:w="80" w:type="dxa"/>
              <w:start w:w="120" w:type="dxa"/>
              <w:bottom w:w="80" w:type="dxa"/>
              <w:end w:w="120" w:type="dxa"/>
            </w:tcMar>
            <w:vAlign w:val="center"/>
          </w:tcPr>
          <w:p>
            <w:r>
              <w:rPr>
                <w:rFonts w:ascii="Calibri" w:hAnsi="Calibri"/>
                <w:color w:val="202A33"/>
                <w:sz w:val="18"/>
              </w:rPr>
              <w:t>Finder file decisions.</w:t>
            </w:r>
          </w:p>
        </w:tc>
      </w:tr>
      <w:tr>
        <w:tc>
          <w:tcPr>
            <w:tcW w:type="dxa" w:w="2000"/>
            <w:tcMar>
              <w:top w:w="80" w:type="dxa"/>
              <w:start w:w="120" w:type="dxa"/>
              <w:bottom w:w="80" w:type="dxa"/>
              <w:end w:w="120" w:type="dxa"/>
            </w:tcMar>
            <w:vAlign w:val="center"/>
          </w:tcPr>
          <w:p>
            <w:r>
              <w:rPr>
                <w:rFonts w:ascii="Calibri" w:hAnsi="Calibri"/>
                <w:color w:val="202A33"/>
                <w:sz w:val="18"/>
              </w:rPr>
              <w:t>Finder</w:t>
            </w:r>
          </w:p>
        </w:tc>
        <w:tc>
          <w:tcPr>
            <w:tcW w:type="dxa" w:w="3700"/>
            <w:tcMar>
              <w:top w:w="80" w:type="dxa"/>
              <w:start w:w="120" w:type="dxa"/>
              <w:bottom w:w="80" w:type="dxa"/>
              <w:end w:w="120" w:type="dxa"/>
            </w:tcMar>
            <w:vAlign w:val="center"/>
          </w:tcPr>
          <w:p>
            <w:r>
              <w:rPr>
                <w:rFonts w:ascii="Calibri" w:hAnsi="Calibri"/>
                <w:color w:val="202A33"/>
                <w:sz w:val="18"/>
              </w:rPr>
              <w:t>Navigation UI and file-open decisions.</w:t>
            </w:r>
          </w:p>
        </w:tc>
        <w:tc>
          <w:tcPr>
            <w:tcW w:type="dxa" w:w="3660"/>
            <w:tcMar>
              <w:top w:w="80" w:type="dxa"/>
              <w:start w:w="120" w:type="dxa"/>
              <w:bottom w:w="80" w:type="dxa"/>
              <w:end w:w="120" w:type="dxa"/>
            </w:tcMar>
            <w:vAlign w:val="center"/>
          </w:tcPr>
          <w:p>
            <w:r>
              <w:rPr>
                <w:rFonts w:ascii="Calibri" w:hAnsi="Calibri"/>
                <w:color w:val="202A33"/>
                <w:sz w:val="18"/>
              </w:rPr>
              <w:t>Raw GitHub requests.</w:t>
            </w:r>
          </w:p>
        </w:tc>
      </w:tr>
      <w:tr>
        <w:tc>
          <w:tcPr>
            <w:tcW w:type="dxa" w:w="2000"/>
            <w:tcMar>
              <w:top w:w="80" w:type="dxa"/>
              <w:start w:w="120" w:type="dxa"/>
              <w:bottom w:w="80" w:type="dxa"/>
              <w:end w:w="120" w:type="dxa"/>
            </w:tcMar>
            <w:vAlign w:val="center"/>
          </w:tcPr>
          <w:p>
            <w:r>
              <w:rPr>
                <w:rFonts w:ascii="Calibri" w:hAnsi="Calibri"/>
                <w:color w:val="202A33"/>
                <w:sz w:val="18"/>
              </w:rPr>
              <w:t>Portfolio</w:t>
            </w:r>
          </w:p>
        </w:tc>
        <w:tc>
          <w:tcPr>
            <w:tcW w:type="dxa" w:w="3700"/>
            <w:tcMar>
              <w:top w:w="80" w:type="dxa"/>
              <w:start w:w="120" w:type="dxa"/>
              <w:bottom w:w="80" w:type="dxa"/>
              <w:end w:w="120" w:type="dxa"/>
            </w:tcMar>
            <w:vAlign w:val="center"/>
          </w:tcPr>
          <w:p>
            <w:r>
              <w:rPr>
                <w:rFonts w:ascii="Calibri" w:hAnsi="Calibri"/>
                <w:color w:val="202A33"/>
                <w:sz w:val="18"/>
              </w:rPr>
              <w:t>Load and map portfolio project data.</w:t>
            </w:r>
          </w:p>
        </w:tc>
        <w:tc>
          <w:tcPr>
            <w:tcW w:type="dxa" w:w="3660"/>
            <w:tcMar>
              <w:top w:w="80" w:type="dxa"/>
              <w:start w:w="120" w:type="dxa"/>
              <w:bottom w:w="80" w:type="dxa"/>
              <w:end w:w="120" w:type="dxa"/>
            </w:tcMar>
            <w:vAlign w:val="center"/>
          </w:tcPr>
          <w:p>
            <w:r>
              <w:rPr>
                <w:rFonts w:ascii="Calibri" w:hAnsi="Calibri"/>
                <w:color w:val="202A33"/>
                <w:sz w:val="18"/>
              </w:rPr>
              <w:t>Window rendering.</w:t>
            </w:r>
          </w:p>
        </w:tc>
      </w:tr>
      <w:tr>
        <w:tc>
          <w:tcPr>
            <w:tcW w:type="dxa" w:w="2000"/>
            <w:tcMar>
              <w:top w:w="80" w:type="dxa"/>
              <w:start w:w="120" w:type="dxa"/>
              <w:bottom w:w="80" w:type="dxa"/>
              <w:end w:w="120" w:type="dxa"/>
            </w:tcMar>
            <w:vAlign w:val="center"/>
          </w:tcPr>
          <w:p>
            <w:r>
              <w:rPr>
                <w:rFonts w:ascii="Calibri" w:hAnsi="Calibri"/>
                <w:color w:val="202A33"/>
                <w:sz w:val="18"/>
              </w:rPr>
              <w:t>Code preview</w:t>
            </w:r>
          </w:p>
        </w:tc>
        <w:tc>
          <w:tcPr>
            <w:tcW w:type="dxa" w:w="3700"/>
            <w:tcMar>
              <w:top w:w="80" w:type="dxa"/>
              <w:start w:w="120" w:type="dxa"/>
              <w:bottom w:w="80" w:type="dxa"/>
              <w:end w:w="120" w:type="dxa"/>
            </w:tcMar>
            <w:vAlign w:val="center"/>
          </w:tcPr>
          <w:p>
            <w:r>
              <w:rPr>
                <w:rFonts w:ascii="Calibri" w:hAnsi="Calibri"/>
                <w:color w:val="202A33"/>
                <w:sz w:val="18"/>
              </w:rPr>
              <w:t>Explorer, editor, terminal-like source experience.</w:t>
            </w:r>
          </w:p>
        </w:tc>
        <w:tc>
          <w:tcPr>
            <w:tcW w:type="dxa" w:w="3660"/>
            <w:tcMar>
              <w:top w:w="80" w:type="dxa"/>
              <w:start w:w="120" w:type="dxa"/>
              <w:bottom w:w="80" w:type="dxa"/>
              <w:end w:w="120" w:type="dxa"/>
            </w:tcMar>
            <w:vAlign w:val="center"/>
          </w:tcPr>
          <w:p>
            <w:r>
              <w:rPr>
                <w:rFonts w:ascii="Calibri" w:hAnsi="Calibri"/>
                <w:color w:val="202A33"/>
                <w:sz w:val="18"/>
              </w:rPr>
              <w:t>Desktop window state.</w:t>
            </w:r>
          </w:p>
        </w:tc>
      </w:tr>
      <w:tr>
        <w:tc>
          <w:tcPr>
            <w:tcW w:type="dxa" w:w="2000"/>
            <w:tcMar>
              <w:top w:w="80" w:type="dxa"/>
              <w:start w:w="120" w:type="dxa"/>
              <w:bottom w:w="80" w:type="dxa"/>
              <w:end w:w="120" w:type="dxa"/>
            </w:tcMar>
            <w:vAlign w:val="center"/>
          </w:tcPr>
          <w:p>
            <w:r>
              <w:rPr>
                <w:rFonts w:ascii="Calibri" w:hAnsi="Calibri"/>
                <w:color w:val="202A33"/>
                <w:sz w:val="18"/>
              </w:rPr>
              <w:t>Mobile shell</w:t>
            </w:r>
          </w:p>
        </w:tc>
        <w:tc>
          <w:tcPr>
            <w:tcW w:type="dxa" w:w="3700"/>
            <w:tcMar>
              <w:top w:w="80" w:type="dxa"/>
              <w:start w:w="120" w:type="dxa"/>
              <w:bottom w:w="80" w:type="dxa"/>
              <w:end w:w="120" w:type="dxa"/>
            </w:tcMar>
            <w:vAlign w:val="center"/>
          </w:tcPr>
          <w:p>
            <w:r>
              <w:rPr>
                <w:rFonts w:ascii="Calibri" w:hAnsi="Calibri"/>
                <w:color w:val="202A33"/>
                <w:sz w:val="18"/>
              </w:rPr>
              <w:t>Phone navigation stack, app frame, mobile mini-apps.</w:t>
            </w:r>
          </w:p>
        </w:tc>
        <w:tc>
          <w:tcPr>
            <w:tcW w:type="dxa" w:w="3660"/>
            <w:tcMar>
              <w:top w:w="80" w:type="dxa"/>
              <w:start w:w="120" w:type="dxa"/>
              <w:bottom w:w="80" w:type="dxa"/>
              <w:end w:w="120" w:type="dxa"/>
            </w:tcMar>
            <w:vAlign w:val="center"/>
          </w:tcPr>
          <w:p>
            <w:r>
              <w:rPr>
                <w:rFonts w:ascii="Calibri" w:hAnsi="Calibri"/>
                <w:color w:val="202A33"/>
                <w:sz w:val="18"/>
              </w:rPr>
              <w:t>Desktop window behavior.</w:t>
            </w:r>
          </w:p>
        </w:tc>
      </w:tr>
    </w:tbl>
    <w:p>
      <w:pPr>
        <w:spacing w:after="20"/>
      </w:pPr>
    </w:p>
    <w:p>
      <w:pPr>
        <w:keepNext/>
        <w:jc w:val="center"/>
      </w:pPr>
      <w:r>
        <w:drawing>
          <wp:inline xmlns:a="http://schemas.openxmlformats.org/drawingml/2006/main" xmlns:pic="http://schemas.openxmlformats.org/drawingml/2006/picture">
            <wp:extent cx="5943600" cy="1426464"/>
            <wp:docPr id="1" name="Picture 1" descr="Figure 1. Dependencies should point toward narrower responsibilities, not loop between unrelated features." title="Figure 1"/>
            <wp:cNvGraphicFramePr>
              <a:graphicFrameLocks noChangeAspect="1"/>
            </wp:cNvGraphicFramePr>
            <a:graphic>
              <a:graphicData uri="http://schemas.openxmlformats.org/drawingml/2006/picture">
                <pic:pic>
                  <pic:nvPicPr>
                    <pic:cNvPr id="0" name="domains.png"/>
                    <pic:cNvPicPr/>
                  </pic:nvPicPr>
                  <pic:blipFill>
                    <a:blip r:embed="rId11"/>
                    <a:stretch>
                      <a:fillRect/>
                    </a:stretch>
                  </pic:blipFill>
                  <pic:spPr>
                    <a:xfrm>
                      <a:off x="0" y="0"/>
                      <a:ext cx="5943600" cy="1426464"/>
                    </a:xfrm>
                    <a:prstGeom prst="rect"/>
                  </pic:spPr>
                </pic:pic>
              </a:graphicData>
            </a:graphic>
          </wp:inline>
        </w:drawing>
      </w:r>
    </w:p>
    <w:p>
      <w:pPr>
        <w:spacing w:after="160"/>
        <w:jc w:val="center"/>
      </w:pPr>
      <w:r>
        <w:rPr>
          <w:rFonts w:ascii="Calibri" w:hAnsi="Calibri"/>
          <w:i/>
          <w:color w:val="66727D"/>
          <w:sz w:val="18"/>
        </w:rPr>
        <w:t>Figure 1. Dependencies should point toward narrower responsibilities, not loop between unrelated features.</w:t>
      </w:r>
    </w:p>
    <w:p>
      <w:pPr>
        <w:pStyle w:val="Heading1"/>
      </w:pPr>
      <w:r>
        <w:t>Chapter 2: Feature-Based Structure</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reproduce the repository structure and know what belongs in each folder.</w:t>
      </w:r>
    </w:p>
    <w:p>
      <w:pPr>
        <w:spacing w:before="80" w:after="80"/>
      </w:pPr>
      <w:r>
        <w:rPr>
          <w:rFonts w:ascii="Calibri" w:hAnsi="Calibri"/>
          <w:b/>
          <w:color w:val="66727D"/>
          <w:sz w:val="18"/>
        </w:rPr>
        <w:t>Current high-level shape</w:t>
      </w:r>
    </w:p>
    <w:p>
      <w:pPr>
        <w:shd w:fill="F2F4F7"/>
        <w:spacing w:before="100" w:after="0" w:line="252" w:lineRule="auto"/>
        <w:ind w:left="115" w:right="115"/>
      </w:pPr>
      <w:r>
        <w:rPr>
          <w:rFonts w:ascii="Consolas" w:hAnsi="Consolas"/>
          <w:color w:val="202A33"/>
          <w:sz w:val="17"/>
        </w:rPr>
        <w:t>src/</w:t>
        <w:br/>
        <w:t xml:space="preserve">  app/                       # application composition</w:t>
        <w:br/>
        <w:t xml:space="preserve">  features/</w:t>
        <w:br/>
        <w:t xml:space="preserve">    desktop-shell/           # desktop frame and window mechanics</w:t>
        <w:br/>
        <w:t xml:space="preserve">    finder/                  # Finder UI and open-item decisions</w:t>
        <w:br/>
        <w:t xml:space="preserve">    portfolio/               # portfolio loading and mapping</w:t>
        <w:br/>
        <w:t xml:space="preserve">    code-preview/            # explorer/editor/terminal experience</w:t>
        <w:br/>
        <w:t xml:space="preserve">    mobile-shell/            # mobile navigation and mini-apps</w:t>
        <w:br/>
        <w:t xml:space="preserve">  api/                       # external service boundary</w:t>
        <w:br/>
        <w:t xml:space="preserve">  constants/                 # stable content grouped by ownership</w:t>
        <w:br/>
        <w:t xml:space="preserve">  store/                     # compatibility exports and cross-feature stores</w:t>
        <w:br/>
        <w:t xml:space="preserve">  windows/                   # desktop app windows and migration adapters</w:t>
        <w:br/>
        <w:t xml:space="preserve">  components/                # app-level UI and compatibility exports</w:t>
      </w:r>
    </w:p>
    <w:p>
      <w:pPr>
        <w:shd w:fill="E8EEF5"/>
        <w:spacing w:before="100" w:after="100"/>
        <w:ind w:left="115" w:right="115"/>
      </w:pPr>
      <w:r>
        <w:rPr>
          <w:rFonts w:ascii="Calibri" w:hAnsi="Calibri"/>
          <w:b/>
          <w:color w:val="17324D"/>
          <w:sz w:val="22"/>
        </w:rPr>
        <w:t xml:space="preserve">Why compatibility exports exist: </w:t>
      </w:r>
      <w:r>
        <w:rPr>
          <w:rFonts w:ascii="Calibri" w:hAnsi="Calibri"/>
          <w:color w:val="202A33"/>
          <w:sz w:val="22"/>
        </w:rPr>
        <w:t>Files such as src/components/Dock.jsx re-export the new feature implementation. This keeps old import paths working while architecture is moved gradually. They are migration bridges, not duplicate implementations.</w:t>
      </w:r>
    </w:p>
    <w:p>
      <w:pPr>
        <w:pStyle w:val="ListBullet"/>
      </w:pPr>
      <w:r>
        <w:rPr>
          <w:rFonts w:ascii="Calibri" w:hAnsi="Calibri"/>
          <w:color w:val="202A33"/>
          <w:sz w:val="22"/>
        </w:rPr>
        <w:t>Belongs in a feature: components, hooks, utilities, data, styles, and tests used mainly by that capability.</w:t>
      </w:r>
    </w:p>
    <w:p>
      <w:pPr>
        <w:pStyle w:val="ListBullet"/>
      </w:pPr>
      <w:r>
        <w:rPr>
          <w:rFonts w:ascii="Calibri" w:hAnsi="Calibri"/>
          <w:color w:val="202A33"/>
          <w:sz w:val="22"/>
        </w:rPr>
        <w:t>Belongs in app: providers, top-level shell choice, routing, and application bootstrapping.</w:t>
      </w:r>
    </w:p>
    <w:p>
      <w:pPr>
        <w:pStyle w:val="ListBullet"/>
      </w:pPr>
      <w:r>
        <w:rPr>
          <w:rFonts w:ascii="Calibri" w:hAnsi="Calibri"/>
          <w:color w:val="202A33"/>
          <w:sz w:val="22"/>
        </w:rPr>
        <w:t>Belongs in api: raw remote requests and transport-level behavior.</w:t>
      </w:r>
    </w:p>
    <w:p>
      <w:pPr>
        <w:pStyle w:val="ListBullet"/>
      </w:pPr>
      <w:r>
        <w:rPr>
          <w:rFonts w:ascii="Calibri" w:hAnsi="Calibri"/>
          <w:color w:val="202A33"/>
          <w:sz w:val="22"/>
        </w:rPr>
        <w:t>Belongs in shared only after unrelated features repeat the same stable contract.</w:t>
      </w:r>
    </w:p>
    <w:p>
      <w:pPr>
        <w:pStyle w:val="ListBullet"/>
      </w:pPr>
      <w:r>
        <w:rPr>
          <w:rFonts w:ascii="Calibri" w:hAnsi="Calibri"/>
          <w:color w:val="202A33"/>
          <w:sz w:val="22"/>
        </w:rPr>
        <w:t>Does not belong in constants: helpers with side effects, React state, or API calls.</w:t>
      </w:r>
    </w:p>
    <w:p>
      <w:pPr>
        <w:pStyle w:val="Heading1"/>
      </w:pPr>
      <w:r>
        <w:t>Chapter 3: Dependency Direction</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recognize healthy imports, risky cycles, and boundaries that can scale to a team.</w:t>
      </w:r>
    </w:p>
    <w:p>
      <w:pPr>
        <w:spacing w:before="80" w:after="80"/>
      </w:pPr>
      <w:r>
        <w:rPr>
          <w:rFonts w:ascii="Calibri" w:hAnsi="Calibri"/>
          <w:b/>
          <w:color w:val="66727D"/>
          <w:sz w:val="18"/>
        </w:rPr>
        <w:t>A simple dependency rule</w:t>
      </w:r>
    </w:p>
    <w:p>
      <w:pPr>
        <w:shd w:fill="F2F4F7"/>
        <w:spacing w:before="100" w:after="0" w:line="252" w:lineRule="auto"/>
        <w:ind w:left="115" w:right="115"/>
      </w:pPr>
      <w:r>
        <w:rPr>
          <w:rFonts w:ascii="Consolas" w:hAnsi="Consolas"/>
          <w:color w:val="202A33"/>
          <w:sz w:val="17"/>
        </w:rPr>
        <w:t>App -&gt; feature coordinator -&gt; feature component / hook -&gt; utility / API</w:t>
        <w:br/>
        <w:br/>
        <w:t>Healthy: FinderWindow -&gt; getFinderOpenAction</w:t>
        <w:br/>
        <w:t>Risky:   github.js -&gt; FinderWindow</w:t>
        <w:br/>
        <w:t>Risky:   mobile app -&gt; desktop window store</w:t>
      </w:r>
    </w:p>
    <w:p>
      <w:pPr>
        <w:keepLines w:val="0"/>
      </w:pPr>
      <w:r>
        <w:rPr>
          <w:rFonts w:ascii="Calibri" w:hAnsi="Calibri"/>
          <w:i w:val="0"/>
          <w:color w:val="202A33"/>
          <w:sz w:val="22"/>
        </w:rPr>
        <w:t>FinderWindow asks a pure utility what an item means, then performs the returned action. The utility never imports React, Zustand, or window.open. This makes the decision testable and prevents UI details from becoming the only place where product behavior is defined.</w:t>
      </w:r>
    </w:p>
    <w:p>
      <w:pPr>
        <w:spacing w:before="80" w:after="80"/>
      </w:pPr>
      <w:r>
        <w:rPr>
          <w:rFonts w:ascii="Calibri" w:hAnsi="Calibri"/>
          <w:b/>
          <w:color w:val="66727D"/>
          <w:sz w:val="18"/>
        </w:rPr>
        <w:t>Actual pure action decision</w:t>
      </w:r>
    </w:p>
    <w:p>
      <w:pPr>
        <w:shd w:fill="F2F4F7"/>
        <w:spacing w:before="100" w:after="0" w:line="252" w:lineRule="auto"/>
        <w:ind w:left="115" w:right="115"/>
      </w:pPr>
      <w:r>
        <w:rPr>
          <w:rFonts w:ascii="Consolas" w:hAnsi="Consolas"/>
          <w:color w:val="202A33"/>
          <w:sz w:val="17"/>
        </w:rPr>
        <w:br/>
        <w:t>import { isCodeFile, isExternalLinkFile } from "./fileTypes";</w:t>
        <w:br/>
        <w:br/>
        <w:t>export const FINDER_OPEN_ACTIONS = {</w:t>
        <w:br/>
        <w:t xml:space="preserve">  NONE: "none",</w:t>
        <w:br/>
        <w:t xml:space="preserve">  SET_LOCATION: "set-location",</w:t>
        <w:br/>
        <w:t xml:space="preserve">  OPEN_WINDOW: "open-window",</w:t>
        <w:br/>
        <w:t xml:space="preserve">  OPEN_EXTERNAL_LINK: "open-external-link",</w:t>
        <w:br/>
        <w:t>};</w:t>
        <w:br/>
        <w:br/>
        <w:t>export const getFinderOpenAction = (item) =&gt; {</w:t>
        <w:br/>
        <w:t xml:space="preserve">  if (!item) {</w:t>
        <w:br/>
        <w:t xml:space="preserve">    return { type: FINDER_OPEN_ACTIONS.NONE };</w:t>
        <w:br/>
        <w:t xml:space="preserve">  }</w:t>
        <w:br/>
        <w:br/>
        <w:t xml:space="preserve">  if (item.fileType === "pdf") {</w:t>
        <w:br/>
        <w:t xml:space="preserve">    return {</w:t>
        <w:br/>
        <w:t xml:space="preserve">      type: FINDER_OPEN_ACTIONS.OPEN_WINDOW,</w:t>
        <w:br/>
        <w:t xml:space="preserve">      windowId: "resume",</w:t>
        <w:br/>
        <w:t xml:space="preserve">    };</w:t>
        <w:br/>
        <w:t xml:space="preserve">  }</w:t>
        <w:br/>
        <w:br/>
        <w:t xml:space="preserve">  if (item.kind === "folder") {</w:t>
        <w:br/>
        <w:t xml:space="preserve">    return {</w:t>
        <w:br/>
        <w:t xml:space="preserve">      type: FINDER_OPEN_ACTIONS.SET_LOCATION,</w:t>
        <w:br/>
        <w:t xml:space="preserve">      location: item,</w:t>
        <w:br/>
        <w:t xml:space="preserve">    };</w:t>
        <w:br/>
        <w:t xml:space="preserve">  }</w:t>
        <w:br/>
        <w:br/>
        <w:t xml:space="preserve">  if (item.fileType === "txt" &amp;&amp; !item.download_url) {</w:t>
        <w:br/>
        <w:t xml:space="preserve">    return {</w:t>
        <w:br/>
        <w:t xml:space="preserve">      type: FINDER_OPEN_ACTIONS.OPEN_WINDOW,</w:t>
        <w:br/>
        <w:t xml:space="preserve">      windowId: "txtfile",</w:t>
        <w:br/>
        <w:t xml:space="preserve">      data: item,</w:t>
        <w:br/>
        <w:t xml:space="preserve">    };</w:t>
        <w:br/>
        <w:t xml:space="preserve">  }</w:t>
        <w:br/>
        <w:br/>
        <w:t xml:space="preserve">  if (item.fileType === "img") {</w:t>
        <w:br/>
        <w:t xml:space="preserve">    return {</w:t>
        <w:br/>
        <w:t xml:space="preserve">      type: FINDER_OPEN_ACTIONS.OPEN_WINDOW,</w:t>
        <w:br/>
        <w:t xml:space="preserve">      windowId: "imgfile",</w:t>
        <w:br/>
        <w:t xml:space="preserve">      data: item,</w:t>
        <w:br/>
        <w:t xml:space="preserve">    };</w:t>
        <w:br/>
        <w:t xml:space="preserve">  }</w:t>
        <w:br/>
        <w:br/>
        <w:t xml:space="preserve">  if (isExternalLinkFile(item.fileType) &amp;&amp; item.href) {</w:t>
        <w:br/>
        <w:t xml:space="preserve">    return {</w:t>
        <w:br/>
        <w:t xml:space="preserve">      type: FINDER_OPEN_ACTIONS.OPEN_EXTERNAL_LINK,</w:t>
        <w:br/>
        <w:t xml:space="preserve">      href: item.href,</w:t>
        <w:br/>
        <w:t xml:space="preserve">    };</w:t>
        <w:br/>
        <w:t xml:space="preserve">  }</w:t>
        <w:br/>
        <w:br/>
        <w:t xml:space="preserve">  if (isCodeFile(item.fileType)) {</w:t>
      </w:r>
    </w:p>
    <w:p>
      <w:pPr>
        <w:pStyle w:val="Heading2"/>
      </w:pPr>
      <w:r>
        <w:t>Three Ways To Understand It</w:t>
      </w:r>
    </w:p>
    <w:p>
      <w:pPr>
        <w:shd w:fill="E8EEF5"/>
        <w:spacing w:before="100" w:after="100"/>
        <w:ind w:left="115" w:right="115"/>
      </w:pPr>
      <w:r>
        <w:rPr>
          <w:rFonts w:ascii="Calibri" w:hAnsi="Calibri"/>
          <w:b/>
          <w:color w:val="17324D"/>
          <w:sz w:val="22"/>
        </w:rPr>
        <w:t xml:space="preserve">Beginner explanation: </w:t>
      </w:r>
      <w:r>
        <w:rPr>
          <w:rFonts w:ascii="Calibri" w:hAnsi="Calibri"/>
          <w:color w:val="202A33"/>
          <w:sz w:val="22"/>
        </w:rPr>
        <w:t>A helper decides; the component performs the decision.</w:t>
      </w:r>
    </w:p>
    <w:p>
      <w:pPr>
        <w:shd w:fill="E7F1EF"/>
        <w:spacing w:before="100" w:after="100"/>
        <w:ind w:left="115" w:right="115"/>
      </w:pPr>
      <w:r>
        <w:rPr>
          <w:rFonts w:ascii="Calibri" w:hAnsi="Calibri"/>
          <w:b/>
          <w:color w:val="1E6B68"/>
          <w:sz w:val="22"/>
        </w:rPr>
        <w:t xml:space="preserve">Developer explanation: </w:t>
      </w:r>
      <w:r>
        <w:rPr>
          <w:rFonts w:ascii="Calibri" w:hAnsi="Calibri"/>
          <w:color w:val="202A33"/>
          <w:sz w:val="22"/>
        </w:rPr>
        <w:t>The utility returns a small command object instead of triggering side effects.</w:t>
      </w:r>
    </w:p>
    <w:p>
      <w:pPr>
        <w:shd w:fill="FFF4D6"/>
        <w:spacing w:before="100" w:after="100"/>
        <w:ind w:left="115" w:right="115"/>
      </w:pPr>
      <w:r>
        <w:rPr>
          <w:rFonts w:ascii="Calibri" w:hAnsi="Calibri"/>
          <w:b/>
          <w:color w:val="9A6A00"/>
          <w:sz w:val="22"/>
        </w:rPr>
        <w:t xml:space="preserve">Engineering explanation: </w:t>
      </w:r>
      <w:r>
        <w:rPr>
          <w:rFonts w:ascii="Calibri" w:hAnsi="Calibri"/>
          <w:color w:val="202A33"/>
          <w:sz w:val="22"/>
        </w:rPr>
        <w:t>Separating policy from mechanism lowers coupling and creates a stable unit for tests and future file types.</w:t>
      </w:r>
    </w:p>
    <w:p>
      <w:pPr>
        <w:pStyle w:val="Heading1"/>
      </w:pPr>
      <w:r>
        <w:t>Chapter 4: State Ownership</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decide whether state belongs in a component, a custom hook, a domain store, or persistence.</w:t>
      </w:r>
    </w:p>
    <w:tbl>
      <w:tblPr>
        <w:tblStyle w:val="TableGrid"/>
        <w:tblW w:type="dxa" w:w="9360"/>
        <w:jc w:val="left"/>
        <w:tblLayout w:type="fixed"/>
        <w:tblLook w:firstColumn="1" w:firstRow="1" w:lastColumn="0" w:lastRow="0" w:noHBand="0" w:noVBand="1" w:val="04A0"/>
        <w:tblInd w:w="120" w:type="dxa"/>
      </w:tblPr>
      <w:tblGrid>
        <w:gridCol w:w="2400"/>
        <w:gridCol w:w="3300"/>
        <w:gridCol w:w="3660"/>
      </w:tblGrid>
      <w:tr>
        <w:trPr>
          <w:tblHeader w:val="true"/>
        </w:trPr>
        <w:tc>
          <w:tcPr>
            <w:tcW w:type="dxa" w:w="2400"/>
            <w:shd w:fill="E8EEF5"/>
            <w:tcMar>
              <w:top w:w="80" w:type="dxa"/>
              <w:start w:w="120" w:type="dxa"/>
              <w:bottom w:w="80" w:type="dxa"/>
              <w:end w:w="120" w:type="dxa"/>
            </w:tcMar>
            <w:vAlign w:val="center"/>
          </w:tcPr>
          <w:p>
            <w:r>
              <w:rPr>
                <w:rFonts w:ascii="Calibri" w:hAnsi="Calibri"/>
                <w:b/>
                <w:color w:val="17324D"/>
                <w:sz w:val="19"/>
              </w:rPr>
              <w:t>State type</w:t>
            </w:r>
          </w:p>
        </w:tc>
        <w:tc>
          <w:tcPr>
            <w:tcW w:type="dxa" w:w="3300"/>
            <w:shd w:fill="E8EEF5"/>
            <w:tcMar>
              <w:top w:w="80" w:type="dxa"/>
              <w:start w:w="120" w:type="dxa"/>
              <w:bottom w:w="80" w:type="dxa"/>
              <w:end w:w="120" w:type="dxa"/>
            </w:tcMar>
            <w:vAlign w:val="center"/>
          </w:tcPr>
          <w:p>
            <w:r>
              <w:rPr>
                <w:rFonts w:ascii="Calibri" w:hAnsi="Calibri"/>
                <w:b/>
                <w:color w:val="17324D"/>
                <w:sz w:val="19"/>
              </w:rPr>
              <w:t>Best owner</w:t>
            </w:r>
          </w:p>
        </w:tc>
        <w:tc>
          <w:tcPr>
            <w:tcW w:type="dxa" w:w="3660"/>
            <w:shd w:fill="E8EEF5"/>
            <w:tcMar>
              <w:top w:w="80" w:type="dxa"/>
              <w:start w:w="120" w:type="dxa"/>
              <w:bottom w:w="80" w:type="dxa"/>
              <w:end w:w="120" w:type="dxa"/>
            </w:tcMar>
            <w:vAlign w:val="center"/>
          </w:tcPr>
          <w:p>
            <w:r>
              <w:rPr>
                <w:rFonts w:ascii="Calibri" w:hAnsi="Calibri"/>
                <w:b/>
                <w:color w:val="17324D"/>
                <w:sz w:val="19"/>
              </w:rPr>
              <w:t>Macfolio example</w:t>
            </w:r>
          </w:p>
        </w:tc>
      </w:tr>
      <w:tr>
        <w:tc>
          <w:tcPr>
            <w:tcW w:type="dxa" w:w="2400"/>
            <w:tcMar>
              <w:top w:w="80" w:type="dxa"/>
              <w:start w:w="120" w:type="dxa"/>
              <w:bottom w:w="80" w:type="dxa"/>
              <w:end w:w="120" w:type="dxa"/>
            </w:tcMar>
            <w:vAlign w:val="center"/>
          </w:tcPr>
          <w:p>
            <w:r>
              <w:rPr>
                <w:rFonts w:ascii="Calibri" w:hAnsi="Calibri"/>
                <w:color w:val="202A33"/>
                <w:sz w:val="18"/>
              </w:rPr>
              <w:t>One component only</w:t>
            </w:r>
          </w:p>
        </w:tc>
        <w:tc>
          <w:tcPr>
            <w:tcW w:type="dxa" w:w="3300"/>
            <w:tcMar>
              <w:top w:w="80" w:type="dxa"/>
              <w:start w:w="120" w:type="dxa"/>
              <w:bottom w:w="80" w:type="dxa"/>
              <w:end w:w="120" w:type="dxa"/>
            </w:tcMar>
            <w:vAlign w:val="center"/>
          </w:tcPr>
          <w:p>
            <w:r>
              <w:rPr>
                <w:rFonts w:ascii="Calibri" w:hAnsi="Calibri"/>
                <w:color w:val="202A33"/>
                <w:sz w:val="18"/>
              </w:rPr>
              <w:t>useState in that component</w:t>
            </w:r>
          </w:p>
        </w:tc>
        <w:tc>
          <w:tcPr>
            <w:tcW w:type="dxa" w:w="3660"/>
            <w:tcMar>
              <w:top w:w="80" w:type="dxa"/>
              <w:start w:w="120" w:type="dxa"/>
              <w:bottom w:w="80" w:type="dxa"/>
              <w:end w:w="120" w:type="dxa"/>
            </w:tcMar>
            <w:vAlign w:val="center"/>
          </w:tcPr>
          <w:p>
            <w:r>
              <w:rPr>
                <w:rFonts w:ascii="Calibri" w:hAnsi="Calibri"/>
                <w:color w:val="202A33"/>
                <w:sz w:val="18"/>
              </w:rPr>
              <w:t>Mobile navigation stack.</w:t>
            </w:r>
          </w:p>
        </w:tc>
      </w:tr>
      <w:tr>
        <w:tc>
          <w:tcPr>
            <w:tcW w:type="dxa" w:w="2400"/>
            <w:tcMar>
              <w:top w:w="80" w:type="dxa"/>
              <w:start w:w="120" w:type="dxa"/>
              <w:bottom w:w="80" w:type="dxa"/>
              <w:end w:w="120" w:type="dxa"/>
            </w:tcMar>
            <w:vAlign w:val="center"/>
          </w:tcPr>
          <w:p>
            <w:r>
              <w:rPr>
                <w:rFonts w:ascii="Calibri" w:hAnsi="Calibri"/>
                <w:color w:val="202A33"/>
                <w:sz w:val="18"/>
              </w:rPr>
              <w:t>Reusable lifecycle logic</w:t>
            </w:r>
          </w:p>
        </w:tc>
        <w:tc>
          <w:tcPr>
            <w:tcW w:type="dxa" w:w="3300"/>
            <w:tcMar>
              <w:top w:w="80" w:type="dxa"/>
              <w:start w:w="120" w:type="dxa"/>
              <w:bottom w:w="80" w:type="dxa"/>
              <w:end w:w="120" w:type="dxa"/>
            </w:tcMar>
            <w:vAlign w:val="center"/>
          </w:tcPr>
          <w:p>
            <w:r>
              <w:rPr>
                <w:rFonts w:ascii="Calibri" w:hAnsi="Calibri"/>
                <w:color w:val="202A33"/>
                <w:sz w:val="18"/>
              </w:rPr>
              <w:t>Custom hook</w:t>
            </w:r>
          </w:p>
        </w:tc>
        <w:tc>
          <w:tcPr>
            <w:tcW w:type="dxa" w:w="3660"/>
            <w:tcMar>
              <w:top w:w="80" w:type="dxa"/>
              <w:start w:w="120" w:type="dxa"/>
              <w:bottom w:w="80" w:type="dxa"/>
              <w:end w:w="120" w:type="dxa"/>
            </w:tcMar>
            <w:vAlign w:val="center"/>
          </w:tcPr>
          <w:p>
            <w:r>
              <w:rPr>
                <w:rFonts w:ascii="Calibri" w:hAnsi="Calibri"/>
                <w:color w:val="202A33"/>
                <w:sz w:val="18"/>
              </w:rPr>
              <w:t>useWeather and useTodos.</w:t>
            </w:r>
          </w:p>
        </w:tc>
      </w:tr>
      <w:tr>
        <w:tc>
          <w:tcPr>
            <w:tcW w:type="dxa" w:w="2400"/>
            <w:tcMar>
              <w:top w:w="80" w:type="dxa"/>
              <w:start w:w="120" w:type="dxa"/>
              <w:bottom w:w="80" w:type="dxa"/>
              <w:end w:w="120" w:type="dxa"/>
            </w:tcMar>
            <w:vAlign w:val="center"/>
          </w:tcPr>
          <w:p>
            <w:r>
              <w:rPr>
                <w:rFonts w:ascii="Calibri" w:hAnsi="Calibri"/>
                <w:color w:val="202A33"/>
                <w:sz w:val="18"/>
              </w:rPr>
              <w:t>Distant components in one domain</w:t>
            </w:r>
          </w:p>
        </w:tc>
        <w:tc>
          <w:tcPr>
            <w:tcW w:type="dxa" w:w="3300"/>
            <w:tcMar>
              <w:top w:w="80" w:type="dxa"/>
              <w:start w:w="120" w:type="dxa"/>
              <w:bottom w:w="80" w:type="dxa"/>
              <w:end w:w="120" w:type="dxa"/>
            </w:tcMar>
            <w:vAlign w:val="center"/>
          </w:tcPr>
          <w:p>
            <w:r>
              <w:rPr>
                <w:rFonts w:ascii="Calibri" w:hAnsi="Calibri"/>
                <w:color w:val="202A33"/>
                <w:sz w:val="18"/>
              </w:rPr>
              <w:t>Feature store</w:t>
            </w:r>
          </w:p>
        </w:tc>
        <w:tc>
          <w:tcPr>
            <w:tcW w:type="dxa" w:w="3660"/>
            <w:tcMar>
              <w:top w:w="80" w:type="dxa"/>
              <w:start w:w="120" w:type="dxa"/>
              <w:bottom w:w="80" w:type="dxa"/>
              <w:end w:w="120" w:type="dxa"/>
            </w:tcMar>
            <w:vAlign w:val="center"/>
          </w:tcPr>
          <w:p>
            <w:r>
              <w:rPr>
                <w:rFonts w:ascii="Calibri" w:hAnsi="Calibri"/>
                <w:color w:val="202A33"/>
                <w:sz w:val="18"/>
              </w:rPr>
              <w:t>Desktop windows.</w:t>
            </w:r>
          </w:p>
        </w:tc>
      </w:tr>
      <w:tr>
        <w:tc>
          <w:tcPr>
            <w:tcW w:type="dxa" w:w="2400"/>
            <w:tcMar>
              <w:top w:w="80" w:type="dxa"/>
              <w:start w:w="120" w:type="dxa"/>
              <w:bottom w:w="80" w:type="dxa"/>
              <w:end w:w="120" w:type="dxa"/>
            </w:tcMar>
            <w:vAlign w:val="center"/>
          </w:tcPr>
          <w:p>
            <w:r>
              <w:rPr>
                <w:rFonts w:ascii="Calibri" w:hAnsi="Calibri"/>
                <w:color w:val="202A33"/>
                <w:sz w:val="18"/>
              </w:rPr>
              <w:t>Cross-feature navigation model</w:t>
            </w:r>
          </w:p>
        </w:tc>
        <w:tc>
          <w:tcPr>
            <w:tcW w:type="dxa" w:w="3300"/>
            <w:tcMar>
              <w:top w:w="80" w:type="dxa"/>
              <w:start w:w="120" w:type="dxa"/>
              <w:bottom w:w="80" w:type="dxa"/>
              <w:end w:w="120" w:type="dxa"/>
            </w:tcMar>
            <w:vAlign w:val="center"/>
          </w:tcPr>
          <w:p>
            <w:r>
              <w:rPr>
                <w:rFonts w:ascii="Calibri" w:hAnsi="Calibri"/>
                <w:color w:val="202A33"/>
                <w:sz w:val="18"/>
              </w:rPr>
              <w:t>Focused store</w:t>
            </w:r>
          </w:p>
        </w:tc>
        <w:tc>
          <w:tcPr>
            <w:tcW w:type="dxa" w:w="3660"/>
            <w:tcMar>
              <w:top w:w="80" w:type="dxa"/>
              <w:start w:w="120" w:type="dxa"/>
              <w:bottom w:w="80" w:type="dxa"/>
              <w:end w:w="120" w:type="dxa"/>
            </w:tcMar>
            <w:vAlign w:val="center"/>
          </w:tcPr>
          <w:p>
            <w:r>
              <w:rPr>
                <w:rFonts w:ascii="Calibri" w:hAnsi="Calibri"/>
                <w:color w:val="202A33"/>
                <w:sz w:val="18"/>
              </w:rPr>
              <w:t>Finder active location/history.</w:t>
            </w:r>
          </w:p>
        </w:tc>
      </w:tr>
      <w:tr>
        <w:tc>
          <w:tcPr>
            <w:tcW w:type="dxa" w:w="2400"/>
            <w:tcMar>
              <w:top w:w="80" w:type="dxa"/>
              <w:start w:w="120" w:type="dxa"/>
              <w:bottom w:w="80" w:type="dxa"/>
              <w:end w:w="120" w:type="dxa"/>
            </w:tcMar>
            <w:vAlign w:val="center"/>
          </w:tcPr>
          <w:p>
            <w:r>
              <w:rPr>
                <w:rFonts w:ascii="Calibri" w:hAnsi="Calibri"/>
                <w:color w:val="202A33"/>
                <w:sz w:val="18"/>
              </w:rPr>
              <w:t>Persisted browser preference/data</w:t>
            </w:r>
          </w:p>
        </w:tc>
        <w:tc>
          <w:tcPr>
            <w:tcW w:type="dxa" w:w="3300"/>
            <w:tcMar>
              <w:top w:w="80" w:type="dxa"/>
              <w:start w:w="120" w:type="dxa"/>
              <w:bottom w:w="80" w:type="dxa"/>
              <w:end w:w="120" w:type="dxa"/>
            </w:tcMar>
            <w:vAlign w:val="center"/>
          </w:tcPr>
          <w:p>
            <w:r>
              <w:rPr>
                <w:rFonts w:ascii="Calibri" w:hAnsi="Calibri"/>
                <w:color w:val="202A33"/>
                <w:sz w:val="18"/>
              </w:rPr>
              <w:t>Hook plus localStorage</w:t>
            </w:r>
          </w:p>
        </w:tc>
        <w:tc>
          <w:tcPr>
            <w:tcW w:type="dxa" w:w="3660"/>
            <w:tcMar>
              <w:top w:w="80" w:type="dxa"/>
              <w:start w:w="120" w:type="dxa"/>
              <w:bottom w:w="80" w:type="dxa"/>
              <w:end w:w="120" w:type="dxa"/>
            </w:tcMar>
            <w:vAlign w:val="center"/>
          </w:tcPr>
          <w:p>
            <w:r>
              <w:rPr>
                <w:rFonts w:ascii="Calibri" w:hAnsi="Calibri"/>
                <w:color w:val="202A33"/>
                <w:sz w:val="18"/>
              </w:rPr>
              <w:t>Mobile todos.</w:t>
            </w:r>
          </w:p>
        </w:tc>
      </w:tr>
      <w:tr>
        <w:tc>
          <w:tcPr>
            <w:tcW w:type="dxa" w:w="2400"/>
            <w:tcMar>
              <w:top w:w="80" w:type="dxa"/>
              <w:start w:w="120" w:type="dxa"/>
              <w:bottom w:w="80" w:type="dxa"/>
              <w:end w:w="120" w:type="dxa"/>
            </w:tcMar>
            <w:vAlign w:val="center"/>
          </w:tcPr>
          <w:p>
            <w:r>
              <w:rPr>
                <w:rFonts w:ascii="Calibri" w:hAnsi="Calibri"/>
                <w:color w:val="202A33"/>
                <w:sz w:val="18"/>
              </w:rPr>
              <w:t>Remote server data</w:t>
            </w:r>
          </w:p>
        </w:tc>
        <w:tc>
          <w:tcPr>
            <w:tcW w:type="dxa" w:w="3300"/>
            <w:tcMar>
              <w:top w:w="80" w:type="dxa"/>
              <w:start w:w="120" w:type="dxa"/>
              <w:bottom w:w="80" w:type="dxa"/>
              <w:end w:w="120" w:type="dxa"/>
            </w:tcMar>
            <w:vAlign w:val="center"/>
          </w:tcPr>
          <w:p>
            <w:r>
              <w:rPr>
                <w:rFonts w:ascii="Calibri" w:hAnsi="Calibri"/>
                <w:color w:val="202A33"/>
                <w:sz w:val="18"/>
              </w:rPr>
              <w:t>Data hook/store with status</w:t>
            </w:r>
          </w:p>
        </w:tc>
        <w:tc>
          <w:tcPr>
            <w:tcW w:type="dxa" w:w="3660"/>
            <w:tcMar>
              <w:top w:w="80" w:type="dxa"/>
              <w:start w:w="120" w:type="dxa"/>
              <w:bottom w:w="80" w:type="dxa"/>
              <w:end w:w="120" w:type="dxa"/>
            </w:tcMar>
            <w:vAlign w:val="center"/>
          </w:tcPr>
          <w:p>
            <w:r>
              <w:rPr>
                <w:rFonts w:ascii="Calibri" w:hAnsi="Calibri"/>
                <w:color w:val="202A33"/>
                <w:sz w:val="18"/>
              </w:rPr>
              <w:t>Portfolio Work folder.</w:t>
            </w:r>
          </w:p>
        </w:tc>
      </w:tr>
    </w:tbl>
    <w:p>
      <w:pPr>
        <w:spacing w:after="20"/>
      </w:pPr>
    </w:p>
    <w:p>
      <w:pPr>
        <w:shd w:fill="E7F1EF"/>
        <w:spacing w:before="100" w:after="100"/>
        <w:ind w:left="115" w:right="115"/>
      </w:pPr>
      <w:r>
        <w:rPr>
          <w:rFonts w:ascii="Calibri" w:hAnsi="Calibri"/>
          <w:b/>
          <w:color w:val="1E6B68"/>
          <w:sz w:val="22"/>
        </w:rPr>
        <w:t xml:space="preserve">Decision question: </w:t>
      </w:r>
      <w:r>
        <w:rPr>
          <w:rFonts w:ascii="Calibri" w:hAnsi="Calibri"/>
          <w:color w:val="202A33"/>
          <w:sz w:val="22"/>
        </w:rPr>
        <w:t>Which part of the product is allowed to change this value? Ownership is more useful than asking whether state is globally accessible.</w:t>
      </w:r>
    </w:p>
    <w:p>
      <w:pPr>
        <w:pStyle w:val="Heading1"/>
      </w:pPr>
      <w:r>
        <w:t>Chapter 5: Refactoring Without Panic</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move code toward feature boundaries in safe, explainable steps.</w:t>
      </w:r>
    </w:p>
    <w:p>
      <w:pPr>
        <w:pStyle w:val="ListNumber"/>
      </w:pPr>
      <w:r>
        <w:rPr>
          <w:rFonts w:ascii="Calibri" w:hAnsi="Calibri"/>
          <w:color w:val="202A33"/>
          <w:sz w:val="22"/>
        </w:rPr>
        <w:t>Document the current responsibility and imports.</w:t>
      </w:r>
    </w:p>
    <w:p>
      <w:pPr>
        <w:pStyle w:val="ListNumber"/>
      </w:pPr>
      <w:r>
        <w:rPr>
          <w:rFonts w:ascii="Calibri" w:hAnsi="Calibri"/>
          <w:color w:val="202A33"/>
          <w:sz w:val="22"/>
        </w:rPr>
        <w:t>Create the destination feature boundary.</w:t>
      </w:r>
    </w:p>
    <w:p>
      <w:pPr>
        <w:pStyle w:val="ListNumber"/>
      </w:pPr>
      <w:r>
        <w:rPr>
          <w:rFonts w:ascii="Calibri" w:hAnsi="Calibri"/>
          <w:color w:val="202A33"/>
          <w:sz w:val="22"/>
        </w:rPr>
        <w:t>Move the implementation without redesigning behavior.</w:t>
      </w:r>
    </w:p>
    <w:p>
      <w:pPr>
        <w:pStyle w:val="ListNumber"/>
      </w:pPr>
      <w:r>
        <w:rPr>
          <w:rFonts w:ascii="Calibri" w:hAnsi="Calibri"/>
          <w:color w:val="202A33"/>
          <w:sz w:val="22"/>
        </w:rPr>
        <w:t>Leave a small compatibility export at the old path.</w:t>
      </w:r>
    </w:p>
    <w:p>
      <w:pPr>
        <w:pStyle w:val="ListNumber"/>
      </w:pPr>
      <w:r>
        <w:rPr>
          <w:rFonts w:ascii="Calibri" w:hAnsi="Calibri"/>
          <w:color w:val="202A33"/>
          <w:sz w:val="22"/>
        </w:rPr>
        <w:t>Update direct imports gradually.</w:t>
      </w:r>
    </w:p>
    <w:p>
      <w:pPr>
        <w:pStyle w:val="ListNumber"/>
      </w:pPr>
      <w:r>
        <w:rPr>
          <w:rFonts w:ascii="Calibri" w:hAnsi="Calibri"/>
          <w:color w:val="202A33"/>
          <w:sz w:val="22"/>
        </w:rPr>
        <w:t>Verify lint, build, and user flow.</w:t>
      </w:r>
    </w:p>
    <w:p>
      <w:pPr>
        <w:pStyle w:val="ListNumber"/>
      </w:pPr>
      <w:r>
        <w:rPr>
          <w:rFonts w:ascii="Calibri" w:hAnsi="Calibri"/>
          <w:color w:val="202A33"/>
          <w:sz w:val="22"/>
        </w:rPr>
        <w:t>Remove the bridge only when no callers remain.</w:t>
      </w:r>
    </w:p>
    <w:p>
      <w:pPr>
        <w:shd w:fill="FFF4D6"/>
        <w:spacing w:before="100" w:after="100"/>
        <w:ind w:left="115" w:right="115"/>
      </w:pPr>
      <w:r>
        <w:rPr>
          <w:rFonts w:ascii="Calibri" w:hAnsi="Calibri"/>
          <w:b/>
          <w:color w:val="9A6A00"/>
          <w:sz w:val="22"/>
        </w:rPr>
        <w:t xml:space="preserve">When not to refactor: </w:t>
      </w:r>
      <w:r>
        <w:rPr>
          <w:rFonts w:ascii="Calibri" w:hAnsi="Calibri"/>
          <w:color w:val="202A33"/>
          <w:sz w:val="22"/>
        </w:rPr>
        <w:t>Do not reorganize a stable area merely because a newer pattern looks fashionable. Refactor when ownership is unclear, change cost is rising, or a feature needs room to grow.</w:t>
      </w:r>
    </w:p>
    <w:p>
      <w:pPr>
        <w:pStyle w:val="Heading2"/>
      </w:pPr>
      <w:r>
        <w:t>Checkpoint</w:t>
      </w:r>
    </w:p>
    <w:p>
      <w:pPr>
        <w:pStyle w:val="ListBullet"/>
      </w:pPr>
      <w:r>
        <w:rPr>
          <w:rFonts w:ascii="Calibri" w:hAnsi="Calibri"/>
          <w:color w:val="202A33"/>
          <w:sz w:val="22"/>
        </w:rPr>
        <w:t>Beginner: Place a new desktop Calculator app in the structure.</w:t>
      </w:r>
    </w:p>
    <w:p>
      <w:pPr>
        <w:pStyle w:val="ListBullet"/>
      </w:pPr>
      <w:r>
        <w:rPr>
          <w:rFonts w:ascii="Calibri" w:hAnsi="Calibri"/>
          <w:color w:val="202A33"/>
          <w:sz w:val="22"/>
        </w:rPr>
        <w:t>Intermediate: Choose ownership for shared project-card data used by desktop and mobile.</w:t>
      </w:r>
    </w:p>
    <w:p>
      <w:pPr>
        <w:pStyle w:val="ListBullet"/>
      </w:pPr>
      <w:r>
        <w:rPr>
          <w:rFonts w:ascii="Calibri" w:hAnsi="Calibri"/>
          <w:color w:val="202A33"/>
          <w:sz w:val="22"/>
        </w:rPr>
        <w:t>Advanced: Design a migration from compatibility exports to direct feature imports without a flag day.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27D"/>
        <w:sz w:val="17"/>
      </w:rPr>
      <w:t xml:space="preserve">MACFOLIO ENGINEERING TEXTBOOK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27D"/>
        <w:sz w:val="17"/>
      </w:rPr>
      <w:t>VOLUME 2 -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672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