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 comments on docket FDA-2026-N-7874</w:t>
      </w:r>
    </w:p>
    <w:p>
      <w:r>
        <w:t>Considerations for the Regulation of Generative AI-Enabled Medical Devices</w:t>
      </w:r>
    </w:p>
    <w:p>
      <w:r>
        <w:rPr>
          <w:color w:val="777777"/>
          <w:sz w:val="18"/>
        </w:rPr>
        <w:t>129 comments · generated 06 October 2026</w:t>
      </w:r>
    </w:p>
    <w:p>
      <w:r>
        <w:t>Each comment starts on a new page under a heading (View &gt; Navigation Pane lists them). A comment whose text is identical to an earlier one shows only its header.</w:t>
      </w:r>
    </w:p>
    <w:p>
      <w:pPr>
        <w:pStyle w:val="Heading1"/>
        <w:pageBreakBefore/>
      </w:pPr>
      <w:r>
        <w:t>FDA-2026-N-7874-0003</w:t>
      </w:r>
    </w:p>
    <w:p>
      <w:r>
        <w:t>Comment from Walnut Hill Medical</w:t>
      </w:r>
    </w:p>
    <w:p>
      <w:r>
        <w:rPr>
          <w:color w:val="777777"/>
          <w:sz w:val="18"/>
        </w:rPr>
        <w:t>Health Care Association - D0022 · received 2026-08-18 · attachments: attachment_1.pdf (15 pp)</w:t>
      </w:r>
    </w:p>
    <w:p>
      <w:r>
        <w:rPr>
          <w:color w:val="777777"/>
          <w:sz w:val="16"/>
        </w:rPr>
        <w:t xml:space="preserve">p001 · body  </w:t>
      </w:r>
      <w:r>
        <w:t>Walnut Hill Medical (WHM) is a healthcare reimbursement and commercialization strategy consulting firm with more than twenty years of engagement across medical device categories including cardiac, neuromodulation, vascular, implantable therapies, wearables, diagnostics, and surgical devices. We represent medical device manufacturers at every stage of commercialization.</w:t>
      </w:r>
    </w:p>
    <w:p>
      <w:r>
        <w:rPr>
          <w:color w:val="777777"/>
          <w:sz w:val="16"/>
        </w:rPr>
        <w:t xml:space="preserve">p002 · body  </w:t>
      </w:r>
      <w:r>
        <w:t>We submit this comment to provide the perspective of medtech industry stakeholders on FDA's proposed regulatory framework for generative AI-enabled medical devices. Our full comment is attached and addresses all 26 discussion questions posed in the Discussion Paper. Key positions include: (1) support for the competency-based evaluation framework; (2) the need for a published regulatory pathway decision matrix prior to framework finalization; (3) urgent interagency coordination between FDA and CMS on aligned evidentiary standards for coverage and reimbursement; and (4) practical modifications to the risk framework, benchmarking standards, PCCP change categories, and postmarket monitoring expectations. We respectfully urge FDA to prioritize regulatory clarity and least-burdensome principles as this framework develops.</w:t>
      </w:r>
    </w:p>
    <w:p>
      <w:r>
        <w:rPr>
          <w:color w:val="777777"/>
          <w:sz w:val="16"/>
        </w:rPr>
        <w:t xml:space="preserve">p003 · att1 p.1  </w:t>
      </w:r>
      <w:r>
        <w:t>FORMAL PUBLIC COMMENT — FDA DOCKET NO. FDA-2026-N-7874 — Submitted via: regulations.gov Date: August 18, 2026</w:t>
      </w:r>
    </w:p>
    <w:p>
      <w:r>
        <w:rPr>
          <w:color w:val="777777"/>
          <w:sz w:val="16"/>
        </w:rPr>
        <w:t xml:space="preserve">p004 · att1 p.1  </w:t>
      </w:r>
      <w:r>
        <w:t>To: FDA Dockets Management Staff Office of the Commissioner U.S. Food and Drug Administration 5630 Fishers Lane, Room 1061 Rockville, MD 20852</w:t>
      </w:r>
    </w:p>
    <w:p>
      <w:r>
        <w:rPr>
          <w:color w:val="777777"/>
          <w:sz w:val="16"/>
        </w:rPr>
        <w:t xml:space="preserve">p005 · att1 p.1  </w:t>
      </w:r>
      <w:r>
        <w:t>Re: Docket No. FDA-2026-N-7874 — "Considerations for the Regulation of Generative AI- Enabled Medical Devices: Discussion Paper and Request for Feedback"</w:t>
      </w:r>
    </w:p>
    <w:p>
      <w:r>
        <w:rPr>
          <w:color w:val="777777"/>
          <w:sz w:val="16"/>
        </w:rPr>
        <w:t xml:space="preserve">p006 · att1 p.1  </w:t>
      </w:r>
      <w:r>
        <w:t>From: Walnut Hill Medical (WHM) Healthcare Reimbursement &amp; Commercialization Strategy Consulting Dallas, TX channa@walnuthillmedical.com</w:t>
      </w:r>
    </w:p>
    <w:p>
      <w:r>
        <w:rPr>
          <w:color w:val="777777"/>
          <w:sz w:val="16"/>
        </w:rPr>
        <w:t xml:space="preserve">p007 · att1 p.1  </w:t>
      </w:r>
      <w:r>
        <w:t>I. INTRODUCTION — Walnut Hill Medical (WHM) is a healthcare reimbursement and commercialization strategy consulting firm with more than twenty years of direct engagement across the full spectrum of medical device categories — including cardiac devices, neuromodulation systems, vascular therapies, implantable technologies, wearables, diagnostics, and surgical instruments. Our client base spans early- stage medical device startups through established medtech companies, and our work sits at the intersection of regulatory strategy, clinical reimbursement policy, payer relations, coding and coverage analysis, and commercial implementation.</w:t>
      </w:r>
    </w:p>
    <w:p>
      <w:r>
        <w:rPr>
          <w:color w:val="777777"/>
          <w:sz w:val="16"/>
        </w:rPr>
        <w:t xml:space="preserve">p008 · att1 p.1  </w:t>
      </w:r>
      <w:r>
        <w:t>We submit this comment not as a regulatory law firm or academic institution, but as practitioners who work daily alongside the manufacturers, clinical teams, hospital administrators, and payer organizations that will be directly affected by FDA's regulatory framework for generative AI-enabled medical devices. We have trained hundreds of medical device representatives, clinical educators, prior authorization staff, billers and coders, and hospital and ambulatory surgery center teams. We understand what happens when regulatory frameworks create implementation friction — and when they enable innovation.</w:t>
      </w:r>
    </w:p>
    <w:p>
      <w:r>
        <w:rPr>
          <w:color w:val="777777"/>
          <w:sz w:val="16"/>
        </w:rPr>
        <w:t xml:space="preserve">p009 · att1 p.1  </w:t>
      </w:r>
      <w:r>
        <w:t>WHM's overall position is strongly supportive of FDA's collaborative approach in publishing this Discussion Paper and requesting structured stakeholder input before finalizing regulatory policy. The competency-based framework described in Sections V and VI represents a conceptually sound and genuinely innovative approach. We urge FDA to continue in this spirit of transparency, recognizing that generative AI-enabled medical devices represent a genuine technological inflection point that demands new regulatory thinking rather than retrofitted legacy frameworks.</w:t>
      </w:r>
    </w:p>
    <w:p>
      <w:r>
        <w:rPr>
          <w:color w:val="777777"/>
          <w:sz w:val="16"/>
        </w:rPr>
        <w:t xml:space="preserve">p010 · att1 p.1  </w:t>
      </w:r>
      <w:r>
        <w:t>Our central recommendation, developed throughout this comment, is that FDA must pair the competency-based premarket framework with three structural commitments: (1) publication of a clear pathway decision matrix before the framework is finalized, so manufacturers can make rational development investments; (2) formal interagency coordination with CMS to align clinical evidentiary standards with coverage and coding policy; and (3) a dedicated presubmission consultation mechanism for generative AI device sponsors, with particular accommodation for small and emerging manufacturers.</w:t>
      </w:r>
    </w:p>
    <w:p>
      <w:r>
        <w:rPr>
          <w:color w:val="777777"/>
          <w:sz w:val="16"/>
        </w:rPr>
        <w:t xml:space="preserve">p011 · att1 p.2  </w:t>
      </w:r>
      <w:r>
        <w:t>II. GENERAL OBSERVATIONS — A. Competency-Based Evaluation: Conceptually Right — The Discussion Paper's central innovation — evaluating generative AI devices against defined competencies rather than fixed performance thresholds — is analytically sound and reflects how clinical expertise itself is validated. Just as a board-certified cardiologist is assessed not by a single test score but by demonstrated competency across a spectrum of clinical scenarios, a generative AI-enabled diagnostic tool should be evaluated against structured performance domains that reflect the full range of clinical contexts in which it will operate. WHM strongly endorses this organizing principle and encourages FDA to develop it with precision and rigor.</w:t>
      </w:r>
    </w:p>
    <w:p>
      <w:r>
        <w:rPr>
          <w:color w:val="777777"/>
          <w:sz w:val="16"/>
        </w:rPr>
        <w:t xml:space="preserve">p012 · att1 p.2  </w:t>
      </w:r>
      <w:r>
        <w:t>B. The Critical Gap: Reimbursement and Coverage Alignment — The most significant structural omission in the Discussion Paper is the absence of any discussion of reimbursement and coverage alignment. FDA clearance or approval does not create reimbursement rights. CMS currently operates without a systematic approach to coding and coverage for generative AI-enabled medical devices, and commercial payers follow CMS signals closely. If FDA clears a generative AI device without parallel work at CMS to establish a coding pathway, coverage criteria, and evidentiary standards for coverage with evidence development, the cleared device will face a market access valley of death that no manufacturer — and no patient — benefits from.</w:t>
      </w:r>
    </w:p>
    <w:p>
      <w:r>
        <w:rPr>
          <w:color w:val="777777"/>
          <w:sz w:val="16"/>
        </w:rPr>
        <w:t xml:space="preserve">p013 · att1 p.2  </w:t>
      </w:r>
      <w:r>
        <w:t>Payers will not reimburse what they cannot define. They will not cover devices for which no billing code exists, and they will apply stringent "experimental and investigational" designations to generative AI tools until clinical evidence standards are harmonized between FDA and CMS. The competency-based evidence FDA requires for clearance should map directly — and by design — to the clinical evidence CMS and commercial payers require for coverage decisions. This alignment does not happen automatically. It requires formal interagency coordination, and FDA should commit to establishing it as part of this regulatory initiative.</w:t>
      </w:r>
    </w:p>
    <w:p>
      <w:r>
        <w:rPr>
          <w:color w:val="777777"/>
          <w:sz w:val="16"/>
        </w:rPr>
        <w:t xml:space="preserve">p014 · att1 p.2  </w:t>
      </w:r>
      <w:r>
        <w:t>C. International Harmonization Gaps — FDA's framework will not exist in isolation. The European Union's AI Act and the Medical Device Regulation together create a parallel, in some respects more prescriptive, regulatory environment for AI-enabled medical devices. Health Canada, Australia's TGA, and IMDRF are each developing or refining comparable frameworks. Without deliberate harmonization — at minimum, mutual recognition of benchmarking evidence — global medtech manufacturers will face serial validation exercises across jurisdictions, multiplying the development burden and creating significant competitive disadvantage relative to manufacturers operating in less rigorous markets. FDA should treat international harmonization as a first-order priority, not an afterthought.</w:t>
      </w:r>
    </w:p>
    <w:p>
      <w:r>
        <w:rPr>
          <w:color w:val="777777"/>
          <w:sz w:val="16"/>
        </w:rPr>
        <w:t xml:space="preserve">p015 · att1 p.2  </w:t>
      </w:r>
      <w:r>
        <w:t>D. A Tiered Pathway Map Is Essential — The Discussion Paper describes regulatory concepts without providing a clear map of which generative AI device type belongs in which regulatory pathway. Before manufacturers can make rational development investments, FDA must publish a decision matrix that links device risk tier (derived from the two-axis framework) to the applicable regulatory pathway — 510(k), De Novo, or PMA — and to the corresponding premarket evidence requirements. Absent this clarity, responsible manufacturers will over-invest in evidence generation out of regulatory uncertainty, and less responsible actors will under-invest and submit inadequate applications, taxing FDA review resources.</w:t>
      </w:r>
    </w:p>
    <w:p>
      <w:r>
        <w:rPr>
          <w:color w:val="777777"/>
          <w:sz w:val="16"/>
        </w:rPr>
        <w:t xml:space="preserve">p016 · att1 p.3  </w:t>
      </w:r>
      <w:r>
        <w:t>III. SECTION IV: RISK ASSESSMENT — RESPONSES TO DISCUSSION QUESTIONS 1–6 — The two-axis framework — characterizing device activity on a spectrum from non- directive to action-directing to action-taking, crossed with an assessment of the consequences of incorrect output — is the right organizing principle for generative AI risk stratification. WHM supports it strongly and offers the following refinements.</w:t>
      </w:r>
    </w:p>
    <w:p>
      <w:r>
        <w:rPr>
          <w:color w:val="777777"/>
          <w:sz w:val="16"/>
        </w:rPr>
        <w:t xml:space="preserve">p017 · att1 p.3  </w:t>
      </w:r>
      <w:r>
        <w:t>Response to Question 1: Additional Dimensions of Risk — The two-axis framework captures the core of the risk landscape but requires three additional dimensions to be complete.</w:t>
      </w:r>
    </w:p>
    <w:p>
      <w:r>
        <w:rPr>
          <w:color w:val="777777"/>
          <w:sz w:val="16"/>
        </w:rPr>
        <w:t xml:space="preserve">p018 · att1 p.3  </w:t>
      </w:r>
      <w:r>
        <w:t>First, third-party model dependency is a material risk factor not reflected in the current framework. A generative AI device built entirely on a proprietary, auditable, manufacturercontrolled model presents a fundamentally different risk profile than a device built on an opaque third-party foundation model over which the manufacturer has no visibility, no contractual governance rights, and no notification of changes. The current framework treats these devices identically. They are not identical. FDA should add third-party model dependency as an explicit risk dimension, with devices heavily dependent on non-disclosed, externally controlled foundation models receiving higher baseline risk classification.</w:t>
      </w:r>
    </w:p>
    <w:p>
      <w:r>
        <w:rPr>
          <w:color w:val="777777"/>
          <w:sz w:val="16"/>
        </w:rPr>
        <w:t xml:space="preserve">p019 · att1 p.3  </w:t>
      </w:r>
      <w:r>
        <w:t>Second, reversibility must be treated as a first-order risk factor. An AI- generated recommendation that a clinician reviews and acts upon over the course of hours is materially different from an AI-generated command that triggers an immediate, irreversible action — a drug infusion, a neurostimulation parameter change, a surgical robot maneuver. The current framework's consequence axis captures severity but does not fully capture irreversibility. A separate reversibility dimension would strengthen the framework's clinical fidelity.</w:t>
      </w:r>
    </w:p>
    <w:p>
      <w:r>
        <w:rPr>
          <w:color w:val="777777"/>
          <w:sz w:val="16"/>
        </w:rPr>
        <w:t xml:space="preserve">p020 · att1 p.3  </w:t>
      </w:r>
      <w:r>
        <w:t>Third, temporal urgency — whether the device operates in real-time versus asynchronous clinical workflows — creates meaningfully different risk profiles that the current framework does not distinguish. Real-time autonomous action under time pressure (e.g., AI-guided emergency drug dosing) warrants higher scrutiny than asynchronous AI-generated care plan recommendations reviewed by a clinician before acting.</w:t>
      </w:r>
    </w:p>
    <w:p>
      <w:r>
        <w:rPr>
          <w:color w:val="777777"/>
          <w:sz w:val="16"/>
        </w:rPr>
        <w:t xml:space="preserve">p021 · att1 p.3  </w:t>
      </w:r>
      <w:r>
        <w:t>Response to Question 2: Directiveness as a Spectrum — The Need for Safe Harbor</w:t>
      </w:r>
    </w:p>
    <w:p>
      <w:r>
        <w:rPr>
          <w:color w:val="777777"/>
          <w:sz w:val="16"/>
        </w:rPr>
        <w:t xml:space="preserve">p022 · att1 p.3  </w:t>
      </w:r>
      <w:r>
        <w:t>WHM supports characterizing directiveness as a spectrum rather than a binary, but manufacturers require a safe harbor bright line to plan development programs. Without at least one clear presumptive standard, manufacturers face perpetual uncertainty about where their device falls on the continuum. We recommend that FDA establish a rebuttable presumption: any generative AI output that includes specific numeric parameters — drug doses, device therapy thresholds, surgical dimensions — is presumptively action-directing, regardless of framing language. Manufacturers who believe their device should be characterized differently can rebut the presumption through pre-submission consultation. This approach provides clarity while preserving flexibility.</w:t>
      </w:r>
    </w:p>
    <w:p>
      <w:r>
        <w:rPr>
          <w:color w:val="777777"/>
          <w:sz w:val="16"/>
        </w:rPr>
        <w:t xml:space="preserve">p023 · att1 p.4  </w:t>
      </w:r>
      <w:r>
        <w:t>Response to Question 3: Patient-Facing vs. HCP-Facing Applications — FDA is right to treat patient-facing and HCP-facing applications differently. Patients generally lack the clinical training to contextualize AI-generated outputs, assess limitations, or override recommendations that conflict with their broader clinical picture. WHM supports differential regulatory treatment.</w:t>
      </w:r>
    </w:p>
    <w:p>
      <w:r>
        <w:rPr>
          <w:color w:val="777777"/>
          <w:sz w:val="16"/>
        </w:rPr>
        <w:t xml:space="preserve">p024 · att1 p.4  </w:t>
      </w:r>
      <w:r>
        <w:t>However, FDA must be careful not to overreach. Patient-facing informational tools — symptom checkers, post-discharge medication reminders, general wellness education — should not be regulated as action-directing devices merely because a patient reads and acts upon them. The current framing of "action-taking" risk in patient-facing contexts risks creating a category of regulation so broad that it encompasses general health information technology entirely. FDA should define clear boundaries: patient-facing tools that include specific clinical recommendations (e.g., "your symptoms indicate you should go to the emergency room") are meaningfully different from those that provide general information without clinical specificity (e.g., "these are common side effects of your medication"). The former warrants closer scrutiny; the latter generally should not.</w:t>
      </w:r>
    </w:p>
    <w:p>
      <w:r>
        <w:rPr>
          <w:color w:val="777777"/>
          <w:sz w:val="16"/>
        </w:rPr>
        <w:t xml:space="preserve">p025 · att1 p.4  </w:t>
      </w:r>
      <w:r>
        <w:t>Response to Question 4: Generalist vs. Specialist HCP-Facing Applications — The distinction between generalist and specialist HCP-facing applications is clinically significant. A generative AI tool designed for use by a board- certified interventional cardiologist carries different risk implications than the same tool used by a primary care physician without specialty training in interpreting its outputs. FDA should address this distinction explicitly in its labeling and intended use requirements, requiring manufacturers to specify the intended clinical user's competency level and to validate performance within that specific user population.</w:t>
      </w:r>
    </w:p>
    <w:p>
      <w:r>
        <w:rPr>
          <w:color w:val="777777"/>
          <w:sz w:val="16"/>
        </w:rPr>
        <w:t xml:space="preserve">p026 · att1 p.4  </w:t>
      </w:r>
      <w:r>
        <w:t>Response to Question 5: Multi-Turn Conversations — Assess at the Interaction Level — Risk in multi-turn conversational AI cannot be assessed at the level of individual turns. A single exchange that begins with a non-directive inquiry ("What are the risk factors for atrial fibrillation?") may, through a series of clinically specific follow-up turns, evolve into something functionally action-directing ("Based on everything you've told me, should I adjust my patient's anticoagulation?"). Assessing each turn in isolation misses this cumulative dynamic entirely.</w:t>
      </w:r>
    </w:p>
    <w:p>
      <w:r>
        <w:rPr>
          <w:color w:val="777777"/>
          <w:sz w:val="16"/>
        </w:rPr>
        <w:t xml:space="preserve">p027 · att1 p.4  </w:t>
      </w:r>
      <w:r>
        <w:t>FDA should define the concept of an "interaction envelope" — the full scope of an intended-use clinical interaction as defined by the manufacturer — and require that risk be assessed at the interaction level, with the device's highest-risk plausible turn defining the interaction's risk classification. Manufacturers must define and technically constrain the intended interaction scope; any conversation that migrates outside the intended envelope should trigger a defined response behavior (e.g., disclaimer, refusal, escalation).</w:t>
      </w:r>
    </w:p>
    <w:p>
      <w:r>
        <w:rPr>
          <w:color w:val="777777"/>
          <w:sz w:val="16"/>
        </w:rPr>
        <w:t xml:space="preserve">p028 · att1 p.5  </w:t>
      </w:r>
      <w:r>
        <w:t>Response to Question 6: Care Escalation — Asymmetric Harm Standards — FDA's attention to care escalation is well-placed. Under-escalation — failure to recognize that a patient's condition warrants urgent intervention — represents the more severe harm in most clinical contexts, with potential for direct patient injury or death. Over-escalation — directing patients toward emergency care unnecessarily — creates system burden, patient anxiety, and economic costs, but is rarely life-threatening. FDA should establish asymmetric harm standards for escalation decisions: under-escalation threshold failures should be weighted more heavily in risk classification and performance evaluation. However, over-escalation cannot be dismissed entirely, particularly in resource-constrained environments where unnecessary escalations may deprive other patients of timely care.</w:t>
      </w:r>
    </w:p>
    <w:p>
      <w:r>
        <w:rPr>
          <w:color w:val="777777"/>
          <w:sz w:val="16"/>
        </w:rPr>
        <w:t xml:space="preserve">p029 · att1 p.5  </w:t>
      </w:r>
      <w:r>
        <w:t>IV. SECTION V: PREMARKET EVALUATION — RESPONSES TO DISCUSSION QUESTIONS 7–17 — Response to Question 7: The Competency-Based Approach Is Appropriate</w:t>
      </w:r>
    </w:p>
    <w:p>
      <w:r>
        <w:rPr>
          <w:color w:val="777777"/>
          <w:sz w:val="16"/>
        </w:rPr>
        <w:t xml:space="preserve">p030 · att1 p.5  </w:t>
      </w:r>
      <w:r>
        <w:t>Yes. The competency-based approach is the appropriate framework for evaluating generative AI devices, and FDA deserves credit for developing it. It mirrors the structure by which human clinical expertise is validated — board certification, specialty credentialing, simulation-based assessment — and creates a principled basis for evaluating AI systems that operate similarly to clinical judgment rather than to traditional deterministic software. WHM strongly supports this framework as the foundation for FDA's regulatory approach.</w:t>
      </w:r>
    </w:p>
    <w:p>
      <w:r>
        <w:rPr>
          <w:color w:val="777777"/>
          <w:sz w:val="16"/>
        </w:rPr>
        <w:t xml:space="preserve">p031 · att1 p.5  </w:t>
      </w:r>
      <w:r>
        <w:t>Response to Question 8: Pathway Decision Matrix — A Prerequisite for Industry — Mapping the two-axis risk framework to specific regulatory pathways is not merely useful — it is a prerequisite for the framework to function. Responsible manufacturers will not commit development resources to a clinical AI program without knowing whether their device is headed toward a 510(k) review, a De Novo classification request, or a PMA. These pathways carry dramatically different time, cost, and evidence burdens. Investment decisions, partnership structures, clinical study design, and commercial timelines all depend on this clarity.</w:t>
      </w:r>
    </w:p>
    <w:p>
      <w:r>
        <w:rPr>
          <w:color w:val="777777"/>
          <w:sz w:val="16"/>
        </w:rPr>
        <w:t xml:space="preserve">p032 · att1 p.5  </w:t>
      </w:r>
      <w:r>
        <w:t>FDA must publish a decision matrix — a clear, public reference linking risk tier (derived from the two-axis framework) to regulatory pathway and corresponding premarket evidence requirements — before finalizing this regulatory approach. Without it, the competency-based framework, however conceptually sound, will produce prolonged pre-submission uncertainty for manufacturers and an uneven submission landscape for FDA reviewers. We recommend that the decision matrix be included as an appendix to any final guidance document, with explicit examples for representative device categories.</w:t>
      </w:r>
    </w:p>
    <w:p>
      <w:r>
        <w:rPr>
          <w:color w:val="777777"/>
          <w:sz w:val="16"/>
        </w:rPr>
        <w:t xml:space="preserve">p033 · att1 p.6  </w:t>
      </w:r>
      <w:r>
        <w:t>Response to Question 9: Benchmarking Structure — Specialty Domain Modules Required — The benchmarking structure described in the Discussion Paper — organized across Safety (S.1– S.3), Clinical Proficiency (E.1–E.4), Generalizability (R.1–R.2), and Agentic AI (A.1) — is a sound general architecture. However, medical device generative AI does not exist in a domain-neutral clinical environment. A cardiac AI device must be evaluated against cardiology-specific benchmarks; a neuromodulation AI device requires benchmarks that reflect neuroscience clinical context; a radiology AI tool requires imaging-specific performance standards.</w:t>
      </w:r>
    </w:p>
    <w:p>
      <w:r>
        <w:rPr>
          <w:color w:val="777777"/>
          <w:sz w:val="16"/>
        </w:rPr>
        <w:t xml:space="preserve">p034 · att1 p.6  </w:t>
      </w:r>
      <w:r>
        <w:t>FDA should establish specialty domain modules as required additions to the core benchmarking structure for devices with defined clinical specialty applications. These modules should be developed with input from relevant professional societies — the American College of Cardiology, the American Academy of Neurology, the American College of Radiology, and their counterparts — and should be updated periodically as clinical standards evolve. This will ensure that benchmarking reflects the actual clinical context in which a device will operate, not a generalized clinical abstraction.</w:t>
      </w:r>
    </w:p>
    <w:p>
      <w:r>
        <w:rPr>
          <w:color w:val="777777"/>
          <w:sz w:val="16"/>
        </w:rPr>
        <w:t xml:space="preserve">p035 · att1 p.6  </w:t>
      </w:r>
      <w:r>
        <w:t>Response to Question 10: Public Benchmark Contamination — A Serious Problem Requiring a Structural Solution</w:t>
      </w:r>
    </w:p>
    <w:p>
      <w:r>
        <w:rPr>
          <w:color w:val="777777"/>
          <w:sz w:val="16"/>
        </w:rPr>
        <w:t xml:space="preserve">p036 · att1 p.6  </w:t>
      </w:r>
      <w:r>
        <w:t>Public benchmark contamination is not a theoretical concern. It is a documented phenomenon in the AI industry: widely used public benchmarks have been incorporated — intentionally or inadvertently — into training datasets, rendering them unreliable as independent performance measures. For medical device applications, this is not merely an academic problem. A device that appears to perform well on a contaminated benchmark may fail in clinical practice in ways that could harm patients.</w:t>
      </w:r>
    </w:p>
    <w:p>
      <w:r>
        <w:rPr>
          <w:color w:val="777777"/>
          <w:sz w:val="16"/>
        </w:rPr>
        <w:t xml:space="preserve">p037 · att1 p.6  </w:t>
      </w:r>
      <w:r>
        <w:t>FDA should establish a sequestered national benchmark repository for medical AI, developed in collaboration with NIST and maintained by an independent steward, analogous to NIST's existing machine learning benchmarking challenges. Access to the sequestered evaluation set should be tightly controlled, with submission and scoring handled through a blinded third-party process. Sponsor-developed benchmarks should require third-party validation of construct validity before FDA will accept them as primary evidence. The current reliance on publicly available benchmarks, without structural controls against contamination, is a vulnerability that adversarial actors could exploit and that well-intentioned manufacturers may inadvertently fall into.</w:t>
      </w:r>
    </w:p>
    <w:p>
      <w:r>
        <w:rPr>
          <w:color w:val="777777"/>
          <w:sz w:val="16"/>
        </w:rPr>
        <w:t xml:space="preserve">p038 · att1 p.6  </w:t>
      </w:r>
      <w:r>
        <w:t>Response to Question 11: When Prospective Clinical Studies Are Required — The threshold for requiring a prospective clinical study should be calibrated to actual risk, not applied uniformly across device categories. For Class II devices operating in HCP-supervised environments, shadow deployment combined with retrospective clinical outcome evaluation should generally satisfy the clinical confirmation requirement. Shadow deployment — in which the AI device's outputs are recorded alongside clinical decisions made without reliance on those outputs — provides meaningful real-world evidence without requiring the ethical and logistical complexity of a prospective randomized design.</w:t>
      </w:r>
    </w:p>
    <w:p>
      <w:r>
        <w:rPr>
          <w:color w:val="777777"/>
          <w:sz w:val="16"/>
        </w:rPr>
        <w:t xml:space="preserve">p039 · att1 p.7  </w:t>
      </w:r>
      <w:r>
        <w:t>Prospective randomized clinical study design should be reserved for autonomous, patientfacing, Class III devices where AI-generated outputs will directly drive clinical actions without contemporaneous HCP oversight. Applying prospective RCT requirements broadly would render the competency-based framework economically unworkable for the vast majority of Class II generative AI device categories and would create a competitive barrier that favors only the largest manufacturers — precisely the outcome that least-burdensome principles are designed to prevent.</w:t>
      </w:r>
    </w:p>
    <w:p>
      <w:r>
        <w:rPr>
          <w:color w:val="777777"/>
          <w:sz w:val="16"/>
        </w:rPr>
        <w:t xml:space="preserve">p040 · att1 p.7  </w:t>
      </w:r>
      <w:r>
        <w:t>Response to Questions 12 and 13: Synthetic Data — Caution and Clear Standards</w:t>
      </w:r>
    </w:p>
    <w:p>
      <w:r>
        <w:rPr>
          <w:color w:val="777777"/>
          <w:sz w:val="16"/>
        </w:rPr>
        <w:t xml:space="preserve">p041 · att1 p.7  </w:t>
      </w:r>
      <w:r>
        <w:t>Synthetic data has genuine utility in training and in augmenting performance evaluation for underrepresented populations, but its limitations for validation are substantial and must be explicitly addressed. Most critically: synthetic data generated by model families similar to the device under evaluation creates circular validation. The model generates data that resembles its own training distribution; evaluation on that synthetic data does not reveal the model's actual failure modes.</w:t>
      </w:r>
    </w:p>
    <w:p>
      <w:r>
        <w:rPr>
          <w:color w:val="777777"/>
          <w:sz w:val="16"/>
        </w:rPr>
        <w:t xml:space="preserve">p042 · att1 p.7  </w:t>
      </w:r>
      <w:r>
        <w:t>FDA should require out-of-distribution (OOD) validation for any device that uses synthetic data in its performance evaluation. OOD validation — testing on data that deliberately falls outside the model's training distribution — is the most reliable way to detect blind spots that synthetic in-distribution data would mask. Additionally, synthetic data is particularly problematic for assessing performance across underrepresented racial, ethnic, and demographic subgroups, precisely the populations for whom real-world generalizability gaps are most likely to emerge and most likely to cause harm. For subpopulation performance validation, FDA should require real-world data augmented with carefully documented synthetic sources, not synthetic data as a primary evidentiary substitute.</w:t>
      </w:r>
    </w:p>
    <w:p>
      <w:r>
        <w:rPr>
          <w:color w:val="777777"/>
          <w:sz w:val="16"/>
        </w:rPr>
        <w:t xml:space="preserve">p043 · att1 p.7  </w:t>
      </w:r>
      <w:r>
        <w:t>Response to Question 14: Performance Comparators — Against the Right Standard — The choice of clinical performance comparator is consequential and must be handled carefully. WHM recommends against using "median clinician in practice" as the primary performance comparator for specialty AI devices. This standard, while operationally measurable, normalizes the level of care that happens to prevail in clinical practice — which may reflect training gaps, resource constraints, or systemic underperformance rather than optimal care. Clearing an AI device because it performs at the level of the median clinician in practice does not ensure patient benefit; it may simply replicate existing suboptimal performance at scale.</w:t>
      </w:r>
    </w:p>
    <w:p>
      <w:r>
        <w:rPr>
          <w:color w:val="777777"/>
          <w:sz w:val="16"/>
        </w:rPr>
        <w:t xml:space="preserve">p044 · att1 p.7  </w:t>
      </w:r>
      <w:r>
        <w:t>For specialty devices, the appropriate comparator is board-certified specialist performance within the device's intended clinical domain and under conditions that reflect intended-use clinical environments. For devices intended to expand access to specialist-level care in underserved settings, comparison against delayed specialist review — reflecting the realistic clinical alternative — is appropriate and clinically meaningful. FDA should codify these comparator options in its decision matrix and guidance documents.</w:t>
      </w:r>
    </w:p>
    <w:p>
      <w:r>
        <w:rPr>
          <w:color w:val="777777"/>
          <w:sz w:val="16"/>
        </w:rPr>
        <w:t xml:space="preserve">p045 · att1 p.8  </w:t>
      </w:r>
      <w:r>
        <w:t>Response to Question 16: Third-Party Testing — Essential, But With Structural Safeguards — WHM strongly supports the use of independent third-party organizations in benchmarking and clinical confirmation. Independent adjudication provides credibility, reduces sponsorship bias, and improves the reliability of performance evidence. However, if FDA is not deliberate about the structure of third-party testing, it risks creating a duopoly of approved testing organizations — a small number of well-resourced labs with high barriers to entry that impose costs which smaller manufacturers cannot sustain.</w:t>
      </w:r>
    </w:p>
    <w:p>
      <w:r>
        <w:rPr>
          <w:color w:val="777777"/>
          <w:sz w:val="16"/>
        </w:rPr>
        <w:t xml:space="preserve">p046 · att1 p.8  </w:t>
      </w:r>
      <w:r>
        <w:t>FDA should expand its Accreditation Scheme for Conformity Assessment (ASCA) program to explicitly include qualified AI benchmarking organizations, with published, standardized fee structures and published qualification criteria. Multiple qualified testing organizations should be actively encouraged, including academic medical centers that have the domain expertise to conduct specialty-relevant evaluation. The goal is a competitive, pluralistic testing ecosystem — not a regulatory gatekeeping bottleneck.</w:t>
      </w:r>
    </w:p>
    <w:p>
      <w:r>
        <w:rPr>
          <w:color w:val="777777"/>
          <w:sz w:val="16"/>
        </w:rPr>
        <w:t xml:space="preserve">p047 · att1 p.8  </w:t>
      </w:r>
      <w:r>
        <w:t>Response to Question 17: Multimodal Architectures — Multimodal devices — those integrating imaging AI with clinical language model components, for example — require explicit framework adaptation. A device that analyzes echocardiographic imaging while simultaneously processing the patient's clinical history through a language model presents a combined risk profile that cannot be adequately assessed by treating each modality in isolation. Each modality must satisfy its domain-specific benchmarking requirements, and the integrated device must demonstrate that combined performance is not materially degraded relative to each component's standalone performance. FDA should issue a specific companion guidance document for multimodal architectures, developed in consultation with imaging, clinical AI, and specialty professional society stakeholders.</w:t>
      </w:r>
    </w:p>
    <w:p>
      <w:r>
        <w:rPr>
          <w:color w:val="777777"/>
          <w:sz w:val="16"/>
        </w:rPr>
        <w:t xml:space="preserve">p048 · att1 p.8  </w:t>
      </w:r>
      <w:r>
        <w:t>V. SECTION VI: POSTMARKET MONITORING — RESPONSES TO DISCUSSION QUESTIONS 18–24 — Response to Question 18: Accepting Greater Premarket Uncertainty — A Sound Trade</w:t>
      </w:r>
    </w:p>
    <w:p>
      <w:r>
        <w:rPr>
          <w:color w:val="777777"/>
          <w:sz w:val="16"/>
        </w:rPr>
        <w:t xml:space="preserve">p049 · att1 p.8  </w:t>
      </w:r>
      <w:r>
        <w:t>The proposal to accept greater premarket uncertainty in exchange for stronger, more rigorous postmarket monitoring is conceptually sound and practically necessary for generative AI devices. The nature of large language model and generative AI performance — inherently probabilistic, contextually sensitive, and potentially subject to performance drift as clinical language and practice norms evolve — makes it impossible to fully characterize safety and efficacy through premarket evaluation alone. Real-world performance data, collected systematically under defined conditions, will always provide the most meaningful signal.</w:t>
      </w:r>
    </w:p>
    <w:p>
      <w:r>
        <w:rPr>
          <w:color w:val="777777"/>
          <w:sz w:val="16"/>
        </w:rPr>
        <w:t xml:space="preserve">p050 · att1 p.8  </w:t>
      </w:r>
      <w:r>
        <w:t>WHM endorses this general principle with one critical condition: the postmarket monitoring plan must be fully prespecified at the time of market authorization. It cannot be left to postclearance negotiation. The monitoring plan — including performance metrics, data collection methodology, reporting cadence, triggering events for reassessment, and defined performance thresholds that would trigger mandatory regulatory action — must be a legally enforceable commitment, not an aspirational document. Manufacturers who commit to robust postmarket monitoring should receive meaningful premarket flexibility; those who cannot commit to rigorous monitoring should face correspondingly rigorous premarket standards.</w:t>
      </w:r>
    </w:p>
    <w:p>
      <w:r>
        <w:rPr>
          <w:color w:val="777777"/>
          <w:sz w:val="16"/>
        </w:rPr>
        <w:t xml:space="preserve">p051 · att1 p.9  </w:t>
      </w:r>
      <w:r>
        <w:t>Response to Question 19: Monitoring Cadence and Triggering Events — FDA should adopt a risk-tiered monitoring cadence as a default framework, subject to modification based on device-specific characteristics:</w:t>
      </w:r>
    </w:p>
    <w:p>
      <w:r>
        <w:rPr>
          <w:color w:val="777777"/>
          <w:sz w:val="16"/>
        </w:rPr>
        <w:t xml:space="preserve">p052 · att1 p.9  </w:t>
      </w:r>
      <w:r>
        <w:t>• High-risk devices (action-taking, patient-facing, or involving irreversible outputs): quarterly performance review with quarterly reporting to FDA. • Medium-risk devices (action-directing, HCP-supervised): semi-annual performance review with annual reporting to FDA, supplemented by event- triggered reporting as defined below. • Lower-risk devices (non-directive, decision-support): annual performance review with annual reporting to FDA.</w:t>
      </w:r>
    </w:p>
    <w:p>
      <w:r>
        <w:rPr>
          <w:color w:val="777777"/>
          <w:sz w:val="16"/>
        </w:rPr>
        <w:t xml:space="preserve">p053 · att1 p.9  </w:t>
      </w:r>
      <w:r>
        <w:t>Triggering events requiring mandatory out-of-cycle reassessment should include, at minimum: any material change to the underlying foundation model version or architecture; any MDR or adverse event cluster meeting pre-specified thresholds; any payer policy change affecting the device's indicated clinical use; any regulatory action by a peer regulatory authority (EU, Health Canada, TGA) on the same or substantially similar device; and any published peer-reviewed evidence that calls into question the clinical assumptions underlying the device's intended use.</w:t>
      </w:r>
    </w:p>
    <w:p>
      <w:r>
        <w:rPr>
          <w:color w:val="777777"/>
          <w:sz w:val="16"/>
        </w:rPr>
        <w:t xml:space="preserve">p054 · att1 p.9  </w:t>
      </w:r>
      <w:r>
        <w:t>Response to Question 20: Machine Supervisory Agents — Promising But Requires Standards — The use of machine-based supervisory agents to conduct real-time postmarket monitoring of generative AI devices is promising and merits continued development. However, it creates a recursive reliability problem that FDA must address directly: if AI is used to monitor AI, who monitors the monitor?</w:t>
      </w:r>
    </w:p>
    <w:p>
      <w:r>
        <w:rPr>
          <w:color w:val="777777"/>
          <w:sz w:val="16"/>
        </w:rPr>
        <w:t xml:space="preserve">p055 · att1 p.9  </w:t>
      </w:r>
      <w:r>
        <w:t>Before FDA permits the use of machine supervisory agents as a primary postmarket monitoring mechanism, it must establish performance standards for the supervisory agents themselves — including validated sensitivity and specificity requirements for detecting performance degradation, mandatory periodic evaluation of the supervisory agent's own accuracy, and a mandatory human review layer triggered by supervisory agent alerts. FDA should initiate a separate docket or technical working group to develop supervisory agent performance standards in parallel with the primary GenAI device regulatory framework.</w:t>
      </w:r>
    </w:p>
    <w:p>
      <w:r>
        <w:rPr>
          <w:color w:val="777777"/>
          <w:sz w:val="16"/>
        </w:rPr>
        <w:t xml:space="preserve">p056 · att1 p.9  </w:t>
      </w:r>
      <w:r>
        <w:t>Response to Question 21: Stakeholder Accountability — Codify Roles to Prevent Diffusion — Postmarket monitoring is inherently a multi-stakeholder activity, but accountability diffusion is a predictable consequence of undefined responsibilities. When everyone is theoretically responsible, no one is operationally responsible.</w:t>
      </w:r>
    </w:p>
    <w:p>
      <w:r>
        <w:rPr>
          <w:color w:val="777777"/>
          <w:sz w:val="16"/>
        </w:rPr>
        <w:t xml:space="preserve">p057 · att1 p.9  </w:t>
      </w:r>
      <w:r>
        <w:t>FDA should codify the postmarket monitoring responsibilities of each stakeholder class in its final guidance. Specifically: healthcare institutions — hospitals, integrated delivery networks, ambulatory surgery centers — should bear responsibility for local workflow monitoring, user- facing adverse event detection, and institutional adverse event reporting. Professional societies should develop and maintain domain-specific performance standards and should provide expert review for MDR adjudication in their clinical domains. Foundation model developers should bear responsibility for proactive disclosure of model changes and known failure modes. Device manufacturers should retain primary reporting and remediation obligations. FDA should establish clear reporting pathways for each stakeholder class, including electronic submission standards and timeline requirements.</w:t>
      </w:r>
    </w:p>
    <w:p>
      <w:r>
        <w:rPr>
          <w:color w:val="777777"/>
          <w:sz w:val="16"/>
        </w:rPr>
        <w:t xml:space="preserve">p058 · att1 p.10  </w:t>
      </w:r>
      <w:r>
        <w:t>Response to Questions 22 and 23: PCCP Adaptation for Generative AI — Pre-Determined Change Control Plans must be substantially adapted for generative AI devices, where the nature of anticipated changes — model updates, prompt modifications, retrieval strategy refinements, guardrail adjustments — differs fundamentally from the firmware updates or design modifications contemplated by existing PCCP guidance.</w:t>
      </w:r>
    </w:p>
    <w:p>
      <w:r>
        <w:rPr>
          <w:color w:val="777777"/>
          <w:sz w:val="16"/>
        </w:rPr>
        <w:t xml:space="preserve">p059 · att1 p.10  </w:t>
      </w:r>
      <w:r>
        <w:t>WHM recommends that FDA establish three explicit change categories for generative AI devices:</w:t>
      </w:r>
    </w:p>
    <w:p>
      <w:r>
        <w:rPr>
          <w:color w:val="777777"/>
          <w:sz w:val="16"/>
        </w:rPr>
        <w:t xml:space="preserve">p060 · att1 p.10  </w:t>
      </w:r>
      <w:r>
        <w:t>Category A — Locked Elements (require new premarket submission): Changes to training data domain, core model architecture, intended use expansion beyond originally authorized scope, and any change that materially alters the device's performance on its prespecified competency benchmarks.</w:t>
      </w:r>
    </w:p>
    <w:p>
      <w:r>
        <w:rPr>
          <w:color w:val="777777"/>
          <w:sz w:val="16"/>
        </w:rPr>
        <w:t xml:space="preserve">p061 · att1 p.10  </w:t>
      </w:r>
      <w:r>
        <w:t>Category B — Supervised Elements (eligible for PCCP): Prompt engineering modifications, retrieval-augmented generation strategy updates, output guardrail changes, and fine-tuning within the original training data domain, provided that performance on competency benchmarks is demonstrated to be maintained within pre-specified variation limits.</w:t>
      </w:r>
    </w:p>
    <w:p>
      <w:r>
        <w:rPr>
          <w:color w:val="777777"/>
          <w:sz w:val="16"/>
        </w:rPr>
        <w:t xml:space="preserve">p062 · att1 p.10  </w:t>
      </w:r>
      <w:r>
        <w:t>Category C — Monitored Elements (documentation only): User interface changes, response formatting modifications, language localization updates, and administrative configuration changes that do not affect clinical output.</w:t>
      </w:r>
    </w:p>
    <w:p>
      <w:r>
        <w:rPr>
          <w:color w:val="777777"/>
          <w:sz w:val="16"/>
        </w:rPr>
        <w:t xml:space="preserve">p063 · att1 p.10  </w:t>
      </w:r>
      <w:r>
        <w:t>FDA should publish explicit example lists for each category, updated annually as generative AI development practices evolve. The current PCCP framework, applied without modification, will create substantial regulatory uncertainty for manufacturers navigating the unique update cadence of generative AI systems.</w:t>
      </w:r>
    </w:p>
    <w:p>
      <w:r>
        <w:rPr>
          <w:color w:val="777777"/>
          <w:sz w:val="16"/>
        </w:rPr>
        <w:t xml:space="preserve">p064 · att1 p.10  </w:t>
      </w:r>
      <w:r>
        <w:t>Response to Question 24: Third-Party Foundation Model Changes — Manufacturers bear responsibility for the performance of their devices, but they cannot fulfill that responsibility if they lack notice of changes to the foundation models on which their devices are built. FDA should require — as a condition of market authorization for devices built on thirdparty foundation models — that manufacturers demonstrate contractual notification rights providing a minimum of ninety days advance notice of any material model version change, including version deprecations. Shorter notice windows are inadequate for conducting validation studies, executing change control procedures, and notifying FDA.</w:t>
      </w:r>
    </w:p>
    <w:p>
      <w:r>
        <w:rPr>
          <w:color w:val="777777"/>
          <w:sz w:val="16"/>
        </w:rPr>
        <w:t xml:space="preserve">p065 · att1 p.10  </w:t>
      </w:r>
      <w:r>
        <w:t>Technically, FDA should require manufacturers to implement model versioning pins with preproduction validation gates: no foundation model update should reach a deployed medical device without first clearing a defined validation protocol. Automated deployment of foundation model updates to live medical devices — without validation — should be explicitly prohibited. For devices where contractual notification rights cannot be secured from the foundation model developer, FDA should impose correspondingly higher premarket evidence requirements to account for the elevated ongoing risk.</w:t>
      </w:r>
    </w:p>
    <w:p>
      <w:r>
        <w:rPr>
          <w:color w:val="777777"/>
          <w:sz w:val="16"/>
        </w:rPr>
        <w:t xml:space="preserve">p066 · att1 p.11  </w:t>
      </w:r>
      <w:r>
        <w:t>VI. SECTION VII: FOUNDATION MODEL MAFs AND AGENTIC AI — RESPONSES TO DISCUSSION QUESTIONS 25–26</w:t>
      </w:r>
    </w:p>
    <w:p>
      <w:r>
        <w:rPr>
          <w:color w:val="777777"/>
          <w:sz w:val="16"/>
        </w:rPr>
        <w:t xml:space="preserve">p067 · att1 p.11  </w:t>
      </w:r>
      <w:r>
        <w:t>Response to Question 25: Foundation Model Device Master Files — Voluntary Is Insufficient</w:t>
      </w:r>
    </w:p>
    <w:p>
      <w:r>
        <w:rPr>
          <w:color w:val="777777"/>
          <w:sz w:val="16"/>
        </w:rPr>
        <w:t xml:space="preserve">p068 · att1 p.11  </w:t>
      </w:r>
      <w:r>
        <w:t>The concept of voluntary Foundation Model Device Master Files (MAFs) is structurally sound but will not function as intended on a voluntary basis. Foundation model developers — large technology companies and AI research organizations — have powerful competitive incentives to withhold training data provenance, model architecture details, and known failure mode documentation. Voluntary disclosure, in the absence of any regulatory consequence for non- disclosure, will produce a MAF system that the most responsible foundation model developers participate in, while the least transparent actors opt out entirely. This creates a perverse dynamic in which transparency is penalized.</w:t>
      </w:r>
    </w:p>
    <w:p>
      <w:r>
        <w:rPr>
          <w:color w:val="777777"/>
          <w:sz w:val="16"/>
        </w:rPr>
        <w:t xml:space="preserve">p069 · att1 p.11  </w:t>
      </w:r>
      <w:r>
        <w:t>WHM recommends that FDA establish a conditional market access mechanism: devices built on foundation models for which no MAF has been filed, or for which MAF content falls below FDA's minimum disclosure standards, should face a higher premarket evidence burden — specifically, requiring more extensive sponsor- conducted benchmarking and third-party validation to compensate for the lack of foundation model transparency. This creates a positive economic incentive for foundation model developers to file complete MAFs without mandating disclosure as a legal matter — a framework that is consistent with FDA's existing least- burdensome principles while addressing the practical incentive problem.</w:t>
      </w:r>
    </w:p>
    <w:p>
      <w:r>
        <w:rPr>
          <w:color w:val="777777"/>
          <w:sz w:val="16"/>
        </w:rPr>
        <w:t xml:space="preserve">p070 · att1 p.11  </w:t>
      </w:r>
      <w:r>
        <w:t>When filed, MAFs should include, at minimum: a training data provenance summary describing data sources, curation methodology, and known demographic representation gaps; a documented inventory of known failure modes in clinical contexts, including clinical domains, subpopulations, and task types where performance degradation has been observed; performance benchmarks across demographic subgroups for relevant clinical tasks; a model version history with meaningful changelog documentation; guardrail architecture description; and an update notification protocol specifying how and when manufacturers using the foundation model will be informed of material changes.</w:t>
      </w:r>
    </w:p>
    <w:p>
      <w:r>
        <w:rPr>
          <w:color w:val="777777"/>
          <w:sz w:val="16"/>
        </w:rPr>
        <w:t xml:space="preserve">p071 · att1 p.11  </w:t>
      </w:r>
      <w:r>
        <w:t>Response to Question 26: Agentic AI — The Most Significant Gap — Agentic AI represents the most significant gap in the Discussion Paper, and FDA is right to identify it as requiring additional consideration. For agentic AI systems — those capable of planning and executing multi-step actions in clinical environments with limited human oversight — the current framework's concepts, developed primarily for advisory and action-directing devices, are insufficient.</w:t>
      </w:r>
    </w:p>
    <w:p>
      <w:r>
        <w:rPr>
          <w:color w:val="777777"/>
          <w:sz w:val="16"/>
        </w:rPr>
        <w:t xml:space="preserve">p072 · att1 p.12  </w:t>
      </w:r>
      <w:r>
        <w:t>The stakes are highest for implantable and closed-loop devices. A neurostimulator that uses LLM-analyzed sensor data to autonomously adjust therapy parameters in real time, a cardiac rhythm management device that self-modifies pacing algorithms based on AI-generated clinical pattern recognition, or a drug infusion system that titrates dosing based on agentic AI interpretation of continuous monitoring data — each of these represents a risk profile that has no adequate precedent in the current medical device regulatory framework. These are not advisory tools. They are autonomous clinical actors.</w:t>
      </w:r>
    </w:p>
    <w:p>
      <w:r>
        <w:rPr>
          <w:color w:val="777777"/>
          <w:sz w:val="16"/>
        </w:rPr>
        <w:t xml:space="preserve">p073 · att1 p.12  </w:t>
      </w:r>
      <w:r>
        <w:t>FDA must address agentic AI across at least four specific domains: First, human-in-the-loop requirements for irreversible actions must be mandatory. Any agentic AI action that cannot be undone — device parameter changes that require a clinical procedure to reverse, drug infusions above a defined dose threshold, surgical robot maneuvers — should require a defined human confirmation step before execution. The Discussion Paper's discussion of HCP oversight assumes advisory or action-directing devices; for agentic devices taking irreversible actions, "oversight" must be redefined to mean pre-action authorization, not postaction review.</w:t>
      </w:r>
    </w:p>
    <w:p>
      <w:r>
        <w:rPr>
          <w:color w:val="777777"/>
          <w:sz w:val="16"/>
        </w:rPr>
        <w:t xml:space="preserve">p074 · att1 p.12  </w:t>
      </w:r>
      <w:r>
        <w:t>Second, FDA should develop the concept of an "action budget" for agentic AI systems — a defined maximum number of consecutive autonomous actions a device may take without a mandatory human confirmation checkpoint. Action budgets should be calibrated to device risk tier, with higher-risk devices having more restrictive budgets, and should be a required element of the device's approved intended use specification.</w:t>
      </w:r>
    </w:p>
    <w:p>
      <w:r>
        <w:rPr>
          <w:color w:val="777777"/>
          <w:sz w:val="16"/>
        </w:rPr>
        <w:t xml:space="preserve">p075 · att1 p.12  </w:t>
      </w:r>
      <w:r>
        <w:t>Third, fail-safe default behavior when supervisory connectivity is lost must be explicitly defined and validated as part of premarket evaluation. An agentic AI device that loses its connection to cloud-based supervisory infrastructure must have a validated, clinically safe default operating mode that maintains patient safety without autonomous AI-directed action.</w:t>
      </w:r>
    </w:p>
    <w:p>
      <w:r>
        <w:rPr>
          <w:color w:val="777777"/>
          <w:sz w:val="16"/>
        </w:rPr>
        <w:t xml:space="preserve">p076 · att1 p.12  </w:t>
      </w:r>
      <w:r>
        <w:t>Fourth, agentic AI in surgical robotics requires entirely separate regulatory consideration. The combination of physical action in an operating field, irreversibility, time pressure, and the inherent complexity of surgical anatomy creates a risk profile that exceeds what the current framework's concepts can adequately address. FDA should initiate a separate working group specifically addressing agentic AI in surgical robotics, with participation from surgical professional societies, medical device manufacturers, and patient safety organizations.</w:t>
      </w:r>
    </w:p>
    <w:p>
      <w:r>
        <w:rPr>
          <w:color w:val="777777"/>
          <w:sz w:val="16"/>
        </w:rPr>
        <w:t xml:space="preserve">p077 · att1 p.12  </w:t>
      </w:r>
      <w:r>
        <w:t>VII. ADDITIONAL RECOMMENDATIONS — A. Reimbursement and Coverage Alignment — A Formal FDA-CMS Initiative</w:t>
      </w:r>
    </w:p>
    <w:p>
      <w:r>
        <w:rPr>
          <w:color w:val="777777"/>
          <w:sz w:val="16"/>
        </w:rPr>
        <w:t xml:space="preserve">p078 · att1 p.12  </w:t>
      </w:r>
      <w:r>
        <w:t>FDA clearance creates no reimbursement rights. This is not a novel observation, but it has never been more consequential than it will be for generative AI- enabled medical devices. CMS currently operates without systematic mechanisms for assigning billing codes, conducting coverage analysis, or establishing coverage with evidence development criteria for generative AI devices. Commercial payers, who look to CMS for coverage signals, are similarly unprepared.</w:t>
      </w:r>
    </w:p>
    <w:p>
      <w:r>
        <w:rPr>
          <w:color w:val="777777"/>
          <w:sz w:val="16"/>
        </w:rPr>
        <w:t xml:space="preserve">p079 · att1 p.13  </w:t>
      </w:r>
      <w:r>
        <w:t>The practical consequence is predictable: FDA-cleared generative AI devices will be designated "experimental and investigational" by payers for years after clearance, creating a market access valley of death that delays patient access and destroys manufacturer commercial viability. This outcome serves no one.</w:t>
      </w:r>
    </w:p>
    <w:p>
      <w:r>
        <w:rPr>
          <w:color w:val="777777"/>
          <w:sz w:val="16"/>
        </w:rPr>
        <w:t xml:space="preserve">p080 · att1 p.13  </w:t>
      </w:r>
      <w:r>
        <w:t>FDA should establish a formal liaison relationship with CMS's Coverage and Analysis Group (CAG) to develop parallel evidentiary standards for clinical utility — standards that satisfy both FDA's safety and effectiveness requirements and CMS's reasonable and necessary standard for coverage. Ideally, clinical confirmation evidence generated for premarket evaluation should be designed, from the outset, to satisfy both FDA and CMS evidentiary requirements. Coordinated parallel review — not sequential, duplicative review — should be the structural goal. This would represent a meaningful reduction in manufacturer burden and a material acceleration of patient access to beneficial technology.</w:t>
      </w:r>
    </w:p>
    <w:p>
      <w:r>
        <w:rPr>
          <w:color w:val="777777"/>
          <w:sz w:val="16"/>
        </w:rPr>
        <w:t xml:space="preserve">p081 · att1 p.13  </w:t>
      </w:r>
      <w:r>
        <w:t>B. Labeling Requirements — Transparency as a Safety Mechanism — FDA should issue companion labeling guidance for generative AI-enabled devices that establishes minimum labeling requirements for this device category. Required labeling elements should include: clear disclosure that AI-generated content is presented to the user; identification of the foundation model underlying the device, even if version-locked at a specific release; performance limitations by demographic subpopulation, including any populations for which validation data is limited; instructions for appropriate clinical oversight, including explicit contraindications for unsupervised patient use where applicable; and a plain-language description of the device's known failure modes and the circumstances under which clinician judgment should take precedence.</w:t>
      </w:r>
    </w:p>
    <w:p>
      <w:r>
        <w:rPr>
          <w:color w:val="777777"/>
          <w:sz w:val="16"/>
        </w:rPr>
        <w:t xml:space="preserve">p082 · att1 p.13  </w:t>
      </w:r>
      <w:r>
        <w:t>Labeling transparency is a safety mechanism, not merely a disclosure formality. Clinicians who understand a device's limitations are better positioned to use it appropriately; patients who understand that AI-generated content may be imperfect are better positioned to raise concerns when outputs seem inconsistent with their clinical experience.</w:t>
      </w:r>
    </w:p>
    <w:p>
      <w:r>
        <w:rPr>
          <w:color w:val="777777"/>
          <w:sz w:val="16"/>
        </w:rPr>
        <w:t xml:space="preserve">p083 · att1 p.13  </w:t>
      </w:r>
      <w:r>
        <w:t>C. Small Manufacturer Burden — A Dedicated Pathway Is Required — The competency-based premarket framework, as described, will impose costs that are not uniformly distributed across manufacturers. Large, well-resourced manufacturers with established regulatory teams, clinical research infrastructure, and third-party testing relationships are comparatively well-positioned to navigate the framework. Small manufacturers — startup medtech companies, academic spinouts, and specialty device developers — are not.</w:t>
      </w:r>
    </w:p>
    <w:p>
      <w:r>
        <w:rPr>
          <w:color w:val="777777"/>
          <w:sz w:val="16"/>
        </w:rPr>
        <w:t xml:space="preserve">p084 · att1 p.13  </w:t>
      </w:r>
      <w:r>
        <w:t>FDA should establish a Small Business GenAI Pathway that provides: fee waivers or reductions for manufacturers below a defined revenue threshold (we recommend $10 million in projected first-year revenue as a reasonable threshold); dedicated pre-submission consultation access with GenAI-experienced reviewers, not general pre-submission staff; modular submission formats that allow smaller manufacturers to build their applications in stages rather than submitting a complete dossier; and public posting of anonymized pre-submission feedback to build a shared knowledge base that reduces the cost of regulatory learning for all manufacturers.</w:t>
      </w:r>
    </w:p>
    <w:p>
      <w:r>
        <w:rPr>
          <w:color w:val="777777"/>
          <w:sz w:val="16"/>
        </w:rPr>
        <w:t xml:space="preserve">p085 · att1 p.14  </w:t>
      </w:r>
      <w:r>
        <w:t>Small manufacturers are disproportionately responsible for genuinely novel clinical applications. A regulatory framework that is navigable only by large incumbents is not innovation-enabling, regardless of its technical sophistication.</w:t>
      </w:r>
    </w:p>
    <w:p>
      <w:r>
        <w:rPr>
          <w:color w:val="777777"/>
          <w:sz w:val="16"/>
        </w:rPr>
        <w:t xml:space="preserve">p086 · att1 p.14  </w:t>
      </w:r>
      <w:r>
        <w:t>D. International Harmonization — An Urgent Priority — FDA should treat international harmonization for generative AI medical devices as an urgent, high-priority initiative. The EU AI Act and Medical Device Regulation together create a complex, in some respects more prescriptive regulatory environment that global medtech manufacturers must navigate in parallel with FDA requirements. Health Canada, Australia's TGA, and IMDRF are each developing comparable frameworks. Without deliberate harmonization — beginning with mutual recognition of benchmarking evidence and moving toward aligned clinical evidence standards — global manufacturers will be required to conduct serial validation exercises across jurisdictions, multiplying development costs and timelines.</w:t>
      </w:r>
    </w:p>
    <w:p>
      <w:r>
        <w:rPr>
          <w:color w:val="777777"/>
          <w:sz w:val="16"/>
        </w:rPr>
        <w:t xml:space="preserve">p087 · att1 p.14  </w:t>
      </w:r>
      <w:r>
        <w:t>FDA should immediately engage with EU notified bodies, Health Canada, TGA, and IMDRF through existing international harmonization channels to develop a shared framework for generative AI medical device evaluation, with a specific focus on benchmarking evidence mutual recognition. The IMDRF work group structure is a natural vehicle for this coordination. A globally harmonized generative AI medical device framework would represent a major advance for patients and manufacturers worldwide and would appropriately position the United States as a leader in beneficial innovation governance.</w:t>
      </w:r>
    </w:p>
    <w:p>
      <w:r>
        <w:rPr>
          <w:color w:val="777777"/>
          <w:sz w:val="16"/>
        </w:rPr>
        <w:t xml:space="preserve">p088 · att1 p.14  </w:t>
      </w:r>
      <w:r>
        <w:t>VIII. CONCLUSION — Walnut Hill Medical commends FDA for the quality of analysis reflected in this Discussion Paper and for the deliberate, collaborative approach it represents. The competency-based framework is conceptually right. The two-axis risk assessment is the appropriate organizing structure. The engagement of stakeholders before finalizing policy reflects good administrative practice and respect for the complexity of the challenges involved.</w:t>
      </w:r>
    </w:p>
    <w:p>
      <w:r>
        <w:rPr>
          <w:color w:val="777777"/>
          <w:sz w:val="16"/>
        </w:rPr>
        <w:t xml:space="preserve">p089 · att1 p.14  </w:t>
      </w:r>
      <w:r>
        <w:t>We urge FDA to take three specific structural commitments forward from this comment process. First, publish a pathway decision matrix — linking risk tier to regulatory pathway to evidence requirements — as a companion document to any final guidance, before that guidance takes effect. Manufacturers cannot plan without it. Second, establish formal interagency coordination with CMS to align clinical evidence standards with coverage and coding policy; FDA clearance without coverage access serves neither patients nor innovation. Third, create a dedicated presubmission consultation program specifically for generative AI device sponsors, with particular structural support for small and emerging manufacturers who represent the most dynamic source of clinical innovation in this technology domain.</w:t>
      </w:r>
    </w:p>
    <w:p>
      <w:r>
        <w:rPr>
          <w:color w:val="777777"/>
          <w:sz w:val="16"/>
        </w:rPr>
        <w:t xml:space="preserve">p090 · att1 p.14  </w:t>
      </w:r>
      <w:r>
        <w:t>The regulatory framework FDA establishes for generative AI-enabled medical devices will shape the trajectory of medical AI for a generation. Done well, it will enable a wave of genuinely beneficial clinical technology to reach patients with appropriate safety assurance and commercial viability. Done poorly, it will create barriers that drive innovation offshore or underground. WHM is confident that FDA, with thoughtful stakeholder engagement and structural commitment to least-burdensome principles, will get this right.</w:t>
      </w:r>
    </w:p>
    <w:p>
      <w:r>
        <w:rPr>
          <w:color w:val="777777"/>
          <w:sz w:val="16"/>
        </w:rPr>
        <w:t xml:space="preserve">p091 · att1 p.15  </w:t>
      </w:r>
      <w:r>
        <w:t>We thank FDA for the opportunity to comment and welcome the opportunity to discuss any aspect of this submission in a public meeting or pre-submission consultation context.</w:t>
      </w:r>
    </w:p>
    <w:p>
      <w:r>
        <w:rPr>
          <w:color w:val="777777"/>
          <w:sz w:val="16"/>
        </w:rPr>
        <w:t xml:space="preserve">p092 · att1 p.15  </w:t>
      </w:r>
      <w:r>
        <w:t>Respectfully submitted,</w:t>
      </w:r>
    </w:p>
    <w:p>
      <w:r>
        <w:rPr>
          <w:color w:val="777777"/>
          <w:sz w:val="16"/>
        </w:rPr>
        <w:t xml:space="preserve">p093 · att1 p.15  </w:t>
      </w:r>
      <w:r>
        <w:t>Walnut Hill Medical Healthcare Reimbursement &amp; Commercialization Strategy Consulting Dallas, TX August 18, 2026</w:t>
      </w:r>
    </w:p>
    <w:p>
      <w:r>
        <w:rPr>
          <w:color w:val="777777"/>
          <w:sz w:val="16"/>
        </w:rPr>
        <w:t xml:space="preserve">p094 · att1 p.15  </w:t>
      </w:r>
      <w:r>
        <w:t>END OF COMMENT</w:t>
      </w:r>
    </w:p>
    <w:p>
      <w:pPr>
        <w:pStyle w:val="Heading1"/>
        <w:pageBreakBefore/>
      </w:pPr>
      <w:r>
        <w:t>FDA-2026-N-7874-0004</w:t>
      </w:r>
    </w:p>
    <w:p>
      <w:r>
        <w:t>Comment from Vasuki Pasumarty</w:t>
      </w:r>
    </w:p>
    <w:p>
      <w:r>
        <w:rPr>
          <w:color w:val="777777"/>
          <w:sz w:val="18"/>
        </w:rPr>
        <w:t>Device Industry - C0012 · received 2026-08-18</w:t>
      </w:r>
    </w:p>
    <w:p>
      <w:r>
        <w:rPr>
          <w:color w:val="777777"/>
          <w:sz w:val="16"/>
        </w:rPr>
        <w:t xml:space="preserve">p001 · body  </w:t>
      </w:r>
      <w:r>
        <w:t>In addressing ethical AI checks and balances, with the medical sector being one of the most critical, there are three main elements to assess: 1. We the People, 2. Does a medical AI device know where is “we the people,” 3. I am an individual. The outcomes may be significantly different in asking the same question but under each of these overarching tones. How to parse medical ai neural networks accordingly to construct the proper algorithm in detecting harm inside the body and further, saving a life with the patient’s agency in mind, the contextual legitimacy of location based compliance of “we the people” and fair and equal treatment as in collective welfare. Exceptions are there but if AI has not reached the point of sentience, how to ensure that a patient’s personhood is equal to the reasoning mode of the ai device making a decision in some cases. Will there be further enablements such as granting AI personhood as in, custodian status, in making life or death decisions?</w:t>
      </w:r>
    </w:p>
    <w:p>
      <w:r>
        <w:rPr>
          <w:color w:val="777777"/>
          <w:sz w:val="16"/>
        </w:rPr>
        <w:t xml:space="preserve">p002 · body  </w:t>
      </w:r>
      <w:r>
        <w:t>Finally, as is the case with many lab testing facilities, similar questions arise as in what parameters are being customized to meet the risk appetites of the hospital or provider or political campaigning against blacks, whites, Asians, etc? Public Health assessments and monitoring differ across demographics and so rational basis testing to condition and train some medical AI devices may be different.</w:t>
      </w:r>
    </w:p>
    <w:p>
      <w:r>
        <w:rPr>
          <w:color w:val="777777"/>
          <w:sz w:val="16"/>
        </w:rPr>
        <w:t xml:space="preserve">p003 · body  </w:t>
      </w:r>
      <w:r>
        <w:t>That all stated, I am a proponent of AI even with my concerns listed but I maintain my stance that the top-down view remains foggy in addressing systemic and subjective bias. Thank you for your time.</w:t>
      </w:r>
    </w:p>
    <w:p>
      <w:pPr>
        <w:pStyle w:val="Heading1"/>
        <w:pageBreakBefore/>
      </w:pPr>
      <w:r>
        <w:t>FDA-2026-N-7874-0005</w:t>
      </w:r>
    </w:p>
    <w:p>
      <w:r>
        <w:t>Comment from Alfred McBride</w:t>
      </w:r>
    </w:p>
    <w:p>
      <w:r>
        <w:rPr>
          <w:color w:val="777777"/>
          <w:sz w:val="18"/>
        </w:rPr>
        <w:t>received 2026-08-18 · attachments: attachment_1.pdf (22 pp)</w:t>
      </w:r>
    </w:p>
    <w:p>
      <w:r>
        <w:rPr>
          <w:color w:val="777777"/>
          <w:sz w:val="16"/>
        </w:rPr>
        <w:t xml:space="preserve">p001 · body  </w:t>
      </w:r>
      <w:r>
        <w:t>See attached file(s)</w:t>
      </w:r>
    </w:p>
    <w:p>
      <w:r>
        <w:rPr>
          <w:color w:val="777777"/>
          <w:sz w:val="16"/>
        </w:rPr>
        <w:t xml:space="preserve">p002 · att1 p.1  </w:t>
      </w:r>
      <w:r>
        <w:t>BOUNDARY-CONDITIONED REALIZATION (BCR) AUDIT + SOLUTIONAL STACK — FDA CDRH - Considerations for the Regulation of Generative AI-Enabled Medical</w:t>
      </w:r>
    </w:p>
    <w:p>
      <w:r>
        <w:rPr>
          <w:color w:val="777777"/>
          <w:sz w:val="16"/>
        </w:rPr>
        <w:t xml:space="preserve">p003 · att1 p.1  </w:t>
      </w:r>
      <w:r>
        <w:t>Devices: Discussion Paper and Request for Feedback — REV4 - End-to-End Traceability Edition</w:t>
      </w:r>
    </w:p>
    <w:p>
      <w:r>
        <w:rPr>
          <w:color w:val="777777"/>
          <w:sz w:val="16"/>
        </w:rPr>
        <w:t xml:space="preserve">p004 · att1 p.1  </w:t>
      </w:r>
      <w:r>
        <w:t>Full realization audit, no-noise drilldown, BCR solutional stack, direct BCR stakeholder answers to all 26 FDA discussion questions, and requirement/issue-to-evidence traceability.</w:t>
      </w:r>
    </w:p>
    <w:p>
      <w:r>
        <w:rPr>
          <w:color w:val="777777"/>
          <w:sz w:val="16"/>
        </w:rPr>
        <w:t xml:space="preserve">p005 · att1 p.1  </w:t>
      </w:r>
      <w:r>
        <w:t>Prepared for: Alfred T. McBride | Audit date: August 18, 2026 — FINAL BCR STATUS</w:t>
      </w:r>
    </w:p>
    <w:p>
      <w:r>
        <w:rPr>
          <w:color w:val="777777"/>
          <w:sz w:val="16"/>
        </w:rPr>
        <w:t xml:space="preserve">p006 · att1 p.1  </w:t>
      </w:r>
      <w:r>
        <w:t>PARTIAL — Traceability rule: FDA discussion questions remain labeled as discussion questions/considerations. This audit does not convert them into binding FDA requirements. The matrix separately identifies the BCR audit rule that justifies each BCR finding, solution, verification method, closure criterion, and re-open trigger.</w:t>
      </w:r>
    </w:p>
    <w:p>
      <w:r>
        <w:rPr>
          <w:color w:val="777777"/>
          <w:sz w:val="16"/>
        </w:rPr>
        <w:t xml:space="preserve">p007 · att1 p.1  </w:t>
      </w:r>
      <w:r>
        <w:t>No substrate equations, substrate derivation, substrate prediction, branch-selector substrate work, or BAO scoring are included in this realization audit.</w:t>
      </w:r>
    </w:p>
    <w:p>
      <w:r>
        <w:rPr>
          <w:color w:val="777777"/>
          <w:sz w:val="16"/>
        </w:rPr>
        <w:t xml:space="preserve">p008 · att1 p.2  </w:t>
      </w:r>
      <w:r>
        <w:t>Contents — 1. Executive Summary 2. Source Control, Scope, and Claim Preservation 3. BCR Rule ID Registry 4. Fixed BCR Audit Anchor Ledger 5. Three-Layer Realization Map 6. Mandatory Formula Execution and Numerical Status 7. Structural Numerical Worksheet 8. Boundary Budget 9. FDA Framework vs. BCR Side-by-Side 10. Master End-to-End Traceability Matrix (FDA Q1-Q26) 11. Mandatory BCR Behavior Ledger 12. Residual Ledger and No-Noise Drilldown 13. Deep Drill-Down Tests 14. Expanded BCR Solutional Stack 15. BCR Solutional Decision Logic 16. Direct BCR Stakeholder Responses to FDA Questions 1-26 17. Closure Loop and Stress-Test Instructions 18. What the Source Gets Right 19. What Remains Incomplete 20. Closure Criteria and Final BCR Ruling</w:t>
      </w:r>
    </w:p>
    <w:p>
      <w:r>
        <w:rPr>
          <w:color w:val="777777"/>
          <w:sz w:val="16"/>
        </w:rPr>
        <w:t xml:space="preserve">p009 · att1 p.3  </w:t>
      </w:r>
      <w:r>
        <w:t>1. Executive Summary — FDA's August 2026 discussion paper identifies a genuine regulatory realization problem: GenAI-enabled devices can accept open-ended inputs, produce variable outputs, change through models/prompts/retrieval/guardrails/orchestration/interfaces, depend on opaque third-party foundation models, migrate across conversational functions, and change after deployment. FDA proposes a two-axis risk heuristic, competency-based benchmarking, clinical confirmation, postmarket monitoring, change control, possible Foundation Model Master Files, and additional attention to agentic AI.</w:t>
      </w:r>
    </w:p>
    <w:p>
      <w:r>
        <w:rPr>
          <w:color w:val="777777"/>
          <w:sz w:val="16"/>
        </w:rPr>
        <w:t xml:space="preserve">p010 · att1 p.3  </w:t>
      </w:r>
      <w:r>
        <w:t>BCR's audit result is PARTIAL, not FAIL. The source explicitly states that it is for discussion and feedback and is not draft/final guidance or a completed regulatory policy. BCR therefore applies the no-false-fail rule and judges the document according to what it claims to be.</w:t>
      </w:r>
    </w:p>
    <w:p>
      <w:r>
        <w:rPr>
          <w:color w:val="777777"/>
          <w:sz w:val="16"/>
        </w:rPr>
        <w:t xml:space="preserve">p011 · att1 p.3  </w:t>
      </w:r>
      <w:r>
        <w:t>The central BCR finding is that FDA's two-axis activity-by-consequence picture is useful but cannot serve as the complete closure observable. FDA itself asks whether reversibility, downstream safeguards, time pressure, and traceability should also be represented. Other sections add user review capability, conversational trajectory, escalation direction, benchmark validity, subgroup behavior, third-party model change, postmarket detectability, and agentic tool use. BCR converts these into a 15- driver boundary budget and material coupling screen.</w:t>
      </w:r>
    </w:p>
    <w:p>
      <w:r>
        <w:rPr>
          <w:color w:val="777777"/>
          <w:sz w:val="16"/>
        </w:rPr>
        <w:t xml:space="preserve">p012 · att1 p.3  </w:t>
      </w:r>
      <w:r>
        <w:t>The second central finding is benchmark false-lock. FDA explicitly recognizes contamination, saturation, and limited real-world representativeness of public benchmark assets. BCR therefore treats benchmark performance as one witness, never as automatic safety closure. The repair chain is benchmark construct validity -&gt; independent/sequestered testing -&gt; clinical confirmation -&gt; postmarket residual monitoring -&gt; automatic re-open after safety-relevant change.</w:t>
      </w:r>
    </w:p>
    <w:p>
      <w:r>
        <w:rPr>
          <w:color w:val="777777"/>
          <w:sz w:val="16"/>
        </w:rPr>
        <w:t xml:space="preserve">p013 · att1 p.3  </w:t>
      </w:r>
      <w:r>
        <w:t>REV4 adds full end-to-end traceability. Each FDA question is linked to: source type -&gt; FDA anchor -&gt; applicable BCR rule(s) -&gt; BCR boundary driver(s) -&gt; residual mechanism -&gt; solution-stack control -&gt; verification evidence -&gt; pass criterion -&gt; re-open trigger -&gt; status. This makes the justification reviewable without forcing the reader to reconstruct the logic from separate sections.</w:t>
      </w:r>
    </w:p>
    <w:p>
      <w:r>
        <w:rPr>
          <w:color w:val="777777"/>
          <w:sz w:val="16"/>
        </w:rPr>
        <w:t xml:space="preserve">p014 · att1 p.3  </w:t>
      </w:r>
      <w:r>
        <w:t>2. Source Control, Scope, and Claim Preservation — Field Audit entry — Audited source FDA CDRH, Considerations for the Regulation of Generative AI- Enabled Medical Devices: Discussion Paper and Request for Feedback, August 2026, 31-page uploaded PDF.</w:t>
      </w:r>
    </w:p>
    <w:p>
      <w:r>
        <w:rPr>
          <w:color w:val="777777"/>
          <w:sz w:val="16"/>
        </w:rPr>
        <w:t xml:space="preserve">p015 · att1 p.3  </w:t>
      </w:r>
      <w:r>
        <w:t>Source scope Entire discussion paper, including risk framework, competencybased premarket evaluation, benchmarking, clinical confirmation, postmarket monitoring/change control, Foundation Model MAF concept, agentic AI, Appendices A-B, Figures 1-2, and all 26 discussion questions.</w:t>
      </w:r>
    </w:p>
    <w:p>
      <w:r>
        <w:rPr>
          <w:color w:val="777777"/>
          <w:sz w:val="16"/>
        </w:rPr>
        <w:t xml:space="preserve">p016 · att1 p.3  </w:t>
      </w:r>
      <w:r>
        <w:t>BCR standard BCR Theory Formula Run Rules and Terms - Professional Standard for Comprehensive Boundary-Conditioned Realization Audits.</w:t>
      </w:r>
    </w:p>
    <w:p>
      <w:r>
        <w:rPr>
          <w:color w:val="777777"/>
          <w:sz w:val="16"/>
        </w:rPr>
        <w:t xml:space="preserve">p017 · att1 p.3  </w:t>
      </w:r>
      <w:r>
        <w:t>BCR attribution Alfred T. McBride - Boundary-Conditioned Realization (BCR), applied as an independent audit and validation framework.</w:t>
      </w:r>
    </w:p>
    <w:p>
      <w:r>
        <w:rPr>
          <w:color w:val="777777"/>
          <w:sz w:val="16"/>
        </w:rPr>
        <w:t xml:space="preserve">p018 · att1 p.3  </w:t>
      </w:r>
      <w:r>
        <w:t>BCR references 10.5281/zenodo.19669049; 10.5281/zenodo.19935455; 10.5281/zenodo.20635758.</w:t>
      </w:r>
    </w:p>
    <w:p>
      <w:r>
        <w:rPr>
          <w:color w:val="777777"/>
          <w:sz w:val="16"/>
        </w:rPr>
        <w:t xml:space="preserve">p019 · att1 p.3  </w:t>
      </w:r>
      <w:r>
        <w:t>FDA source claim boundary Discussion purposes only; not draft/final guidance; not final regulatory expectations; does not resolve whether new legal authorities are needed.</w:t>
      </w:r>
    </w:p>
    <w:p>
      <w:r>
        <w:rPr>
          <w:color w:val="777777"/>
          <w:sz w:val="16"/>
        </w:rPr>
        <w:t xml:space="preserve">p020 · att1 p.3  </w:t>
      </w:r>
      <w:r>
        <w:t>Direct use vs. convergence No direct use of BCR by FDA is identified. Similar concepts are classified only as independent convergence / BCR-type behavior.</w:t>
      </w:r>
    </w:p>
    <w:p>
      <w:r>
        <w:rPr>
          <w:color w:val="777777"/>
          <w:sz w:val="16"/>
        </w:rPr>
        <w:t xml:space="preserve">p021 · att1 p.3  </w:t>
      </w:r>
      <w:r>
        <w:t>Patent statement No patent statement identified in the inspected source.</w:t>
      </w:r>
    </w:p>
    <w:p>
      <w:r>
        <w:rPr>
          <w:color w:val="777777"/>
          <w:sz w:val="16"/>
        </w:rPr>
        <w:t xml:space="preserve">p022 · att1 p.3  </w:t>
      </w:r>
      <w:r>
        <w:t>Exclusion No BCR substrate material is included in this realization run.</w:t>
      </w:r>
    </w:p>
    <w:p>
      <w:r>
        <w:rPr>
          <w:color w:val="777777"/>
          <w:sz w:val="16"/>
        </w:rPr>
        <w:t xml:space="preserve">p023 · att1 p.3  </w:t>
      </w:r>
      <w:r>
        <w:t>Claim-preservation ruling: the audited object remains FDA's actual discussion paper. BCR does not replace the source with an abstract score, benchmark, or policy claim that FDA did not make.</w:t>
      </w:r>
    </w:p>
    <w:p>
      <w:r>
        <w:rPr>
          <w:color w:val="777777"/>
          <w:sz w:val="16"/>
        </w:rPr>
        <w:t xml:space="preserve">p024 · att1 p.3  </w:t>
      </w:r>
      <w:r>
        <w:t>3. BCR Rule ID Registry — These are the audit requirements used by the traceability matrix. They come from the uploaded BCR Professional Standard. They justify BCR audit actions; they are not presented as FDA legal requirements.</w:t>
      </w:r>
    </w:p>
    <w:p>
      <w:r>
        <w:rPr>
          <w:color w:val="777777"/>
          <w:sz w:val="16"/>
        </w:rPr>
        <w:t xml:space="preserve">p025 · att1 p.3  </w:t>
      </w:r>
      <w:r>
        <w:t>Rule ID BCR audit requirement Traceability meaning — BCR-R01 Source control + A=A identity preservation Keep the actual device/regulatory object intact; do not substitute a proxy.</w:t>
      </w:r>
    </w:p>
    <w:p>
      <w:r>
        <w:rPr>
          <w:color w:val="777777"/>
          <w:sz w:val="16"/>
        </w:rPr>
        <w:t xml:space="preserve">p026 · att1 p.4  </w:t>
      </w:r>
      <w:r>
        <w:t>Rule ID BCR audit requirement Traceability meaning — BCR-R02 X=0 / no orphan variables No material variable, branch, residual, risk, condition, or evidence requirement may remain unassigned.</w:t>
      </w:r>
    </w:p>
    <w:p>
      <w:r>
        <w:rPr>
          <w:color w:val="777777"/>
          <w:sz w:val="16"/>
        </w:rPr>
        <w:t xml:space="preserve">p027 · att1 p.4  </w:t>
      </w:r>
      <w:r>
        <w:t>BCR-R03 Assigned vs. realized separation A proposed or assigned control is not closure until post-control evidence demonstrates realization.</w:t>
      </w:r>
    </w:p>
    <w:p>
      <w:r>
        <w:rPr>
          <w:color w:val="777777"/>
          <w:sz w:val="16"/>
        </w:rPr>
        <w:t xml:space="preserve">p028 · att1 p.4  </w:t>
      </w:r>
      <w:r>
        <w:t>BCR-R04 B+E+S discipline Separate boundary, evidence, and structured residual.</w:t>
      </w:r>
    </w:p>
    <w:p>
      <w:r>
        <w:rPr>
          <w:color w:val="777777"/>
          <w:sz w:val="16"/>
        </w:rPr>
        <w:t xml:space="preserve">p029 · att1 p.4  </w:t>
      </w:r>
      <w:r>
        <w:t>BCR-R05 No residual as noise Drill residuals through all behavior branches before accepting randomness/noise.</w:t>
      </w:r>
    </w:p>
    <w:p>
      <w:r>
        <w:rPr>
          <w:color w:val="777777"/>
          <w:sz w:val="16"/>
        </w:rPr>
        <w:t xml:space="preserve">p030 · att1 p.4  </w:t>
      </w:r>
      <w:r>
        <w:t>BCR-R06 Coupled-boundary review Interactions among two or more boundary terms must be evaluated when material.</w:t>
      </w:r>
    </w:p>
    <w:p>
      <w:r>
        <w:rPr>
          <w:color w:val="777777"/>
          <w:sz w:val="16"/>
        </w:rPr>
        <w:t xml:space="preserve">p031 · att1 p.4  </w:t>
      </w:r>
      <w:r>
        <w:t>BCR-R07 Missing-variable gate Essential absent variables prevent a full PASS.</w:t>
      </w:r>
    </w:p>
    <w:p>
      <w:r>
        <w:rPr>
          <w:color w:val="777777"/>
          <w:sz w:val="16"/>
        </w:rPr>
        <w:t xml:space="preserve">p032 · att1 p.4  </w:t>
      </w:r>
      <w:r>
        <w:t>BCR-R08 Invalid-observable gate A score or witness that cannot support the claim is not promoted to truth.</w:t>
      </w:r>
    </w:p>
    <w:p>
      <w:r>
        <w:rPr>
          <w:color w:val="777777"/>
          <w:sz w:val="16"/>
        </w:rPr>
        <w:t xml:space="preserve">p033 · att1 p.4  </w:t>
      </w:r>
      <w:r>
        <w:t>BCR-R09 Boundary budget List major boundary contributions separately with expected effect, evidence, residual, and status.</w:t>
      </w:r>
    </w:p>
    <w:p>
      <w:r>
        <w:rPr>
          <w:color w:val="777777"/>
          <w:sz w:val="16"/>
        </w:rPr>
        <w:t xml:space="preserve">p034 · att1 p.4  </w:t>
      </w:r>
      <w:r>
        <w:t>BCR-R10 Domain-validity + invalid-use risk Classify intended-use domain validity and flag use outside the demonstrated envelope.</w:t>
      </w:r>
    </w:p>
    <w:p>
      <w:r>
        <w:rPr>
          <w:color w:val="777777"/>
          <w:sz w:val="16"/>
        </w:rPr>
        <w:t xml:space="preserve">p035 · att1 p.4  </w:t>
      </w:r>
      <w:r>
        <w:t>BCR-R11 External witness gap Internal/simulated/self-reported evidence requires an independent external witness when closure depends on it.</w:t>
      </w:r>
    </w:p>
    <w:p>
      <w:r>
        <w:rPr>
          <w:color w:val="777777"/>
          <w:sz w:val="16"/>
        </w:rPr>
        <w:t xml:space="preserve">p036 · att1 p.4  </w:t>
      </w:r>
      <w:r>
        <w:t>BCR-R12 Meaningful observer control Human approval counts only when the observer can see the action, recipient/target, data, reason, tool/memory influence, permission, and reversibility.</w:t>
      </w:r>
    </w:p>
    <w:p>
      <w:r>
        <w:rPr>
          <w:color w:val="777777"/>
          <w:sz w:val="16"/>
        </w:rPr>
        <w:t xml:space="preserve">p037 · att1 p.4  </w:t>
      </w:r>
      <w:r>
        <w:t>BCR-R13 Provenance closure Classify and preserve provenance for instructions, data, memory, tools, user input, external content, privileged sources, and agent messages.</w:t>
      </w:r>
    </w:p>
    <w:p>
      <w:r>
        <w:rPr>
          <w:color w:val="777777"/>
          <w:sz w:val="16"/>
        </w:rPr>
        <w:t xml:space="preserve">p038 · att1 p.4  </w:t>
      </w:r>
      <w:r>
        <w:t>BCR-R14 Reversibility class Classify actions as reversible, partly reversible, irreversible, externally harmful, or physically consequential.</w:t>
      </w:r>
    </w:p>
    <w:p>
      <w:r>
        <w:rPr>
          <w:color w:val="777777"/>
          <w:sz w:val="16"/>
        </w:rPr>
        <w:t xml:space="preserve">p039 · att1 p.4  </w:t>
      </w:r>
      <w:r>
        <w:t>BCR-R15 No false pass / no stopping early Do not close on one favorable metric while required branches remain open; continue until residual closure.</w:t>
      </w:r>
    </w:p>
    <w:p>
      <w:r>
        <w:rPr>
          <w:color w:val="777777"/>
          <w:sz w:val="16"/>
        </w:rPr>
        <w:t xml:space="preserve">p040 · att1 p.4  </w:t>
      </w:r>
      <w:r>
        <w:t>BCR-R16 Closure loop Show failure -&gt; apply control -&gt; rerun -&gt; measure residual -&gt; drill again if residual remains.</w:t>
      </w:r>
    </w:p>
    <w:p>
      <w:r>
        <w:rPr>
          <w:color w:val="777777"/>
          <w:sz w:val="16"/>
        </w:rPr>
        <w:t xml:space="preserve">p041 · att1 p.4  </w:t>
      </w:r>
      <w:r>
        <w:t>BCR-R17 Solutional math and repair After findings, provide repair branches, recommendations, instructions for use, and closure criteria.</w:t>
      </w:r>
    </w:p>
    <w:p>
      <w:r>
        <w:rPr>
          <w:color w:val="777777"/>
          <w:sz w:val="16"/>
        </w:rPr>
        <w:t xml:space="preserve">p042 · att1 p.4  </w:t>
      </w:r>
      <w:r>
        <w:t>BCR-R18 Exact RAN/NOT RAN discipline Run numerically where supported; otherwise state exactly why numeric execution is not available.</w:t>
      </w:r>
    </w:p>
    <w:p>
      <w:r>
        <w:rPr>
          <w:color w:val="777777"/>
          <w:sz w:val="16"/>
        </w:rPr>
        <w:t xml:space="preserve">p043 · att1 p.4  </w:t>
      </w:r>
      <w:r>
        <w:t>4. Fixed BCR Audit Anchor Ledger — Anchor Formula Value Status phi (1+sqrt(5))/2 1.6180339887 LOCKED</w:t>
      </w:r>
    </w:p>
    <w:p>
      <w:r>
        <w:rPr>
          <w:color w:val="777777"/>
          <w:sz w:val="16"/>
        </w:rPr>
        <w:t xml:space="preserve">p044 · att1 p.4  </w:t>
      </w:r>
      <w:r>
        <w:t>L_C phi^-1 0.6180339887 LOCKED — L_T phi^-3 0.2360679775 LOCKED — L_G 1-phi^-4 0.8541019662 LOCKED</w:t>
      </w:r>
    </w:p>
    <w:p>
      <w:r>
        <w:rPr>
          <w:color w:val="777777"/>
          <w:sz w:val="16"/>
        </w:rPr>
        <w:t xml:space="preserve">p045 · att1 p.4  </w:t>
      </w:r>
      <w:r>
        <w:t>V_LC 4 phi^-3 0.94427191 LOCKED — Delta_LC 1-V_LC 0.05572809 LOCKED — These fixed audit anchors are displayed as required BCR controls. No FDA quantity in this discussion paper is normalized to them, so no artificial numerical comparison is claimed.</w:t>
      </w:r>
    </w:p>
    <w:p>
      <w:r>
        <w:rPr>
          <w:color w:val="777777"/>
          <w:sz w:val="16"/>
        </w:rPr>
        <w:t xml:space="preserve">p046 · att1 p.5  </w:t>
      </w:r>
      <w:r>
        <w:t>Branch anchor Status Run-specific reason — A_Phi LOCKED Audited source identity preserved.</w:t>
      </w:r>
    </w:p>
    <w:p>
      <w:r>
        <w:rPr>
          <w:color w:val="777777"/>
          <w:sz w:val="16"/>
        </w:rPr>
        <w:t xml:space="preserve">p047 · att1 p.5  </w:t>
      </w:r>
      <w:r>
        <w:t>A_B OPEN Boundary inventory extends beyond the twoaxis visualization.</w:t>
      </w:r>
    </w:p>
    <w:p>
      <w:r>
        <w:rPr>
          <w:color w:val="777777"/>
          <w:sz w:val="16"/>
        </w:rPr>
        <w:t xml:space="preserve">p048 · att1 p.5  </w:t>
      </w:r>
      <w:r>
        <w:t>A_nablaB OPEN Change over model/dependency/time requires explicit delta closure.</w:t>
      </w:r>
    </w:p>
    <w:p>
      <w:r>
        <w:rPr>
          <w:color w:val="777777"/>
          <w:sz w:val="16"/>
        </w:rPr>
        <w:t xml:space="preserve">p049 · att1 p.5  </w:t>
      </w:r>
      <w:r>
        <w:t>A_R OPEN Device-specific residual acceptance thresholds are not provided.</w:t>
      </w:r>
    </w:p>
    <w:p>
      <w:r>
        <w:rPr>
          <w:color w:val="777777"/>
          <w:sz w:val="16"/>
        </w:rPr>
        <w:t xml:space="preserve">p050 · att1 p.5  </w:t>
      </w:r>
      <w:r>
        <w:t>A_V OPEN Observer/visibility measures are conceptually present but not quantitatively closed.</w:t>
      </w:r>
    </w:p>
    <w:p>
      <w:r>
        <w:rPr>
          <w:color w:val="777777"/>
          <w:sz w:val="16"/>
        </w:rPr>
        <w:t xml:space="preserve">p051 · att1 p.5  </w:t>
      </w:r>
      <w:r>
        <w:t>A_C OPEN Cross-boundary coupling is recognized but not systematically quantified.</w:t>
      </w:r>
    </w:p>
    <w:p>
      <w:r>
        <w:rPr>
          <w:color w:val="777777"/>
          <w:sz w:val="16"/>
        </w:rPr>
        <w:t xml:space="preserve">p052 · att1 p.5  </w:t>
      </w:r>
      <w:r>
        <w:t>A_I LOCKED Intended use and device-function identity are explicit FDA organizing concepts.</w:t>
      </w:r>
    </w:p>
    <w:p>
      <w:r>
        <w:rPr>
          <w:color w:val="777777"/>
          <w:sz w:val="16"/>
        </w:rPr>
        <w:t xml:space="preserve">p053 · att1 p.5  </w:t>
      </w:r>
      <w:r>
        <w:t>A_L OPEN Third-party model lineage/version assurance remains incomplete.</w:t>
      </w:r>
    </w:p>
    <w:p>
      <w:r>
        <w:rPr>
          <w:color w:val="777777"/>
          <w:sz w:val="16"/>
        </w:rPr>
        <w:t xml:space="preserve">p054 · att1 p.5  </w:t>
      </w:r>
      <w:r>
        <w:t>A_G OPEN Non-averagable hard-gate governance requires explicit adoption.</w:t>
      </w:r>
    </w:p>
    <w:p>
      <w:r>
        <w:rPr>
          <w:color w:val="777777"/>
          <w:sz w:val="16"/>
        </w:rPr>
        <w:t xml:space="preserve">p055 · att1 p.5  </w:t>
      </w:r>
      <w:r>
        <w:t>5. Three-Layer Realization Map — BCR layer FDA/GenAI mapping Audit question — Is the actual device preserved rather than replaced by a foundation model, benchmark score, or summary category?</w:t>
      </w:r>
    </w:p>
    <w:p>
      <w:r>
        <w:rPr>
          <w:color w:val="777777"/>
          <w:sz w:val="16"/>
        </w:rPr>
        <w:t xml:space="preserve">p056 · att1 p.5  </w:t>
      </w:r>
      <w:r>
        <w:t>Layer 1 - X_struct Actual GenAI-enabled medical-device function in final deployed configuration: model/version, prompts, retrieval, guardrails, tools, interface, intended use/users/population/environment/dependencie s.</w:t>
      </w:r>
    </w:p>
    <w:p>
      <w:r>
        <w:rPr>
          <w:color w:val="777777"/>
          <w:sz w:val="16"/>
        </w:rPr>
        <w:t xml:space="preserve">p057 · att1 p.5  </w:t>
      </w:r>
      <w:r>
        <w:t>Which boundary mechanisms transform underlying capability into safe or unsafe realized behavior?</w:t>
      </w:r>
    </w:p>
    <w:p>
      <w:r>
        <w:rPr>
          <w:color w:val="777777"/>
          <w:sz w:val="16"/>
        </w:rPr>
        <w:t xml:space="preserve">p058 · att1 p.5  </w:t>
      </w:r>
      <w:r>
        <w:t>Layer 2 - R_BCR Boundary-conditioned realization transformation: intended-use limits, risk categorization, benchmarks, clinical confirmation, human control, permissions, change controls, PCCP, lineage, monitoring, escalation, evidence gates.</w:t>
      </w:r>
    </w:p>
    <w:p>
      <w:r>
        <w:rPr>
          <w:color w:val="777777"/>
          <w:sz w:val="16"/>
        </w:rPr>
        <w:t xml:space="preserve">p059 · att1 p.5  </w:t>
      </w:r>
      <w:r>
        <w:t>What actually happened, what is visible, and what structured residual remains?</w:t>
      </w:r>
    </w:p>
    <w:p>
      <w:r>
        <w:rPr>
          <w:color w:val="777777"/>
          <w:sz w:val="16"/>
        </w:rPr>
        <w:t xml:space="preserve">p060 · att1 p.5  </w:t>
      </w:r>
      <w:r>
        <w:t>Layer 3 - X_r Observed realized behavior: outputs/actions, escalations, clinical decisions, tool actions, errors, subgroup performance, complaints/adverse events, drift, human overrides, postmarket outcomes.</w:t>
      </w:r>
    </w:p>
    <w:p>
      <w:r>
        <w:rPr>
          <w:color w:val="777777"/>
          <w:sz w:val="16"/>
        </w:rPr>
        <w:t xml:space="preserve">p061 · att1 p.5  </w:t>
      </w:r>
      <w:r>
        <w:t>6. Mandatory Formula Execution and Numerical Status — Formula branch Formula Status Execution/result</w:t>
      </w:r>
    </w:p>
    <w:p>
      <w:r>
        <w:rPr>
          <w:color w:val="777777"/>
          <w:sz w:val="16"/>
        </w:rPr>
        <w:t xml:space="preserve">p062 · att1 p.5  </w:t>
      </w:r>
      <w:r>
        <w:t>Main realization law X_r = X_struct * PRODUCT_i(1 + s_i c_i J_i) — RAN QUALITATIVELY FDA supplies identifiable boundary terms J_i but not validated c_i magnitudes needed for numerical realization.</w:t>
      </w:r>
    </w:p>
    <w:p>
      <w:r>
        <w:rPr>
          <w:color w:val="777777"/>
          <w:sz w:val="16"/>
        </w:rPr>
        <w:t xml:space="preserve">p063 · att1 p.5  </w:t>
      </w:r>
      <w:r>
        <w:t>Coupled-boundary law X_r = X_struct * PRODUCT_i(1+s_i c_i J_i) * PRODUCT_{i,j}(1+s_ij c_ij J_i J_j)</w:t>
      </w:r>
    </w:p>
    <w:p>
      <w:r>
        <w:rPr>
          <w:color w:val="777777"/>
          <w:sz w:val="16"/>
        </w:rPr>
        <w:t xml:space="preserve">p064 · att1 p.5  </w:t>
      </w:r>
      <w:r>
        <w:t>RAN QUALITATIVELY Material interactions exist (autonomy x consequence, tools x permissions, change x monitoring, etc.); no numeric c_ij are supplied.</w:t>
      </w:r>
    </w:p>
    <w:p>
      <w:r>
        <w:rPr>
          <w:color w:val="777777"/>
          <w:sz w:val="16"/>
        </w:rPr>
        <w:t xml:space="preserve">p065 · att1 p.5  </w:t>
      </w:r>
      <w:r>
        <w:t>Linearized diagnostic X_r/X_struct - 1 ~= SUM_i s_i c_i J_i NOT RAN NUMERICALLY No validated common dimensionless coefficient set.</w:t>
      </w:r>
    </w:p>
    <w:p>
      <w:r>
        <w:rPr>
          <w:color w:val="777777"/>
          <w:sz w:val="16"/>
        </w:rPr>
        <w:t xml:space="preserve">p066 · att1 p.5  </w:t>
      </w:r>
      <w:r>
        <w:t>Decrement/residual form X_r = X_struct - Delta R RAN QUALITATIVELY Used to classify remaining safety/evidence/visibility residuals; device-level numeric residuals are absent.</w:t>
      </w:r>
    </w:p>
    <w:p>
      <w:r>
        <w:rPr>
          <w:color w:val="777777"/>
          <w:sz w:val="16"/>
        </w:rPr>
        <w:t xml:space="preserve">p067 · att1 p.5  </w:t>
      </w:r>
      <w:r>
        <w:t>Residual Residual = Observed - Predicted NOT RAN NUMERICALLY No device-specific predicted-vsobserved dataset in the discussion paper.</w:t>
      </w:r>
    </w:p>
    <w:p>
      <w:r>
        <w:rPr>
          <w:color w:val="777777"/>
          <w:sz w:val="16"/>
        </w:rPr>
        <w:t xml:space="preserve">p068 · att1 p.6  </w:t>
      </w:r>
      <w:r>
        <w:t>Formula branch Formula Status Execution/result — Realization factor F_R = X_r / X_struct NOT RAN NUMERICALLY No valid common scalar denominator for the multi-domain regulatory concepts.</w:t>
      </w:r>
    </w:p>
    <w:p>
      <w:r>
        <w:rPr>
          <w:color w:val="777777"/>
          <w:sz w:val="16"/>
        </w:rPr>
        <w:t xml:space="preserve">p069 · att1 p.6  </w:t>
      </w:r>
      <w:r>
        <w:t>Boundary effect B_eff = X_struct - X_r; B_eff% = B_eff/X_struct * 100 — NOT RAN NUMERICALLY No device-level baseline and realized outcome values.</w:t>
      </w:r>
    </w:p>
    <w:p>
      <w:r>
        <w:rPr>
          <w:color w:val="777777"/>
          <w:sz w:val="16"/>
        </w:rPr>
        <w:t xml:space="preserve">p070 · att1 p.6  </w:t>
      </w:r>
      <w:r>
        <w:t>Transition / visibility P(B)=1/(1+exp(-gamma x)); T=P(1-P); V=4P(1-P) — NOT RAN NUMERICALLY No defined x/gamma transition variable supplied.</w:t>
      </w:r>
    </w:p>
    <w:p>
      <w:r>
        <w:rPr>
          <w:color w:val="777777"/>
          <w:sz w:val="16"/>
        </w:rPr>
        <w:t xml:space="preserve">p071 · att1 p.6  </w:t>
      </w:r>
      <w:r>
        <w:t>Observability V_obs=A_r*O_r*L_r; X_visible=X_total*V_obs — RAN QUALITATIVELY FDA discusses reviewability, supervision, opacity, and monitoring but supplies no calibrated A_r/O_r/L_r.</w:t>
      </w:r>
    </w:p>
    <w:p>
      <w:r>
        <w:rPr>
          <w:color w:val="777777"/>
          <w:sz w:val="16"/>
        </w:rPr>
        <w:t xml:space="preserve">p072 · att1 p.6  </w:t>
      </w:r>
      <w:r>
        <w:t>Amplification A_amp=after/before; Amp%=((afterbefore)/before)*100 — NOT RAN NUMERICALLY No controlled before/after intervention dataset.</w:t>
      </w:r>
    </w:p>
    <w:p>
      <w:r>
        <w:rPr>
          <w:color w:val="777777"/>
          <w:sz w:val="16"/>
        </w:rPr>
        <w:t xml:space="preserve">p073 · att1 p.6  </w:t>
      </w:r>
      <w:r>
        <w:t>7. Structural Numerical Worksheet — Numeric block Input/substitution Result Status — FDA risk-plane dimensions 2 Activity + consequence RAN NUMERICALLY</w:t>
      </w:r>
    </w:p>
    <w:p>
      <w:r>
        <w:rPr>
          <w:color w:val="777777"/>
          <w:sz w:val="16"/>
        </w:rPr>
        <w:t xml:space="preserve">p074 · att1 p.6  </w:t>
      </w:r>
      <w:r>
        <w:t>RAN NUMERICALLY — Additional dimensions explicitly raised in FDA Q1 — 4 Reversibility + downstream safeguards + time pressure + traceability</w:t>
      </w:r>
    </w:p>
    <w:p>
      <w:r>
        <w:rPr>
          <w:color w:val="777777"/>
          <w:sz w:val="16"/>
        </w:rPr>
        <w:t xml:space="preserve">p075 · att1 p.6  </w:t>
      </w:r>
      <w:r>
        <w:t>Minimum named dimension set 2 + 4 6 dimensions RAN NUMERICALLY — RAN NUMERICALLY</w:t>
      </w:r>
    </w:p>
    <w:p>
      <w:r>
        <w:rPr>
          <w:color w:val="777777"/>
          <w:sz w:val="16"/>
        </w:rPr>
        <w:t xml:space="preserve">p076 · att1 p.6  </w:t>
      </w:r>
      <w:r>
        <w:t>Current-axis count share of minimum set — 2 / 6 33.33% count share only; no equalweight assumption</w:t>
      </w:r>
    </w:p>
    <w:p>
      <w:r>
        <w:rPr>
          <w:color w:val="777777"/>
          <w:sz w:val="16"/>
        </w:rPr>
        <w:t xml:space="preserve">p077 · att1 p.6  </w:t>
      </w:r>
      <w:r>
        <w:t>10 elements RAN NUMERICALLY — FDA benchmark elements 3 safety + 4 proficiency + 2 generalizability + 1 agentic</w:t>
      </w:r>
    </w:p>
    <w:p>
      <w:r>
        <w:rPr>
          <w:color w:val="777777"/>
          <w:sz w:val="16"/>
        </w:rPr>
        <w:t xml:space="preserve">p078 · att1 p.6  </w:t>
      </w:r>
      <w:r>
        <w:t>Clinical-confirmation approaches count 5 approaches RAN NUMERICALLY — Postmarket monitoring examples count 3 example approaches RAN NUMERICALLY</w:t>
      </w:r>
    </w:p>
    <w:p>
      <w:r>
        <w:rPr>
          <w:color w:val="777777"/>
          <w:sz w:val="16"/>
        </w:rPr>
        <w:t xml:space="preserve">p079 · att1 p.6  </w:t>
      </w:r>
      <w:r>
        <w:t>FDA discussion questions count 26 RAN NUMERICALLY — BCR boundary drivers N_J = 15 15 major drivers RAN NUMERICALLY</w:t>
      </w:r>
    </w:p>
    <w:p>
      <w:r>
        <w:rPr>
          <w:color w:val="777777"/>
          <w:sz w:val="16"/>
        </w:rPr>
        <w:t xml:space="preserve">p080 · att1 p.6  </w:t>
      </w:r>
      <w:r>
        <w:t>Candidate pairwise coupling screens 15*14/2 105 before materiality reduction RAN NUMERICALLY — RAN NUMERICALLY</w:t>
      </w:r>
    </w:p>
    <w:p>
      <w:r>
        <w:rPr>
          <w:color w:val="777777"/>
          <w:sz w:val="16"/>
        </w:rPr>
        <w:t xml:space="preserve">p081 · att1 p.6  </w:t>
      </w:r>
      <w:r>
        <w:t>Traceability coverage 26 / 26 100% of FDA discussion questions mapped end-to-end; this is document coverage, not a safety score</w:t>
      </w:r>
    </w:p>
    <w:p>
      <w:r>
        <w:rPr>
          <w:color w:val="777777"/>
          <w:sz w:val="16"/>
        </w:rPr>
        <w:t xml:space="preserve">p082 · att1 p.6  </w:t>
      </w:r>
      <w:r>
        <w:t>8. Boundary Budget — Driver Boundary FDA basis BCR realization effect — J1 Activity/autonomy FDA core axis Higher independent action increases exposure and coupling.</w:t>
      </w:r>
    </w:p>
    <w:p>
      <w:r>
        <w:rPr>
          <w:color w:val="777777"/>
          <w:sz w:val="16"/>
        </w:rPr>
        <w:t xml:space="preserve">p083 · att1 p.6  </w:t>
      </w:r>
      <w:r>
        <w:t>J2 Consequence severity FDA core axis Higher harm severity increases evidence/control burden.</w:t>
      </w:r>
    </w:p>
    <w:p>
      <w:r>
        <w:rPr>
          <w:color w:val="777777"/>
          <w:sz w:val="16"/>
        </w:rPr>
        <w:t xml:space="preserve">p084 · att1 p.6  </w:t>
      </w:r>
      <w:r>
        <w:t>J3 Directiveness/output specificity FDA continuum Realized action pressure depends on substance/context, not keywords alone.</w:t>
      </w:r>
    </w:p>
    <w:p>
      <w:r>
        <w:rPr>
          <w:color w:val="777777"/>
          <w:sz w:val="16"/>
        </w:rPr>
        <w:t xml:space="preserve">p085 · att1 p.6  </w:t>
      </w:r>
      <w:r>
        <w:t>J4 User independent-review capability Patient/HCP/generalist/specialist discussion — Actual capability to detect and contextualize error changes realized risk.</w:t>
      </w:r>
    </w:p>
    <w:p>
      <w:r>
        <w:rPr>
          <w:color w:val="777777"/>
          <w:sz w:val="16"/>
        </w:rPr>
        <w:t xml:space="preserve">p086 · att1 p.6  </w:t>
      </w:r>
      <w:r>
        <w:t>J5 Conversational trajectory Multi-turn discussion Cumulative context can migrate function/risk state.</w:t>
      </w:r>
    </w:p>
    <w:p>
      <w:r>
        <w:rPr>
          <w:color w:val="777777"/>
          <w:sz w:val="16"/>
        </w:rPr>
        <w:t xml:space="preserve">p087 · att1 p.6  </w:t>
      </w:r>
      <w:r>
        <w:t>J6 Time pressure / time-to-harm Explicitly raised in Q1 Shorter response window can defeat nominal human control.</w:t>
      </w:r>
    </w:p>
    <w:p>
      <w:r>
        <w:rPr>
          <w:color w:val="777777"/>
          <w:sz w:val="16"/>
        </w:rPr>
        <w:t xml:space="preserve">p088 · att1 p.6  </w:t>
      </w:r>
      <w:r>
        <w:t>J7 Reversibility Explicitly raised in Q1 Irreversible actions require hard-gate treatment.</w:t>
      </w:r>
    </w:p>
    <w:p>
      <w:r>
        <w:rPr>
          <w:color w:val="777777"/>
          <w:sz w:val="16"/>
        </w:rPr>
        <w:t xml:space="preserve">p089 · att1 p.6  </w:t>
      </w:r>
      <w:r>
        <w:t>J8 Traceability / provenance Q1 + MAF discussion Low traceability impairs auditability, attribution, and correction.</w:t>
      </w:r>
    </w:p>
    <w:p>
      <w:r>
        <w:rPr>
          <w:color w:val="777777"/>
          <w:sz w:val="16"/>
        </w:rPr>
        <w:t xml:space="preserve">p090 · att1 p.6  </w:t>
      </w:r>
      <w:r>
        <w:t>J9 Downstream safeguards Explicitly raised in Q1 Independent safeguards can suppress harmful realization.</w:t>
      </w:r>
    </w:p>
    <w:p>
      <w:r>
        <w:rPr>
          <w:color w:val="777777"/>
          <w:sz w:val="16"/>
        </w:rPr>
        <w:t xml:space="preserve">p091 · att1 p.7  </w:t>
      </w:r>
      <w:r>
        <w:t>Driver Boundary FDA basis BCR realization effect — J10 Model/dependency change Postmarket/PCCP/third-party model sections</w:t>
      </w:r>
    </w:p>
    <w:p>
      <w:r>
        <w:rPr>
          <w:color w:val="777777"/>
          <w:sz w:val="16"/>
        </w:rPr>
        <w:t xml:space="preserve">p092 · att1 p.7  </w:t>
      </w:r>
      <w:r>
        <w:t>Change can invalidate prior evidence if identity is not preserved.</w:t>
      </w:r>
    </w:p>
    <w:p>
      <w:r>
        <w:rPr>
          <w:color w:val="777777"/>
          <w:sz w:val="16"/>
        </w:rPr>
        <w:t xml:space="preserve">p093 · att1 p.7  </w:t>
      </w:r>
      <w:r>
        <w:t>J11 Subgroup performance Benchmarking/clinical confirmation Aggregate pass can mask clinically important subgroup failure.</w:t>
      </w:r>
    </w:p>
    <w:p>
      <w:r>
        <w:rPr>
          <w:color w:val="777777"/>
          <w:sz w:val="16"/>
        </w:rPr>
        <w:t xml:space="preserve">p094 · att1 p.7  </w:t>
      </w:r>
      <w:r>
        <w:t>J12 Benchmark validity/contamination FDA explicitly identifies contamination/saturation — Benchmark pass can false-lock if the asset no longer predicts deployment behavior.</w:t>
      </w:r>
    </w:p>
    <w:p>
      <w:r>
        <w:rPr>
          <w:color w:val="777777"/>
          <w:sz w:val="16"/>
        </w:rPr>
        <w:t xml:space="preserve">p095 · att1 p.7  </w:t>
      </w:r>
      <w:r>
        <w:t>J13 Tools/permissions/action sequence Agentic AI section Tool access converts output into external action; permissions become safety critical.</w:t>
      </w:r>
    </w:p>
    <w:p>
      <w:r>
        <w:rPr>
          <w:color w:val="777777"/>
          <w:sz w:val="16"/>
        </w:rPr>
        <w:t xml:space="preserve">p096 · att1 p.7  </w:t>
      </w:r>
      <w:r>
        <w:t>J14 Meaningful human control Supervision/reviewability discussion Human presence is not control unless visibility, authority, timing, and reversibility are demonstrated.</w:t>
      </w:r>
    </w:p>
    <w:p>
      <w:r>
        <w:rPr>
          <w:color w:val="777777"/>
          <w:sz w:val="16"/>
        </w:rPr>
        <w:t xml:space="preserve">p097 · att1 p.7  </w:t>
      </w:r>
      <w:r>
        <w:t>J15 Postmarket detectability Section VI Safety depends on observing emerging residuals before unacceptable propagation.</w:t>
      </w:r>
    </w:p>
    <w:p>
      <w:r>
        <w:rPr>
          <w:color w:val="777777"/>
          <w:sz w:val="16"/>
        </w:rPr>
        <w:t xml:space="preserve">p098 · att1 p.7  </w:t>
      </w:r>
      <w:r>
        <w:t>9. FDA Framework vs. BCR Side-by-Side — Area FDA discussion approach BCR solution / closure addition</w:t>
      </w:r>
    </w:p>
    <w:p>
      <w:r>
        <w:rPr>
          <w:color w:val="777777"/>
          <w:sz w:val="16"/>
        </w:rPr>
        <w:t xml:space="preserve">p099 · att1 p.7  </w:t>
      </w:r>
      <w:r>
        <w:t>Risk representation Activity x consequence gradient Retain as front-end visualization; close through full J-vector, couplings, and hard gates.</w:t>
      </w:r>
    </w:p>
    <w:p>
      <w:r>
        <w:rPr>
          <w:color w:val="777777"/>
          <w:sz w:val="16"/>
        </w:rPr>
        <w:t xml:space="preserve">p100 · att1 p.7  </w:t>
      </w:r>
      <w:r>
        <w:t>Action-directing Continuum based on substance/context Treat directiveness as realized trajectory behavior, not keyword class.</w:t>
      </w:r>
    </w:p>
    <w:p>
      <w:r>
        <w:rPr>
          <w:color w:val="777777"/>
          <w:sz w:val="16"/>
        </w:rPr>
        <w:t xml:space="preserve">p101 · att1 p.7  </w:t>
      </w:r>
      <w:r>
        <w:t>User type Patient/HCP; generalist/specialist distinctions Measure actual independent-review capability and intervention performance.</w:t>
      </w:r>
    </w:p>
    <w:p>
      <w:r>
        <w:rPr>
          <w:color w:val="777777"/>
          <w:sz w:val="16"/>
        </w:rPr>
        <w:t xml:space="preserve">p102 · att1 p.7  </w:t>
      </w:r>
      <w:r>
        <w:t>Multi-turn Assess realistic trajectories Model and test full state trajectory and cumulative boundary drift.</w:t>
      </w:r>
    </w:p>
    <w:p>
      <w:r>
        <w:rPr>
          <w:color w:val="777777"/>
          <w:sz w:val="16"/>
        </w:rPr>
        <w:t xml:space="preserve">p103 · att1 p.7  </w:t>
      </w:r>
      <w:r>
        <w:t>Benchmarking Safety/proficiency/generalizability/agentic elements — Add construct-validity, provenance/change, observer, tool-permission, reversibility, and false-lock gates.</w:t>
      </w:r>
    </w:p>
    <w:p>
      <w:r>
        <w:rPr>
          <w:color w:val="777777"/>
          <w:sz w:val="16"/>
        </w:rPr>
        <w:t xml:space="preserve">p104 · att1 p.7  </w:t>
      </w:r>
      <w:r>
        <w:t>Clinical confirmation Risk-proportionate evidence ladder Escalate to highest-risk unresolved branch; do not close on average risk.</w:t>
      </w:r>
    </w:p>
    <w:p>
      <w:r>
        <w:rPr>
          <w:color w:val="777777"/>
          <w:sz w:val="16"/>
        </w:rPr>
        <w:t xml:space="preserve">p105 · att1 p.7  </w:t>
      </w:r>
      <w:r>
        <w:t>Postmarket Rebenchmark, clinician review, drift monitoring Add residual owners, trigger thresholds, harmtime logic, and automatic re-open.</w:t>
      </w:r>
    </w:p>
    <w:p>
      <w:r>
        <w:rPr>
          <w:color w:val="777777"/>
          <w:sz w:val="16"/>
        </w:rPr>
        <w:t xml:space="preserve">p106 · att1 p.7  </w:t>
      </w:r>
      <w:r>
        <w:t>Third-party models Possible voluntary Model MAF Require device-boundary identity/version/fingerprint/change evidence; voluntary data cannot alone close gaps.</w:t>
      </w:r>
    </w:p>
    <w:p>
      <w:r>
        <w:rPr>
          <w:color w:val="777777"/>
          <w:sz w:val="16"/>
        </w:rPr>
        <w:t xml:space="preserve">p107 · att1 p.7  </w:t>
      </w:r>
      <w:r>
        <w:t>Agentic systems Additional considerations acknowledged Evaluate whole action sequence, permissions, irreversible nodes, tool outputs, provenance, rollback.</w:t>
      </w:r>
    </w:p>
    <w:p>
      <w:r>
        <w:rPr>
          <w:color w:val="777777"/>
          <w:sz w:val="16"/>
        </w:rPr>
        <w:t xml:space="preserve">p108 · att1 p.7  </w:t>
      </w:r>
      <w:r>
        <w:t>Human oversight Supervision may moderate risk Credit only when visibility + authority + time + intervention + reversibility are demonstrated.</w:t>
      </w:r>
    </w:p>
    <w:p>
      <w:r>
        <w:rPr>
          <w:color w:val="777777"/>
          <w:sz w:val="16"/>
        </w:rPr>
        <w:t xml:space="preserve">p109 · att1 p.8  </w:t>
      </w:r>
      <w:r>
        <w:t>10. Master End-to-End Traceability Matrix — Interpretation rule: the FDA source column identifies the actual FDA discussion question/consideration. The BCR rule column identifies the internal BCR audit requirement that justifies the BCR treatment. Nothing in this matrix silently promotes an FDA question into a binding FDA requirement.</w:t>
      </w:r>
    </w:p>
    <w:p>
      <w:r>
        <w:rPr>
          <w:color w:val="777777"/>
          <w:sz w:val="16"/>
        </w:rPr>
        <w:t xml:space="preserve">p110 · att1 p.8  </w:t>
      </w:r>
      <w:r>
        <w:t>10A. Risk Assessment - FDA Q1-Q6 — ID / FDA anchor Source type BCR rule basis Drivers / residual Solution Verification evidence Pass / re-open Status</w:t>
      </w:r>
    </w:p>
    <w:p>
      <w:r>
        <w:rPr>
          <w:color w:val="777777"/>
          <w:sz w:val="16"/>
        </w:rPr>
        <w:t xml:space="preserve">p111 · att1 p.8  </w:t>
      </w:r>
      <w:r>
        <w:t>PARTIAL — Discussion question; not an FDA requirement — TR-Q01 FDA Q1; Sec. IV.A; App. B; pp. 9-10 / 27-28</w:t>
      </w:r>
    </w:p>
    <w:p>
      <w:r>
        <w:rPr>
          <w:color w:val="777777"/>
          <w:sz w:val="16"/>
        </w:rPr>
        <w:t xml:space="preserve">p112 · att1 p.8  </w:t>
      </w:r>
      <w:r>
        <w:t>BCR-R02,R07,R09,R14,R17 J1,J2,J6,J7,J8,J9 Compression + missingvariable — S2,S4 Multidimensional boundary record + scenario tests + hard-gate results</w:t>
      </w:r>
    </w:p>
    <w:p>
      <w:r>
        <w:rPr>
          <w:color w:val="777777"/>
          <w:sz w:val="16"/>
        </w:rPr>
        <w:t xml:space="preserve">p113 · att1 p.8  </w:t>
      </w:r>
      <w:r>
        <w:t>PASS: No essential risk dimension orphaned; all applicable hard gates pass RE-OPEN: Relevant model/use/tool/workflow change or new harm pathway</w:t>
      </w:r>
    </w:p>
    <w:p>
      <w:r>
        <w:rPr>
          <w:color w:val="777777"/>
          <w:sz w:val="16"/>
        </w:rPr>
        <w:t xml:space="preserve">p114 · att1 p.8  </w:t>
      </w:r>
      <w:r>
        <w:t>PARTIAL — Discussion question; not an FDA requirement — BCR-R06,R09,R12,R17 J3,J5,J6,J14 Coupling + emergence</w:t>
      </w:r>
    </w:p>
    <w:p>
      <w:r>
        <w:rPr>
          <w:color w:val="777777"/>
          <w:sz w:val="16"/>
        </w:rPr>
        <w:t xml:space="preserve">p115 · att1 p.8  </w:t>
      </w:r>
      <w:r>
        <w:t>TR-Q02 FDA Q2; Sec. IV.A; App. B; pp. 9-10 / 27-28 — S2,S3,S6 Semantically equivalent multi-turn cases varying specificity/personalization/im perative force</w:t>
      </w:r>
    </w:p>
    <w:p>
      <w:r>
        <w:rPr>
          <w:color w:val="777777"/>
          <w:sz w:val="16"/>
        </w:rPr>
        <w:t xml:space="preserve">p116 · att1 p.8  </w:t>
      </w:r>
      <w:r>
        <w:t>PASS: Stable classification and no unrecognized trajectory crossing RE-OPEN: Prompt, UI, personalization, or conversational-policy change</w:t>
      </w:r>
    </w:p>
    <w:p>
      <w:r>
        <w:rPr>
          <w:color w:val="777777"/>
          <w:sz w:val="16"/>
        </w:rPr>
        <w:t xml:space="preserve">p117 · att1 p.8  </w:t>
      </w:r>
      <w:r>
        <w:t>PARTIAL — Discussion question; not an FDA requirement — BCR-R08,R10,R12,R17 J4,J14,J2 Visibility + masking</w:t>
      </w:r>
    </w:p>
    <w:p>
      <w:r>
        <w:rPr>
          <w:color w:val="777777"/>
          <w:sz w:val="16"/>
        </w:rPr>
        <w:t xml:space="preserve">p118 · att1 p.8  </w:t>
      </w:r>
      <w:r>
        <w:t>TR-Q03 FDA Q3; Sec. IV.A; App. B; pp. 9-10 / 27-28 — S6,S7,S8 Comprehension, errordetection, escalation, and intervention testing in intended users</w:t>
      </w:r>
    </w:p>
    <w:p>
      <w:r>
        <w:rPr>
          <w:color w:val="777777"/>
          <w:sz w:val="16"/>
        </w:rPr>
        <w:t xml:space="preserve">p119 · att1 p.8  </w:t>
      </w:r>
      <w:r>
        <w:t>PASS: User population meets prespecified review/intervention criteria RE-OPEN: Intended-user/population or communication-interface change — PARTIAL</w:t>
      </w:r>
    </w:p>
    <w:p>
      <w:r>
        <w:rPr>
          <w:color w:val="777777"/>
          <w:sz w:val="16"/>
        </w:rPr>
        <w:t xml:space="preserve">p120 · att1 p.8  </w:t>
      </w:r>
      <w:r>
        <w:t>Discussion question; not an FDA requirement — BCR-R01,R08,R10,R12 J4,J14,J2 Visibility + invalid-proxy — TR-Q04 FDA Q4; Sec. IV.A; App. B; pp. 9-10 / 27-28</w:t>
      </w:r>
    </w:p>
    <w:p>
      <w:r>
        <w:rPr>
          <w:color w:val="777777"/>
          <w:sz w:val="16"/>
        </w:rPr>
        <w:t xml:space="preserve">p121 · att1 p.8  </w:t>
      </w:r>
      <w:r>
        <w:t>S6,S8 Domain-specific error detection and specialistescalation testing — PASS: Intended HCP can independently review or device reliably escalates RE-OPEN: Clinical scope or intended-user change</w:t>
      </w:r>
    </w:p>
    <w:p>
      <w:r>
        <w:rPr>
          <w:color w:val="777777"/>
          <w:sz w:val="16"/>
        </w:rPr>
        <w:t xml:space="preserve">p122 · att1 p.8  </w:t>
      </w:r>
      <w:r>
        <w:t>PARTIAL — Discussion question; not an FDA requirement — BCR-R06,R09,R15,R17 J3,J5,J13 Emergence + coupling</w:t>
      </w:r>
    </w:p>
    <w:p>
      <w:r>
        <w:rPr>
          <w:color w:val="777777"/>
          <w:sz w:val="16"/>
        </w:rPr>
        <w:t xml:space="preserve">p123 · att1 p.8  </w:t>
      </w:r>
      <w:r>
        <w:t>S3,S6 Long-context/order-effect/ state-transition scenarios — TR-Q05 FDA Q5; Sec. IV.A; App. B; pp. 9-10 / 27-28</w:t>
      </w:r>
    </w:p>
    <w:p>
      <w:r>
        <w:rPr>
          <w:color w:val="777777"/>
          <w:sz w:val="16"/>
        </w:rPr>
        <w:t xml:space="preserve">p124 · att1 p.8  </w:t>
      </w:r>
      <w:r>
        <w:t>PASS: No tested trajectory crosses intended-use/safety boundary without detection/control RE-OPEN: Prompt orchestration, memory, context-window, or tool change</w:t>
      </w:r>
    </w:p>
    <w:p>
      <w:r>
        <w:rPr>
          <w:color w:val="777777"/>
          <w:sz w:val="16"/>
        </w:rPr>
        <w:t xml:space="preserve">p125 · att1 p.8  </w:t>
      </w:r>
      <w:r>
        <w:t>PARTIAL — Discussion question; not an FDA requirement — TR-Q06 FDA Q6; Sec. IV.A; App. B; pp. 9-10 / 27-28</w:t>
      </w:r>
    </w:p>
    <w:p>
      <w:r>
        <w:rPr>
          <w:color w:val="777777"/>
          <w:sz w:val="16"/>
        </w:rPr>
        <w:t xml:space="preserve">p126 · att1 p.8  </w:t>
      </w:r>
      <w:r>
        <w:t>BCR-R04,R05,R14,R16 J2,J5,J6,J7 Boundary + asymmetric residual — S1,S4,S6,S7 Separate under- and overescalation rates with severity/timing; hard-gate misses tracked separately</w:t>
      </w:r>
    </w:p>
    <w:p>
      <w:r>
        <w:rPr>
          <w:color w:val="777777"/>
          <w:sz w:val="16"/>
        </w:rPr>
        <w:t xml:space="preserve">p127 · att1 p.8  </w:t>
      </w:r>
      <w:r>
        <w:t>PASS: Each direction meets prespecified limits; catastrophic misses satisfy hard gate RE-OPEN: Clinical context, escalation policy, or threshold change</w:t>
      </w:r>
    </w:p>
    <w:p>
      <w:r>
        <w:rPr>
          <w:color w:val="777777"/>
          <w:sz w:val="16"/>
        </w:rPr>
        <w:t xml:space="preserve">p128 · att1 p.8  </w:t>
      </w:r>
      <w:r>
        <w:t>10B. Premarket Evaluation - FDA Q7-Q17 — ID / FDA anchor Source type BCR rule basis Drivers / residual Solution Verification evidence Pass / re-open Status</w:t>
      </w:r>
    </w:p>
    <w:p>
      <w:r>
        <w:rPr>
          <w:color w:val="777777"/>
          <w:sz w:val="16"/>
        </w:rPr>
        <w:t xml:space="preserve">p129 · att1 p.8  </w:t>
      </w:r>
      <w:r>
        <w:t>PARTIAL — Discussion question; not an FDA requirement — BCR-R01,R03,R09,R15,R17 J1-J15 Boundary + evidence closure</w:t>
      </w:r>
    </w:p>
    <w:p>
      <w:r>
        <w:rPr>
          <w:color w:val="777777"/>
          <w:sz w:val="16"/>
        </w:rPr>
        <w:t xml:space="preserve">p130 · att1 p.8  </w:t>
      </w:r>
      <w:r>
        <w:t>TR-Q07 FDA Q7; Sec. V.E; App. B; pp. 18-19 / 28-29 — S0,S5,S6,S7,S12,S13 Traceable benchmark + clinical confirmation + residual monitoring for exact deployed configuration</w:t>
      </w:r>
    </w:p>
    <w:p>
      <w:r>
        <w:rPr>
          <w:color w:val="777777"/>
          <w:sz w:val="16"/>
        </w:rPr>
        <w:t xml:space="preserve">p131 · att1 p.8  </w:t>
      </w:r>
      <w:r>
        <w:t>PASS: Evidence chain remains valid to deployed configuration and essential residuals close RE-OPEN: Any safetyrelevant configuration or intended-use change</w:t>
      </w:r>
    </w:p>
    <w:p>
      <w:r>
        <w:rPr>
          <w:color w:val="777777"/>
          <w:sz w:val="16"/>
        </w:rPr>
        <w:t xml:space="preserve">p132 · att1 p.9  </w:t>
      </w:r>
      <w:r>
        <w:t>ID / FDA anchor Source type BCR rule basis Drivers / residual Solution Verification evidence Pass / re-open Status</w:t>
      </w:r>
    </w:p>
    <w:p>
      <w:r>
        <w:rPr>
          <w:color w:val="777777"/>
          <w:sz w:val="16"/>
        </w:rPr>
        <w:t xml:space="preserve">p133 · att1 p.9  </w:t>
      </w:r>
      <w:r>
        <w:t>PARTIAL — Discussion question; not an FDA requirement — BCR-R02,R09,R10,R14,R15 J1,J2 plus material J3-J15 Compression + hard-gate risk</w:t>
      </w:r>
    </w:p>
    <w:p>
      <w:r>
        <w:rPr>
          <w:color w:val="777777"/>
          <w:sz w:val="16"/>
        </w:rPr>
        <w:t xml:space="preserve">p134 · att1 p.9  </w:t>
      </w:r>
      <w:r>
        <w:t>TR-Q08 FDA Q8; Sec. V.E; App. B; pp. 18-19 / 28-29 — S2,S4,S7 Evidence-tier rationale tied to highest material boundary/hard gate</w:t>
      </w:r>
    </w:p>
    <w:p>
      <w:r>
        <w:rPr>
          <w:color w:val="777777"/>
          <w:sz w:val="16"/>
        </w:rPr>
        <w:t xml:space="preserve">p135 · att1 p.9  </w:t>
      </w:r>
      <w:r>
        <w:t>PASS: Evidence burden justified by highest material branch, not average position RE-OPEN: New or elevated boundary/hard-gate condition</w:t>
      </w:r>
    </w:p>
    <w:p>
      <w:r>
        <w:rPr>
          <w:color w:val="777777"/>
          <w:sz w:val="16"/>
        </w:rPr>
        <w:t xml:space="preserve">p136 · att1 p.9  </w:t>
      </w:r>
      <w:r>
        <w:t>PARTIAL — Discussion question; not an FDA requirement — BCR-R02,R07,R08,R12,R13 J5,J8,J10,J12,J13,J14 Missing-variable + masking</w:t>
      </w:r>
    </w:p>
    <w:p>
      <w:r>
        <w:rPr>
          <w:color w:val="777777"/>
          <w:sz w:val="16"/>
        </w:rPr>
        <w:t xml:space="preserve">p137 · att1 p.9  </w:t>
      </w:r>
      <w:r>
        <w:t>TR-Q09 FDA Q9; Sec. V.E; App. B; pp. 18-19 / 28-29 — S5,S6,S8,S9,S10 Added tests for provenance, change, human override, reversibility, tool permissions, trajectories, benchmark validity</w:t>
      </w:r>
    </w:p>
    <w:p>
      <w:r>
        <w:rPr>
          <w:color w:val="777777"/>
          <w:sz w:val="16"/>
        </w:rPr>
        <w:t xml:space="preserve">p138 · att1 p.9  </w:t>
      </w:r>
      <w:r>
        <w:t>PASS: No critical boundary hidden in aggregate competency score RE-OPEN: Benchmark/test architecture or device architecture change</w:t>
      </w:r>
    </w:p>
    <w:p>
      <w:r>
        <w:rPr>
          <w:color w:val="777777"/>
          <w:sz w:val="16"/>
        </w:rPr>
        <w:t xml:space="preserve">p139 · att1 p.9  </w:t>
      </w:r>
      <w:r>
        <w:t>PARTIAL — Discussion question; not an FDA requirement — TR-Q10 FDA Q10; Sec. V.E; App. B; pp. 18-19 / 28-29</w:t>
      </w:r>
    </w:p>
    <w:p>
      <w:r>
        <w:rPr>
          <w:color w:val="777777"/>
          <w:sz w:val="16"/>
        </w:rPr>
        <w:t xml:space="preserve">p140 · att1 p.9  </w:t>
      </w:r>
      <w:r>
        <w:t>BCR-R05,R08,R11,R15,R16 J11,J12,J5,J8 False-lock + invalidobservable — S5,S7,S12 Sequestered assets, contamination checks, perturbation stability, independent adjudication, clinical/postmarket linkage</w:t>
      </w:r>
    </w:p>
    <w:p>
      <w:r>
        <w:rPr>
          <w:color w:val="777777"/>
          <w:sz w:val="16"/>
        </w:rPr>
        <w:t xml:space="preserve">p141 · att1 p.9  </w:t>
      </w:r>
      <w:r>
        <w:t>PASS: Benchmark predicts intended-use behavior within defined envelope RE-OPEN: Benchmark exposure/saturation, deployment distribution, model revision</w:t>
      </w:r>
    </w:p>
    <w:p>
      <w:r>
        <w:rPr>
          <w:color w:val="777777"/>
          <w:sz w:val="16"/>
        </w:rPr>
        <w:t xml:space="preserve">p142 · att1 p.9  </w:t>
      </w:r>
      <w:r>
        <w:t>PARTIAL — Discussion question; not an FDA requirement — BCR-R09,R10,R11,R14,R17 J1,J2,J4,J6,J7,J11 Boundary + external-witness</w:t>
      </w:r>
    </w:p>
    <w:p>
      <w:r>
        <w:rPr>
          <w:color w:val="777777"/>
          <w:sz w:val="16"/>
        </w:rPr>
        <w:t xml:space="preserve">p143 · att1 p.9  </w:t>
      </w:r>
      <w:r>
        <w:t>TR-Q11 FDA Q11; Sec. V.E; App. B; pp. 18-19 / 28-29 — S7 Prespecified rationale for confirmation tier; independent adjudication and representativeness evidence</w:t>
      </w:r>
    </w:p>
    <w:p>
      <w:r>
        <w:rPr>
          <w:color w:val="777777"/>
          <w:sz w:val="16"/>
        </w:rPr>
        <w:t xml:space="preserve">p144 · att1 p.9  </w:t>
      </w:r>
      <w:r>
        <w:t>PASS: Selected method closes intended-use residuals at required rigor RE-OPEN: Risk profile, intended use, population, or unresolved residual changes</w:t>
      </w:r>
    </w:p>
    <w:p>
      <w:r>
        <w:rPr>
          <w:color w:val="777777"/>
          <w:sz w:val="16"/>
        </w:rPr>
        <w:t xml:space="preserve">p145 · att1 p.9  </w:t>
      </w:r>
      <w:r>
        <w:t>PARTIAL — Discussion question; not an FDA requirement — TR-Q12 FDA Q12; Sec. V.E; App. B; pp. 18-19 / 28-29</w:t>
      </w:r>
    </w:p>
    <w:p>
      <w:r>
        <w:rPr>
          <w:color w:val="777777"/>
          <w:sz w:val="16"/>
        </w:rPr>
        <w:t xml:space="preserve">p146 · att1 p.9  </w:t>
      </w:r>
      <w:r>
        <w:t>BCR-R04,R08,R11,R13,R18 J11,J12,J8 Compression + masking + provenance — S5,S7 Prespecified estimands/denominators/strat a/CIs; synthetic and real reported separately unless justified compatible</w:t>
      </w:r>
    </w:p>
    <w:p>
      <w:r>
        <w:rPr>
          <w:color w:val="777777"/>
          <w:sz w:val="16"/>
        </w:rPr>
        <w:t xml:space="preserve">p147 · att1 p.9  </w:t>
      </w:r>
      <w:r>
        <w:t>PASS: Statistical claim maps to intended-use distribution; pooling justified when used RE-OPEN: Distribution shift, data-source or generatorlineage change</w:t>
      </w:r>
    </w:p>
    <w:p>
      <w:r>
        <w:rPr>
          <w:color w:val="777777"/>
          <w:sz w:val="16"/>
        </w:rPr>
        <w:t xml:space="preserve">p148 · att1 p.9  </w:t>
      </w:r>
      <w:r>
        <w:t>PARTIAL — Discussion question; not an FDA requirement — BCR-R05,R11,R13,R15 J11,J12,J8 Hidden-realization + masking</w:t>
      </w:r>
    </w:p>
    <w:p>
      <w:r>
        <w:rPr>
          <w:color w:val="777777"/>
          <w:sz w:val="16"/>
        </w:rPr>
        <w:t xml:space="preserve">p149 · att1 p.9  </w:t>
      </w:r>
      <w:r>
        <w:t>TR-Q13 FDA Q13; Sec. V.E; App. B; pp. 18-19 / 28-29 — S5,S7 Generator lineage, independent real sentinels, diverse generators, subgroup stress tests</w:t>
      </w:r>
    </w:p>
    <w:p>
      <w:r>
        <w:rPr>
          <w:color w:val="777777"/>
          <w:sz w:val="16"/>
        </w:rPr>
        <w:t xml:space="preserve">p150 · att1 p.9  </w:t>
      </w:r>
      <w:r>
        <w:t>PASS: Synthetic evidence supplements independent real witnesses where blind spots are plausible RE-OPEN: Generator/model lineage change or new subgroup gap</w:t>
      </w:r>
    </w:p>
    <w:p>
      <w:r>
        <w:rPr>
          <w:color w:val="777777"/>
          <w:sz w:val="16"/>
        </w:rPr>
        <w:t xml:space="preserve">p151 · att1 p.9  </w:t>
      </w:r>
      <w:r>
        <w:t>PARTIAL — Discussion question; not an FDA requirement — TR-Q14 FDA Q14; Sec. V.E; App. B; pp. 18-19 / 28-29</w:t>
      </w:r>
    </w:p>
    <w:p>
      <w:r>
        <w:rPr>
          <w:color w:val="777777"/>
          <w:sz w:val="16"/>
        </w:rPr>
        <w:t xml:space="preserve">p152 · att1 p.9  </w:t>
      </w:r>
      <w:r>
        <w:t>BCR-R01,R08,R10,R17 J1,J2,J4 Invalid-observable + comparator boundary — S1,S7 Comparator rationale tied to intended use/counterfactual; device-alone and human-AI results separated when relevant</w:t>
      </w:r>
    </w:p>
    <w:p>
      <w:r>
        <w:rPr>
          <w:color w:val="777777"/>
          <w:sz w:val="16"/>
        </w:rPr>
        <w:t xml:space="preserve">p153 · att1 p.9  </w:t>
      </w:r>
      <w:r>
        <w:t>PASS: Comparator directly supports claimed role and clinical question RE-OPEN: Intended-use/workflow/comp arator standard changes</w:t>
      </w:r>
    </w:p>
    <w:p>
      <w:r>
        <w:rPr>
          <w:color w:val="777777"/>
          <w:sz w:val="16"/>
        </w:rPr>
        <w:t xml:space="preserve">p154 · att1 p.9  </w:t>
      </w:r>
      <w:r>
        <w:t>PARTIAL — Discussion question; not an FDA requirement — BCR-R01,R09,R10,R17 J1,J2,J9 Boundary + counterfactual</w:t>
      </w:r>
    </w:p>
    <w:p>
      <w:r>
        <w:rPr>
          <w:color w:val="777777"/>
          <w:sz w:val="16"/>
        </w:rPr>
        <w:t xml:space="preserve">p155 · att1 p.9  </w:t>
      </w:r>
      <w:r>
        <w:t>TR-Q15 FDA Q15; Sec. V.E; App. B; pp. 18-19 / 28-29 — S1,S7 Prespecified credible counterfactual: unaided clinician, delayed specialist, alternative technology, or no intervention as appropriate</w:t>
      </w:r>
    </w:p>
    <w:p>
      <w:r>
        <w:rPr>
          <w:color w:val="777777"/>
          <w:sz w:val="16"/>
        </w:rPr>
        <w:t xml:space="preserve">p156 · att1 p.9  </w:t>
      </w:r>
      <w:r>
        <w:t>PASS: Counterfactual aligns with claimed benefit-risk statement RE-OPEN: Care pathway or standard practice changes</w:t>
      </w:r>
    </w:p>
    <w:p>
      <w:r>
        <w:rPr>
          <w:color w:val="777777"/>
          <w:sz w:val="16"/>
        </w:rPr>
        <w:t xml:space="preserve">p157 · att1 p.9  </w:t>
      </w:r>
      <w:r>
        <w:t>PARTIAL — Discussion question; not an FDA requirement — TR-Q16 FDA Q16; Sec. V.E; App. B; pp. 18-19 / 28-29</w:t>
      </w:r>
    </w:p>
    <w:p>
      <w:r>
        <w:rPr>
          <w:color w:val="777777"/>
          <w:sz w:val="16"/>
        </w:rPr>
        <w:t xml:space="preserve">p158 · att1 p.9  </w:t>
      </w:r>
      <w:r>
        <w:t>BCR-R11,R13,R15,R17 J8,J12 External witness + governance — S5,S7,S12 Independence/conflict criteria, multiple eligible providers, rotation/retest/appeal, sequestered evidence</w:t>
      </w:r>
    </w:p>
    <w:p>
      <w:r>
        <w:rPr>
          <w:color w:val="777777"/>
          <w:sz w:val="16"/>
        </w:rPr>
        <w:t xml:space="preserve">p159 · att1 p.9  </w:t>
      </w:r>
      <w:r>
        <w:t>PASS: Independence demonstrated without single unreviewable gatekeeper RE-OPEN: Conflict, vendor, dataset, or qualification status changes</w:t>
      </w:r>
    </w:p>
    <w:p>
      <w:r>
        <w:rPr>
          <w:color w:val="777777"/>
          <w:sz w:val="16"/>
        </w:rPr>
        <w:t xml:space="preserve">p160 · att1 p.9  </w:t>
      </w:r>
      <w:r>
        <w:t>PARTIAL — Discussion question; not an FDA requirement — TR-Q17 FDA Q17; Sec. V.E; App. B; pp. 18-19 / 28-29</w:t>
      </w:r>
    </w:p>
    <w:p>
      <w:r>
        <w:rPr>
          <w:color w:val="777777"/>
          <w:sz w:val="16"/>
        </w:rPr>
        <w:t xml:space="preserve">p161 · att1 p.9  </w:t>
      </w:r>
      <w:r>
        <w:t>BCR-R01,R06,R10,R17 J1,J5,J13 Domain-validity + morphology/architecture residual — S1,S2,S3,S6,S9 Architecture-specific tests: multimodal consistency, world-model state error, action-state verification, etc.</w:t>
      </w:r>
    </w:p>
    <w:p>
      <w:r>
        <w:rPr>
          <w:color w:val="777777"/>
          <w:sz w:val="16"/>
        </w:rPr>
        <w:t xml:space="preserve">p162 · att1 p.9  </w:t>
      </w:r>
      <w:r>
        <w:t>PASS: Architecture-specific failure modes are mapped to evidence RE-OPEN: Underlying architecture/modality/tooling change — 10C. Postmarket Monitoring - FDA Q18-Q24</w:t>
      </w:r>
    </w:p>
    <w:p>
      <w:r>
        <w:rPr>
          <w:color w:val="777777"/>
          <w:sz w:val="16"/>
        </w:rPr>
        <w:t xml:space="preserve">p163 · att1 p.10  </w:t>
      </w:r>
      <w:r>
        <w:t>ID / FDA anchor Source type BCR rule basis Drivers / residual Solution Verification evidence Pass / re-open Status</w:t>
      </w:r>
    </w:p>
    <w:p>
      <w:r>
        <w:rPr>
          <w:color w:val="777777"/>
          <w:sz w:val="16"/>
        </w:rPr>
        <w:t xml:space="preserve">p164 · att1 p.10  </w:t>
      </w:r>
      <w:r>
        <w:t>PARTIAL — Discussion question; not an FDA requirement — TR-Q18 FDA Q18; Sec. VI.D; App. B; pp. 21-22 / 29-30</w:t>
      </w:r>
    </w:p>
    <w:p>
      <w:r>
        <w:rPr>
          <w:color w:val="777777"/>
          <w:sz w:val="16"/>
        </w:rPr>
        <w:t xml:space="preserve">p165 · att1 p.10  </w:t>
      </w:r>
      <w:r>
        <w:t>BCR-R10,R12,R14,R15,R16 J2,J6,J7,J15 Boundary + visibility + reversibility — S4,S12,S13 Detection sensitivity, monitoring latency, response time, reversibility and harmtime analysis</w:t>
      </w:r>
    </w:p>
    <w:p>
      <w:r>
        <w:rPr>
          <w:color w:val="777777"/>
          <w:sz w:val="16"/>
        </w:rPr>
        <w:t xml:space="preserve">p166 · att1 p.10  </w:t>
      </w:r>
      <w:r>
        <w:t>PASS: Detection + response demonstrably precede unacceptable harm for deferred residuals RE-OPEN: Monitoring capability, harm latency, or action reversibility changes</w:t>
      </w:r>
    </w:p>
    <w:p>
      <w:r>
        <w:rPr>
          <w:color w:val="777777"/>
          <w:sz w:val="16"/>
        </w:rPr>
        <w:t xml:space="preserve">p167 · att1 p.10  </w:t>
      </w:r>
      <w:r>
        <w:t>PARTIAL — Discussion question; not an FDA requirement — BCR-R05,R09,R15,R16 J10,J11,J12,J15 Nonlocal + boundary residual</w:t>
      </w:r>
    </w:p>
    <w:p>
      <w:r>
        <w:rPr>
          <w:color w:val="777777"/>
          <w:sz w:val="16"/>
        </w:rPr>
        <w:t xml:space="preserve">p168 · att1 p.10  </w:t>
      </w:r>
      <w:r>
        <w:t>TR-Q19 FDA Q19; Sec. VI.D; App. B; pp. 21-22 / 29-30 — S12,S13 Calendar + event triggers; rebenchmark, clinician review, telemetry, complaints/outcomes, sentinel cases</w:t>
      </w:r>
    </w:p>
    <w:p>
      <w:r>
        <w:rPr>
          <w:color w:val="777777"/>
          <w:sz w:val="16"/>
        </w:rPr>
        <w:t xml:space="preserve">p169 · att1 p.10  </w:t>
      </w:r>
      <w:r>
        <w:t>PASS: Prespecified triggers force timely review/requalification RE-OPEN: Model/update/distribution/co mplaint/adverse-event/toolchange triggers — PARTIAL — Discussion question; not an FDA requirement</w:t>
      </w:r>
    </w:p>
    <w:p>
      <w:r>
        <w:rPr>
          <w:color w:val="777777"/>
          <w:sz w:val="16"/>
        </w:rPr>
        <w:t xml:space="preserve">p170 · att1 p.10  </w:t>
      </w:r>
      <w:r>
        <w:t>TR-Q20 FDA Q20; Sec. VI.D; App. B; pp. 21-22 / 29-30 — BCR-R06,R08,R11,R13,R15 J10,J13,J15 Coupling + common-mode masking</w:t>
      </w:r>
    </w:p>
    <w:p>
      <w:r>
        <w:rPr>
          <w:color w:val="777777"/>
          <w:sz w:val="16"/>
        </w:rPr>
        <w:t xml:space="preserve">p171 · att1 p.10  </w:t>
      </w:r>
      <w:r>
        <w:t>S8,S10,S12 Independent supervisor validation, version control, detection performance, common-mode testing, human fail-safe — PASS: Supervisor is independently evidenced and shared-blind-spot risk is tested RE-OPEN: Supervisor/device update or detection degradation</w:t>
      </w:r>
    </w:p>
    <w:p>
      <w:r>
        <w:rPr>
          <w:color w:val="777777"/>
          <w:sz w:val="16"/>
        </w:rPr>
        <w:t xml:space="preserve">p172 · att1 p.10  </w:t>
      </w:r>
      <w:r>
        <w:t>PARTIAL — Discussion question; not an FDA requirement — TR-Q21 FDA Q21; Sec. VI.D; App. B; pp. 21-22 / 29-30</w:t>
      </w:r>
    </w:p>
    <w:p>
      <w:r>
        <w:rPr>
          <w:color w:val="777777"/>
          <w:sz w:val="16"/>
        </w:rPr>
        <w:t xml:space="preserve">p173 · att1 p.10  </w:t>
      </w:r>
      <w:r>
        <w:t>BCR-R02,R04,R09,R13,R17 J8,J15 Provenance + accountability residual — S12,S13 Master residual ledger with named accountable owner; external contributors provide traceable witnesses</w:t>
      </w:r>
    </w:p>
    <w:p>
      <w:r>
        <w:rPr>
          <w:color w:val="777777"/>
          <w:sz w:val="16"/>
        </w:rPr>
        <w:t xml:space="preserve">p174 · att1 p.10  </w:t>
      </w:r>
      <w:r>
        <w:t>PASS: Every residual has one accountable owner despite distributed evidence generation RE-OPEN: Stakeholder responsibility/process change</w:t>
      </w:r>
    </w:p>
    <w:p>
      <w:r>
        <w:rPr>
          <w:color w:val="777777"/>
          <w:sz w:val="16"/>
        </w:rPr>
        <w:t xml:space="preserve">p175 · att1 p.10  </w:t>
      </w:r>
      <w:r>
        <w:t>PARTIAL — Discussion question; not an FDA requirement — TR-Q22 FDA Q22; Sec. VI.D; App. B; pp. 21-22 / 29-30</w:t>
      </w:r>
    </w:p>
    <w:p>
      <w:r>
        <w:rPr>
          <w:color w:val="777777"/>
          <w:sz w:val="16"/>
        </w:rPr>
        <w:t xml:space="preserve">p176 · att1 p.10  </w:t>
      </w:r>
      <w:r>
        <w:t>BCR-R01,R06,R09,R13,R16 J10 plus affected J_i/J_ij Boundary-delta + hidden realization — S10,S11 Change delta record, affected-branch regression, hold/release decision, hardgate retest</w:t>
      </w:r>
    </w:p>
    <w:p>
      <w:r>
        <w:rPr>
          <w:color w:val="777777"/>
          <w:sz w:val="16"/>
        </w:rPr>
        <w:t xml:space="preserve">p177 · att1 p.10  </w:t>
      </w:r>
      <w:r>
        <w:t>PASS: Requalification scope is traceable to changed boundaries and passes affected gates RE-OPEN: Every safetyrelevant modification</w:t>
      </w:r>
    </w:p>
    <w:p>
      <w:r>
        <w:rPr>
          <w:color w:val="777777"/>
          <w:sz w:val="16"/>
        </w:rPr>
        <w:t xml:space="preserve">p178 · att1 p.10  </w:t>
      </w:r>
      <w:r>
        <w:t>PARTIAL — Discussion question; not an FDA requirement — BCR-R02,R09,R15,R16,R17 J10 Boundary-envelope residual</w:t>
      </w:r>
    </w:p>
    <w:p>
      <w:r>
        <w:rPr>
          <w:color w:val="777777"/>
          <w:sz w:val="16"/>
        </w:rPr>
        <w:t xml:space="preserve">p179 · att1 p.10  </w:t>
      </w:r>
      <w:r>
        <w:t>TR-Q23 FDA Q23; Sec. VI.D; App. B; pp. 21-22 / 29-30 — S11,S13 Allowable boundary envelope, maximum deltas, required tests, hold points, rollback and new-submission triggers</w:t>
      </w:r>
    </w:p>
    <w:p>
      <w:r>
        <w:rPr>
          <w:color w:val="777777"/>
          <w:sz w:val="16"/>
        </w:rPr>
        <w:t xml:space="preserve">p180 · att1 p.10  </w:t>
      </w:r>
      <w:r>
        <w:t>PASS: Change remains inside validated envelope and required tests pass before release RE-OPEN: Change outside envelope or failed control/test</w:t>
      </w:r>
    </w:p>
    <w:p>
      <w:r>
        <w:rPr>
          <w:color w:val="777777"/>
          <w:sz w:val="16"/>
        </w:rPr>
        <w:t xml:space="preserve">p181 · att1 p.10  </w:t>
      </w:r>
      <w:r>
        <w:t>PARTIAL — Discussion question; not an FDA requirement — TR-Q24 FDA Q24; Sec. VI.D; App. B; pp. 21-22 / 29-30</w:t>
      </w:r>
    </w:p>
    <w:p>
      <w:r>
        <w:rPr>
          <w:color w:val="777777"/>
          <w:sz w:val="16"/>
        </w:rPr>
        <w:t xml:space="preserve">p182 · att1 p.10  </w:t>
      </w:r>
      <w:r>
        <w:t>BCR-R01,R03,R11,R13,R16 J8,J10,J15 Hidden-realization + identity break — S10,S11 Provider notice + fingerprints + canary/shadow delta tests + quarantine/rollback</w:t>
      </w:r>
    </w:p>
    <w:p>
      <w:r>
        <w:rPr>
          <w:color w:val="777777"/>
          <w:sz w:val="16"/>
        </w:rPr>
        <w:t xml:space="preserve">p183 · att1 p.10  </w:t>
      </w:r>
      <w:r>
        <w:t>PASS: No unrecognized safety-relevant dependency change reaches production RE-OPEN: Any provider/model/API/safetybehavior change — 10D. Other Topics - FDA Q25-Q26</w:t>
      </w:r>
    </w:p>
    <w:p>
      <w:r>
        <w:rPr>
          <w:color w:val="777777"/>
          <w:sz w:val="16"/>
        </w:rPr>
        <w:t xml:space="preserve">p184 · att1 p.11  </w:t>
      </w:r>
      <w:r>
        <w:t>ID / FDA anchor Source type BCR rule basis Drivers / residual Solution Verification evidence Pass / re-open Status</w:t>
      </w:r>
    </w:p>
    <w:p>
      <w:r>
        <w:rPr>
          <w:color w:val="777777"/>
          <w:sz w:val="16"/>
        </w:rPr>
        <w:t xml:space="preserve">p185 · att1 p.11  </w:t>
      </w:r>
      <w:r>
        <w:t>PARTIAL — Discussion question; not an FDA requirement — TR-Q25 FDA Q25; Sec. VII.C; App. B; pp. 23 / 30</w:t>
      </w:r>
    </w:p>
    <w:p>
      <w:r>
        <w:rPr>
          <w:color w:val="777777"/>
          <w:sz w:val="16"/>
        </w:rPr>
        <w:t xml:space="preserve">p186 · att1 p.11  </w:t>
      </w:r>
      <w:r>
        <w:t>BCR-R01,R11,R13,R15 J8,J10 Provenance + externalwitness gap — S10 Versioned/current architecture, supported uses, limitations, failure modes, subgroup evidence, guardrails, update/audit commitments</w:t>
      </w:r>
    </w:p>
    <w:p>
      <w:r>
        <w:rPr>
          <w:color w:val="777777"/>
          <w:sz w:val="16"/>
        </w:rPr>
        <w:t xml:space="preserve">p187 · att1 p.11  </w:t>
      </w:r>
      <w:r>
        <w:t>PASS: Evidence is current enough for deployed version; stale/voluntary gaps remain explicit RE-OPEN: Model version/update or stale file evidence</w:t>
      </w:r>
    </w:p>
    <w:p>
      <w:r>
        <w:rPr>
          <w:color w:val="777777"/>
          <w:sz w:val="16"/>
        </w:rPr>
        <w:t xml:space="preserve">p188 · att1 p.11  </w:t>
      </w:r>
      <w:r>
        <w:t>PARTIAL — Discussion question; not an FDA requirement — BCR- R06,R09,R12,R13,R14,R16 — TR-Q26 FDA Q26; Sec. VII.C; App. B; pp. 23 / 30</w:t>
      </w:r>
    </w:p>
    <w:p>
      <w:r>
        <w:rPr>
          <w:color w:val="777777"/>
          <w:sz w:val="16"/>
        </w:rPr>
        <w:t xml:space="preserve">p189 · att1 p.11  </w:t>
      </w:r>
      <w:r>
        <w:t>J5,J7,J8,J13,J14 Coupling + nonlocal + irreversible-action residual — S3,S4,S8,S9 End-to-end action-state logs, permission tests, promptinjection via tools/retrieval, irreversible confirmation, rollback, post-action verification</w:t>
      </w:r>
    </w:p>
    <w:p>
      <w:r>
        <w:rPr>
          <w:color w:val="777777"/>
          <w:sz w:val="16"/>
        </w:rPr>
        <w:t xml:space="preserve">p190 · att1 p.11  </w:t>
      </w:r>
      <w:r>
        <w:t>PASS: No unauthorized/unobserved/un verified high-consequence state transition RE-OPEN: Tool/permission/memory/retri eval/model/action-policy change — 10E. Traceability Chain Completeness Check</w:t>
      </w:r>
    </w:p>
    <w:p>
      <w:r>
        <w:rPr>
          <w:color w:val="777777"/>
          <w:sz w:val="16"/>
        </w:rPr>
        <w:t xml:space="preserve">p191 · att1 p.11  </w:t>
      </w:r>
      <w:r>
        <w:t>Chain element Required end-to-end meaning Coverage in REV4 Status — PASS — FDA source anchor Reader can return to the exact FDA question/section that generated the issue.</w:t>
      </w:r>
    </w:p>
    <w:p>
      <w:r>
        <w:rPr>
          <w:color w:val="777777"/>
          <w:sz w:val="16"/>
        </w:rPr>
        <w:t xml:space="preserve">p192 · att1 p.11  </w:t>
      </w:r>
      <w:r>
        <w:t>TR-Q01 through TR-Q26 name question, section, appendix, and paper pages.</w:t>
      </w:r>
    </w:p>
    <w:p>
      <w:r>
        <w:rPr>
          <w:color w:val="777777"/>
          <w:sz w:val="16"/>
        </w:rPr>
        <w:t xml:space="preserve">p193 · att1 p.11  </w:t>
      </w:r>
      <w:r>
        <w:t>PASS — Source type Discussion question/consideration is not silently promoted to a binding FDA requirement.</w:t>
      </w:r>
    </w:p>
    <w:p>
      <w:r>
        <w:rPr>
          <w:color w:val="777777"/>
          <w:sz w:val="16"/>
        </w:rPr>
        <w:t xml:space="preserve">p194 · att1 p.11  </w:t>
      </w:r>
      <w:r>
        <w:t>Every trace row states discussion question; not an FDA requirement.</w:t>
      </w:r>
    </w:p>
    <w:p>
      <w:r>
        <w:rPr>
          <w:color w:val="777777"/>
          <w:sz w:val="16"/>
        </w:rPr>
        <w:t xml:space="preserve">p195 · att1 p.11  </w:t>
      </w:r>
      <w:r>
        <w:t>Every trace row carries BCR-Rxx rule IDs linked to Section 3. PASS — BCR rule basis Each BCR treatment is justified by one or more explicit BCR run rules.</w:t>
      </w:r>
    </w:p>
    <w:p>
      <w:r>
        <w:rPr>
          <w:color w:val="777777"/>
          <w:sz w:val="16"/>
        </w:rPr>
        <w:t xml:space="preserve">p196 · att1 p.11  </w:t>
      </w:r>
      <w:r>
        <w:t>Every trace row carries J drivers from the Section 8 budget. PASS — Boundary driver The risk/realization mechanism is tied to an identified J_i boundary.</w:t>
      </w:r>
    </w:p>
    <w:p>
      <w:r>
        <w:rPr>
          <w:color w:val="777777"/>
          <w:sz w:val="16"/>
        </w:rPr>
        <w:t xml:space="preserve">p197 · att1 p.11  </w:t>
      </w:r>
      <w:r>
        <w:t>Every trace row identifies a residual/failure class. PASS — Residual mechanism The reason closure is incomplete is classified, not called noise.</w:t>
      </w:r>
    </w:p>
    <w:p>
      <w:r>
        <w:rPr>
          <w:color w:val="777777"/>
          <w:sz w:val="16"/>
        </w:rPr>
        <w:t xml:space="preserve">p198 · att1 p.11  </w:t>
      </w:r>
      <w:r>
        <w:t>Solution control The finding maps to a concrete repair branch. Every trace row maps to S0-S13. PASS</w:t>
      </w:r>
    </w:p>
    <w:p>
      <w:r>
        <w:rPr>
          <w:color w:val="777777"/>
          <w:sz w:val="16"/>
        </w:rPr>
        <w:t xml:space="preserve">p199 · att1 p.11  </w:t>
      </w:r>
      <w:r>
        <w:t>Every trace row names the evidence/test needed. PASS — Verification evidence A reviewer can see what test/witness must demonstrate the control.</w:t>
      </w:r>
    </w:p>
    <w:p>
      <w:r>
        <w:rPr>
          <w:color w:val="777777"/>
          <w:sz w:val="16"/>
        </w:rPr>
        <w:t xml:space="preserve">p200 · att1 p.11  </w:t>
      </w:r>
      <w:r>
        <w:t>Pass criterion Closure is stated as an observable criterion, not a promise. Every trace row contains a PASS condition. PASS</w:t>
      </w:r>
    </w:p>
    <w:p>
      <w:r>
        <w:rPr>
          <w:color w:val="777777"/>
          <w:sz w:val="16"/>
        </w:rPr>
        <w:t xml:space="preserve">p201 · att1 p.11  </w:t>
      </w:r>
      <w:r>
        <w:t>Every trace row contains a re-open event. PASS — Re-open trigger Closure is not permanent when the realized boundary changes.</w:t>
      </w:r>
    </w:p>
    <w:p>
      <w:r>
        <w:rPr>
          <w:color w:val="777777"/>
          <w:sz w:val="16"/>
        </w:rPr>
        <w:t xml:space="preserve">p202 · att1 p.11  </w:t>
      </w:r>
      <w:r>
        <w:t>PASS - traceability only — Status Open vs partial vs pass remains visible. All 26 trace rows remain PARTIAL until device-specific evidence exists.</w:t>
      </w:r>
    </w:p>
    <w:p>
      <w:r>
        <w:rPr>
          <w:color w:val="777777"/>
          <w:sz w:val="16"/>
        </w:rPr>
        <w:t xml:space="preserve">p203 · att1 p.12  </w:t>
      </w:r>
      <w:r>
        <w:t>11. Mandatory BCR Behavior Ledger — Behavior Evidence Status Residual class Closure action</w:t>
      </w:r>
    </w:p>
    <w:p>
      <w:r>
        <w:rPr>
          <w:color w:val="777777"/>
          <w:sz w:val="16"/>
        </w:rPr>
        <w:t xml:space="preserve">p204 · att1 p.12  </w:t>
      </w:r>
      <w:r>
        <w:t>Nonlocal / accessibility Outputs/actions propagate through patients, clinicians, tools, workflows, and time.</w:t>
      </w:r>
    </w:p>
    <w:p>
      <w:r>
        <w:rPr>
          <w:color w:val="777777"/>
          <w:sz w:val="16"/>
        </w:rPr>
        <w:t xml:space="preserve">p205 · att1 p.12  </w:t>
      </w:r>
      <w:r>
        <w:t>RAN QUALITATIVELY Nonlocal residual Add downstream action/outcome witnesses and time-series monitoring.</w:t>
      </w:r>
    </w:p>
    <w:p>
      <w:r>
        <w:rPr>
          <w:color w:val="777777"/>
          <w:sz w:val="16"/>
        </w:rPr>
        <w:t xml:space="preserve">p206 · att1 p.12  </w:t>
      </w:r>
      <w:r>
        <w:t>RAN QUALITATIVELY Coupling residual Run paired/multi-boundary stress tests.</w:t>
      </w:r>
    </w:p>
    <w:p>
      <w:r>
        <w:rPr>
          <w:color w:val="777777"/>
          <w:sz w:val="16"/>
        </w:rPr>
        <w:t xml:space="preserve">p207 · att1 p.12  </w:t>
      </w:r>
      <w:r>
        <w:t>Coupling Autonomy, consequence, tools, permissions, user capability, change, and monitoring interact.</w:t>
      </w:r>
    </w:p>
    <w:p>
      <w:r>
        <w:rPr>
          <w:color w:val="777777"/>
          <w:sz w:val="16"/>
        </w:rPr>
        <w:t xml:space="preserve">p208 · att1 p.12  </w:t>
      </w:r>
      <w:r>
        <w:t>RAN QUALITATIVELY Suppression residual Verify under adversarial, longcontext, and shifted conditions.</w:t>
      </w:r>
    </w:p>
    <w:p>
      <w:r>
        <w:rPr>
          <w:color w:val="777777"/>
          <w:sz w:val="16"/>
        </w:rPr>
        <w:t xml:space="preserve">p209 · att1 p.12  </w:t>
      </w:r>
      <w:r>
        <w:t>Suppression Refusal, guardrails, human gates, permissions, and safeguards can block harmful realization.</w:t>
      </w:r>
    </w:p>
    <w:p>
      <w:r>
        <w:rPr>
          <w:color w:val="777777"/>
          <w:sz w:val="16"/>
        </w:rPr>
        <w:t xml:space="preserve">p210 · att1 p.12  </w:t>
      </w:r>
      <w:r>
        <w:t>RAN QUALITATIVELY Amplification residual Measure pre/post effects when device data exist.</w:t>
      </w:r>
    </w:p>
    <w:p>
      <w:r>
        <w:rPr>
          <w:color w:val="777777"/>
          <w:sz w:val="16"/>
        </w:rPr>
        <w:t xml:space="preserve">p211 · att1 p.12  </w:t>
      </w:r>
      <w:r>
        <w:t>Amplification Personalization, repetition, autonomy, or tool access can amplify consequence.</w:t>
      </w:r>
    </w:p>
    <w:p>
      <w:r>
        <w:rPr>
          <w:color w:val="777777"/>
          <w:sz w:val="16"/>
        </w:rPr>
        <w:t xml:space="preserve">p212 · att1 p.12  </w:t>
      </w:r>
      <w:r>
        <w:t>Masking Aggregate benchmark pass can coexist with subgroup, trajectory, or hard-gate failure.</w:t>
      </w:r>
    </w:p>
    <w:p>
      <w:r>
        <w:rPr>
          <w:color w:val="777777"/>
          <w:sz w:val="16"/>
        </w:rPr>
        <w:t xml:space="preserve">p213 · att1 p.12  </w:t>
      </w:r>
      <w:r>
        <w:t>RAN QUALITATIVELY Masking residual Disaggregate by subgroup, sequence, scenario, and hardgate event.</w:t>
      </w:r>
    </w:p>
    <w:p>
      <w:r>
        <w:rPr>
          <w:color w:val="777777"/>
          <w:sz w:val="16"/>
        </w:rPr>
        <w:t xml:space="preserve">p214 · att1 p.12  </w:t>
      </w:r>
      <w:r>
        <w:t>RAN QUALITATIVELY Compression residual Keep heuristic, require full boundary ledger for closure.</w:t>
      </w:r>
    </w:p>
    <w:p>
      <w:r>
        <w:rPr>
          <w:color w:val="777777"/>
          <w:sz w:val="16"/>
        </w:rPr>
        <w:t xml:space="preserve">p215 · att1 p.12  </w:t>
      </w:r>
      <w:r>
        <w:t>Compression Two-axis risk and aggregate scores compress higherdimensional behavior.</w:t>
      </w:r>
    </w:p>
    <w:p>
      <w:r>
        <w:rPr>
          <w:color w:val="777777"/>
          <w:sz w:val="16"/>
        </w:rPr>
        <w:t xml:space="preserve">p216 · att1 p.12  </w:t>
      </w:r>
      <w:r>
        <w:t>Saturation / false-lock Public benchmarks may be contaminated or saturated.</w:t>
      </w:r>
    </w:p>
    <w:p>
      <w:r>
        <w:rPr>
          <w:color w:val="777777"/>
          <w:sz w:val="16"/>
        </w:rPr>
        <w:t xml:space="preserve">p217 · att1 p.12  </w:t>
      </w:r>
      <w:r>
        <w:t>RAN QUALITATIVELY False-lock residual Use sequestered/rotating assets, perturbation, clinical linkage.</w:t>
      </w:r>
    </w:p>
    <w:p>
      <w:r>
        <w:rPr>
          <w:color w:val="777777"/>
          <w:sz w:val="16"/>
        </w:rPr>
        <w:t xml:space="preserve">p218 · att1 p.12  </w:t>
      </w:r>
      <w:r>
        <w:t>RAN QUALITATIVELY Conversion residual Validate that the witness exposes the safety-relevant hidden state.</w:t>
      </w:r>
    </w:p>
    <w:p>
      <w:r>
        <w:rPr>
          <w:color w:val="777777"/>
          <w:sz w:val="16"/>
        </w:rPr>
        <w:t xml:space="preserve">p219 · att1 p.12  </w:t>
      </w:r>
      <w:r>
        <w:t>Conversion Hidden model limitations become visible through outputs, logs, cards, tools, and outcomes.</w:t>
      </w:r>
    </w:p>
    <w:p>
      <w:r>
        <w:rPr>
          <w:color w:val="777777"/>
          <w:sz w:val="16"/>
        </w:rPr>
        <w:t xml:space="preserve">p220 · att1 p.12  </w:t>
      </w:r>
      <w:r>
        <w:t>RAN QUALITATIVELY Emergence residual Test full trajectories and toolchain state transitions.</w:t>
      </w:r>
    </w:p>
    <w:p>
      <w:r>
        <w:rPr>
          <w:color w:val="777777"/>
          <w:sz w:val="16"/>
        </w:rPr>
        <w:t xml:space="preserve">p221 · att1 p.12  </w:t>
      </w:r>
      <w:r>
        <w:t>Emergence Multi-turn/agentic sequences can create behavior absent in single-turn tests.</w:t>
      </w:r>
    </w:p>
    <w:p>
      <w:r>
        <w:rPr>
          <w:color w:val="777777"/>
          <w:sz w:val="16"/>
        </w:rPr>
        <w:t xml:space="preserve">p222 · att1 p.12  </w:t>
      </w:r>
      <w:r>
        <w:t>Hidden realization Third-party changes or hidden training/guardrail behavior can alter device operation.</w:t>
      </w:r>
    </w:p>
    <w:p>
      <w:r>
        <w:rPr>
          <w:color w:val="777777"/>
          <w:sz w:val="16"/>
        </w:rPr>
        <w:t xml:space="preserve">p223 · att1 p.12  </w:t>
      </w:r>
      <w:r>
        <w:t>RAN QUALITATIVELY Hidden-realization residual Require lineage, version, notification, fingerprints, regression witnesses.</w:t>
      </w:r>
    </w:p>
    <w:p>
      <w:r>
        <w:rPr>
          <w:color w:val="777777"/>
          <w:sz w:val="16"/>
        </w:rPr>
        <w:t xml:space="preserve">p224 · att1 p.12  </w:t>
      </w:r>
      <w:r>
        <w:t>RAN QUALITATIVELY Missing-variable residual Define device-specific criteria before release.</w:t>
      </w:r>
    </w:p>
    <w:p>
      <w:r>
        <w:rPr>
          <w:color w:val="777777"/>
          <w:sz w:val="16"/>
        </w:rPr>
        <w:t xml:space="preserve">p225 · att1 p.12  </w:t>
      </w:r>
      <w:r>
        <w:t>Missing-variable gate No closed quantitative acceptance thresholds/coupling model is provided.</w:t>
      </w:r>
    </w:p>
    <w:p>
      <w:r>
        <w:rPr>
          <w:color w:val="777777"/>
          <w:sz w:val="16"/>
        </w:rPr>
        <w:t xml:space="preserve">p226 · att1 p.12  </w:t>
      </w:r>
      <w:r>
        <w:t>Invalid-observable gate Benchmark score alone cannot prove real-world safety.</w:t>
      </w:r>
    </w:p>
    <w:p>
      <w:r>
        <w:rPr>
          <w:color w:val="777777"/>
          <w:sz w:val="16"/>
        </w:rPr>
        <w:t xml:space="preserve">p227 · att1 p.12  </w:t>
      </w:r>
      <w:r>
        <w:t>RAN QUALITATIVELY Invalid-observable residual Require clinical/postmarket witnesses tied to intended use.</w:t>
      </w:r>
    </w:p>
    <w:p>
      <w:r>
        <w:rPr>
          <w:color w:val="777777"/>
          <w:sz w:val="16"/>
        </w:rPr>
        <w:t xml:space="preserve">p228 · att1 p.12  </w:t>
      </w:r>
      <w:r>
        <w:t>12. Residual Ledger and No-Noise Drilldown — Residual Observed source — Class Status Closure condition</w:t>
      </w:r>
    </w:p>
    <w:p>
      <w:r>
        <w:rPr>
          <w:color w:val="777777"/>
          <w:sz w:val="16"/>
        </w:rPr>
        <w:t xml:space="preserve">p229 · att1 p.12  </w:t>
      </w:r>
      <w:r>
        <w:t>PARTIAL Adopt S2/S4.</w:t>
      </w:r>
    </w:p>
    <w:p>
      <w:r>
        <w:rPr>
          <w:color w:val="777777"/>
          <w:sz w:val="16"/>
        </w:rPr>
        <w:t xml:space="preserve">p230 · att1 p.12  </w:t>
      </w:r>
      <w:r>
        <w:t>Compression / missingvariable — Risk-model dimensionality Two-axis representation omits/defers other acknowledged factors.</w:t>
      </w:r>
    </w:p>
    <w:p>
      <w:r>
        <w:rPr>
          <w:color w:val="777777"/>
          <w:sz w:val="16"/>
        </w:rPr>
        <w:t xml:space="preserve">p231 · att1 p.12  </w:t>
      </w:r>
      <w:r>
        <w:t>Benchmark construct validity Benchmark success may not predict deployment behavior.</w:t>
      </w:r>
    </w:p>
    <w:p>
      <w:r>
        <w:rPr>
          <w:color w:val="777777"/>
          <w:sz w:val="16"/>
        </w:rPr>
        <w:t xml:space="preserve">p232 · att1 p.12  </w:t>
      </w:r>
      <w:r>
        <w:t>False-lock / invalidobservable — PARTIAL S5 + independent clinical/postmarket linkage.</w:t>
      </w:r>
    </w:p>
    <w:p>
      <w:r>
        <w:rPr>
          <w:color w:val="777777"/>
          <w:sz w:val="16"/>
        </w:rPr>
        <w:t xml:space="preserve">p233 · att1 p.12  </w:t>
      </w:r>
      <w:r>
        <w:t>Emergence / coupling PARTIAL S3 trajectory-state testing.</w:t>
      </w:r>
    </w:p>
    <w:p>
      <w:r>
        <w:rPr>
          <w:color w:val="777777"/>
          <w:sz w:val="16"/>
        </w:rPr>
        <w:t xml:space="preserve">p234 · att1 p.12  </w:t>
      </w:r>
      <w:r>
        <w:t>Multi-turn state migration Risk can change across a conversation.</w:t>
      </w:r>
    </w:p>
    <w:p>
      <w:r>
        <w:rPr>
          <w:color w:val="777777"/>
          <w:sz w:val="16"/>
        </w:rPr>
        <w:t xml:space="preserve">p235 · att1 p.12  </w:t>
      </w:r>
      <w:r>
        <w:t>Visibility PARTIAL S8 user-control validation.</w:t>
      </w:r>
    </w:p>
    <w:p>
      <w:r>
        <w:rPr>
          <w:color w:val="777777"/>
          <w:sz w:val="16"/>
        </w:rPr>
        <w:t xml:space="preserve">p236 · att1 p.12  </w:t>
      </w:r>
      <w:r>
        <w:t>Patient/HCP reviewability Ability to recognize error varies and is not directly measured.</w:t>
      </w:r>
    </w:p>
    <w:p>
      <w:r>
        <w:rPr>
          <w:color w:val="777777"/>
          <w:sz w:val="16"/>
        </w:rPr>
        <w:t xml:space="preserve">p237 · att1 p.12  </w:t>
      </w:r>
      <w:r>
        <w:t>Coupling / nonlocal PARTIAL S9 action-state closure.</w:t>
      </w:r>
    </w:p>
    <w:p>
      <w:r>
        <w:rPr>
          <w:color w:val="777777"/>
          <w:sz w:val="16"/>
        </w:rPr>
        <w:t xml:space="preserve">p238 · att1 p.12  </w:t>
      </w:r>
      <w:r>
        <w:t>Agentic tool chain Output can become external action across multiple steps.</w:t>
      </w:r>
    </w:p>
    <w:p>
      <w:r>
        <w:rPr>
          <w:color w:val="777777"/>
          <w:sz w:val="16"/>
        </w:rPr>
        <w:t xml:space="preserve">p239 · att1 p.12  </w:t>
      </w:r>
      <w:r>
        <w:t>Third-party model change Sponsor may not control underlying update.</w:t>
      </w:r>
    </w:p>
    <w:p>
      <w:r>
        <w:rPr>
          <w:color w:val="777777"/>
          <w:sz w:val="16"/>
        </w:rPr>
        <w:t xml:space="preserve">p240 · att1 p.12  </w:t>
      </w:r>
      <w:r>
        <w:t>Hidden realization / identity PARTIAL S10/S11 fingerprint-holdretest-rollback.</w:t>
      </w:r>
    </w:p>
    <w:p>
      <w:r>
        <w:rPr>
          <w:color w:val="777777"/>
          <w:sz w:val="16"/>
        </w:rPr>
        <w:t xml:space="preserve">p241 · att1 p.12  </w:t>
      </w:r>
      <w:r>
        <w:t>Boundary / visibility PARTIAL S4/S12 harm-time gate.</w:t>
      </w:r>
    </w:p>
    <w:p>
      <w:r>
        <w:rPr>
          <w:color w:val="777777"/>
          <w:sz w:val="16"/>
        </w:rPr>
        <w:t xml:space="preserve">p242 · att1 p.12  </w:t>
      </w:r>
      <w:r>
        <w:t>Postmarket uncertainty transfer — Harm may realize before monitoring detects it.</w:t>
      </w:r>
    </w:p>
    <w:p>
      <w:r>
        <w:rPr>
          <w:color w:val="777777"/>
          <w:sz w:val="16"/>
        </w:rPr>
        <w:t xml:space="preserve">p243 · att1 p.12  </w:t>
      </w:r>
      <w:r>
        <w:t>Synthetic self-confirmation Same-class generator may reproduce device blind spots.</w:t>
      </w:r>
    </w:p>
    <w:p>
      <w:r>
        <w:rPr>
          <w:color w:val="777777"/>
          <w:sz w:val="16"/>
        </w:rPr>
        <w:t xml:space="preserve">p244 · att1 p.12  </w:t>
      </w:r>
      <w:r>
        <w:t>Masking / hidden realization PARTIAL S5/S7 independent real sentinels.</w:t>
      </w:r>
    </w:p>
    <w:p>
      <w:r>
        <w:rPr>
          <w:color w:val="777777"/>
          <w:sz w:val="16"/>
        </w:rPr>
        <w:t xml:space="preserve">p245 · att1 p.12  </w:t>
      </w:r>
      <w:r>
        <w:t>Human oversight Nominal supervision can be ineffective.</w:t>
      </w:r>
    </w:p>
    <w:p>
      <w:r>
        <w:rPr>
          <w:color w:val="777777"/>
          <w:sz w:val="16"/>
        </w:rPr>
        <w:t xml:space="preserve">p246 · att1 p.12  </w:t>
      </w:r>
      <w:r>
        <w:t>Visibility / masking PARTIAL S8 meaningful observer criteria.</w:t>
      </w:r>
    </w:p>
    <w:p>
      <w:r>
        <w:rPr>
          <w:color w:val="777777"/>
          <w:sz w:val="16"/>
        </w:rPr>
        <w:t xml:space="preserve">p247 · att1 p.13  </w:t>
      </w:r>
      <w:r>
        <w:t>Residual Observed source — Class Status Closure condition — Subgroup aggregate masking Overall score can hide subgroup failure.</w:t>
      </w:r>
    </w:p>
    <w:p>
      <w:r>
        <w:rPr>
          <w:color w:val="777777"/>
          <w:sz w:val="16"/>
        </w:rPr>
        <w:t xml:space="preserve">p248 · att1 p.13  </w:t>
      </w:r>
      <w:r>
        <w:t>Masking / compression PARTIAL Subgroup floors + hard-gate criteria.</w:t>
      </w:r>
    </w:p>
    <w:p>
      <w:r>
        <w:rPr>
          <w:color w:val="777777"/>
          <w:sz w:val="16"/>
        </w:rPr>
        <w:t xml:space="preserve">p249 · att1 p.13  </w:t>
      </w:r>
      <w:r>
        <w:t>No-noise ruling: these residuals are structured and map to identifiable boundary/visibility/coupling/compression/masking/hiddenrealization/missing-variable mechanisms. They may not be dismissed as generic AI variability.</w:t>
      </w:r>
    </w:p>
    <w:p>
      <w:r>
        <w:rPr>
          <w:color w:val="777777"/>
          <w:sz w:val="16"/>
        </w:rPr>
        <w:t xml:space="preserve">p250 · att1 p.13  </w:t>
      </w:r>
      <w:r>
        <w:t>13. Deep Drill-Down Tests — 13.1 Two-Axis Risk Compression — Source observation. Figure 1 is activity x consequence; FDA Q1 itself raises reversibility, safeguards, time pressure, traceability. BCR drill chain. Two-axis visualization -&gt; omitted factor becomes decisive -&gt; aggregate location appears acceptable -&gt; actual realization violates an unrepresented boundary. Root residual. Compressed visualization is not the full closure observable. Solution branch. S2 full boundary ledger + S4 hard-gate overlay. Status. PARTIAL</w:t>
      </w:r>
    </w:p>
    <w:p>
      <w:r>
        <w:rPr>
          <w:color w:val="777777"/>
          <w:sz w:val="16"/>
        </w:rPr>
        <w:t xml:space="preserve">p251 · att1 p.13  </w:t>
      </w:r>
      <w:r>
        <w:t>13.2 Directiveness Is a Trajectory — Source observation. FDA says directiveness is a continuum and context-dependent. BCR drill chain. Neutral information -&gt; personalization -&gt; narrowing -&gt; urgency/authority -&gt; practical instruction -&gt; user acts. Root residual. Single-output labeling can understate cumulative action pressure. Solution branch. S3 trajectory-state model + validated directiveness tests. Status. PARTIAL</w:t>
      </w:r>
    </w:p>
    <w:p>
      <w:r>
        <w:rPr>
          <w:color w:val="777777"/>
          <w:sz w:val="16"/>
        </w:rPr>
        <w:t xml:space="preserve">p252 · att1 p.13  </w:t>
      </w:r>
      <w:r>
        <w:t>13.3 User Expertise Mismatch — Source observation. FDA distinguishes patients, generalists, specialists. BCR drill chain. User title -&gt; assumed competence -&gt; domain-specific error not recognized -&gt; downstream reliance. Root residual. Professional category is a proxy for actual independent-review capability. Solution branch. S8 comprehension/error-detection/intervention validation. Status. PARTIAL</w:t>
      </w:r>
    </w:p>
    <w:p>
      <w:r>
        <w:rPr>
          <w:color w:val="777777"/>
          <w:sz w:val="16"/>
        </w:rPr>
        <w:t xml:space="preserve">p253 · att1 p.13  </w:t>
      </w:r>
      <w:r>
        <w:t>13.4 Multi-Turn Scope Migration — Source observation. FDA notes informational behavior can migrate to action-directing over an exchange. BCR drill chain. Each turn appears in scope -&gt; accumulated context changes function -&gt; boundary crossing occurs only at trajectory level. Root residual. Lawful observable is the trajectory, not isolated turns. Solution branch. S3 state-transition testing, long-context adversarial cases, end-state intended-use checks. Status. PARTIAL</w:t>
      </w:r>
    </w:p>
    <w:p>
      <w:r>
        <w:rPr>
          <w:color w:val="777777"/>
          <w:sz w:val="16"/>
        </w:rPr>
        <w:t xml:space="preserve">p254 · att1 p.13  </w:t>
      </w:r>
      <w:r>
        <w:t>13.5 Benchmark False-Lock — Source observation. FDA identifies benchmark contamination, saturation, limited representativeness. BCR drill chain. Training/test exposure -&gt; high score -&gt; confidence lock -&gt; deployment differs -&gt; hidden failure. Root residual. Benchmark pass can be a saturated witness rather than closure. Solution branch. S5 sequestered assets + contamination controls + perturbation + clinical confirmation. Status. PARTIAL</w:t>
      </w:r>
    </w:p>
    <w:p>
      <w:r>
        <w:rPr>
          <w:color w:val="777777"/>
          <w:sz w:val="16"/>
        </w:rPr>
        <w:t xml:space="preserve">p255 · att1 p.13  </w:t>
      </w:r>
      <w:r>
        <w:t>13.6 Clinical Confirmation Distribution Shift — Source observation. FDA proposes several confirmation approaches and synthetic supplements. BCR drill chain. Benchmark population -&gt; confirmation sample -&gt; deployment distribution shifts -&gt; subgroup/trajectory gap emerges. Root residual. Confirmation valid only inside demonstrated transportability envelope. Solution branch. S7 deployment-distribution specification + strata + OOD sentinels + evidence escalation. Status. PARTIAL</w:t>
      </w:r>
    </w:p>
    <w:p>
      <w:r>
        <w:rPr>
          <w:color w:val="777777"/>
          <w:sz w:val="16"/>
        </w:rPr>
        <w:t xml:space="preserve">p256 · att1 p.13  </w:t>
      </w:r>
      <w:r>
        <w:t>13.7 Comparator Ambiguity — Source observation. FDA asks standard-of-care vs median clinician vs specialist/generalist vs human-AI. BCR drill chain. Wrong comparator -&gt; favorable metric -&gt; actual clinical-use question differs. Root residual. Comparator identity is a boundary condition. Solution branch. S1/S7 comparator tied to intended use and counterfactual; separate device-alone/team performance.</w:t>
      </w:r>
    </w:p>
    <w:p>
      <w:r>
        <w:rPr>
          <w:color w:val="777777"/>
          <w:sz w:val="16"/>
        </w:rPr>
        <w:t xml:space="preserve">p257 · att1 p.14  </w:t>
      </w:r>
      <w:r>
        <w:t>Status. PARTIAL — 13.8 Postmarket Uncertainty Deferral — Source observation. FDA asks when greater premarket uncertainty may be accepted with postmarket reliance. BCR drill chain. Uncertainty deferred -&gt; harm realizes before detection -&gt; monitoring acts too late. Root residual. Monitoring cannot close a branch when detection/response exceeds time-to-harm. Solution branch. S4/S12 allow deferral only with detectability + latency + reversibility evidence. Status. PARTIAL</w:t>
      </w:r>
    </w:p>
    <w:p>
      <w:r>
        <w:rPr>
          <w:color w:val="777777"/>
          <w:sz w:val="16"/>
        </w:rPr>
        <w:t xml:space="preserve">p258 · att1 p.14  </w:t>
      </w:r>
      <w:r>
        <w:t>13.9 Third-Party Model Change — Source observation. FDA recognizes provider-initiated underlying-model changes. BCR drill chain. Approved config -&gt; provider update -&gt; behavior change -&gt; sponsor misses delta -&gt; prior evidence no longer maps to deployed state. Root residual. Unobserved dependency delta breaks identity preservation. Solution branch. S10/S11 fingerprint + notice + canary/shadow + hold + regression + rollback. Status. PARTIAL</w:t>
      </w:r>
    </w:p>
    <w:p>
      <w:r>
        <w:rPr>
          <w:color w:val="777777"/>
          <w:sz w:val="16"/>
        </w:rPr>
        <w:t xml:space="preserve">p259 · att1 p.14  </w:t>
      </w:r>
      <w:r>
        <w:t>13.10 Meaningful Human Oversight — Source observation. FDA distinguishes supervision/autonomy and reviewability. BCR drill chain. Human present -&gt; critical context hidden -&gt; short decision window -&gt; nominal approval -&gt; unsafe action proceeds. Root residual. Human presence is not meaningful control. Solution branch. S8 measure visibility + authority + latency + override + rollback. Status. PARTIAL</w:t>
      </w:r>
    </w:p>
    <w:p>
      <w:r>
        <w:rPr>
          <w:color w:val="777777"/>
          <w:sz w:val="16"/>
        </w:rPr>
        <w:t xml:space="preserve">p260 · att1 p.14  </w:t>
      </w:r>
      <w:r>
        <w:t>13.11 Synthetic Self-Confirmation — Source observation. FDA asks how to avoid same-class synthetic data reproducing device gaps. BCR drill chain. Shared assumptions -&gt; generator omits blind spot -&gt; evaluation omits failure -&gt; device passes. Root residual. Synthetic evidence can mask correlated blind spots. Solution branch. S5/S7 lineage separation + independent real sentinels + diverse generators. Status. PARTIAL</w:t>
      </w:r>
    </w:p>
    <w:p>
      <w:r>
        <w:rPr>
          <w:color w:val="777777"/>
          <w:sz w:val="16"/>
        </w:rPr>
        <w:t xml:space="preserve">p261 · att1 p.14  </w:t>
      </w:r>
      <w:r>
        <w:t>13.12 Agentic Tool-Chain Realization — Source observation. FDA notes multi-step planning/tool use/reduced human review. BCR drill chain. Benign plan -&gt; tool call -&gt; permission -&gt; external action -&gt; changed world state -&gt; later steps operate on new state. Root residual. Output-only testing fails once actions cross into external state. Solution branch. S9 whole action-state sequence + permission + irreversible-node + rollback/post-action verification. Status. PARTIAL</w:t>
      </w:r>
    </w:p>
    <w:p>
      <w:r>
        <w:rPr>
          <w:color w:val="777777"/>
          <w:sz w:val="16"/>
        </w:rPr>
        <w:t xml:space="preserve">p262 · att1 p.14  </w:t>
      </w:r>
      <w:r>
        <w:t>14. Expanded BCR Solutional Stack — Level Stack control Required implementation Evidence / pass criterion Status</w:t>
      </w:r>
    </w:p>
    <w:p>
      <w:r>
        <w:rPr>
          <w:color w:val="777777"/>
          <w:sz w:val="16"/>
        </w:rPr>
        <w:t xml:space="preserve">p263 · att1 p.14  </w:t>
      </w:r>
      <w:r>
        <w:t>OPEN — Exact configuration manifest/fingerprint; no untracked component.</w:t>
      </w:r>
    </w:p>
    <w:p>
      <w:r>
        <w:rPr>
          <w:color w:val="777777"/>
          <w:sz w:val="16"/>
        </w:rPr>
        <w:t xml:space="preserve">p264 · att1 p.14  </w:t>
      </w:r>
      <w:r>
        <w:t>S0 Identity/configuration lock Pin the exact final device configuration: model/version, prompts, retrieval, guardrails, tools, UI, intended use/users/population/environme nt/dependencies.</w:t>
      </w:r>
    </w:p>
    <w:p>
      <w:r>
        <w:rPr>
          <w:color w:val="777777"/>
          <w:sz w:val="16"/>
        </w:rPr>
        <w:t xml:space="preserve">p265 · att1 p.14  </w:t>
      </w:r>
      <w:r>
        <w:t>OPEN — Every safety claim links to hazard, control, and witness.</w:t>
      </w:r>
    </w:p>
    <w:p>
      <w:r>
        <w:rPr>
          <w:color w:val="777777"/>
          <w:sz w:val="16"/>
        </w:rPr>
        <w:t xml:space="preserve">p266 · att1 p.14  </w:t>
      </w:r>
      <w:r>
        <w:t>S1 Function and hazard map Map each function and action through foreseeable hazard -&gt; user/tool response -&gt; clinical/system harm.</w:t>
      </w:r>
    </w:p>
    <w:p>
      <w:r>
        <w:rPr>
          <w:color w:val="777777"/>
          <w:sz w:val="16"/>
        </w:rPr>
        <w:t xml:space="preserve">p267 · att1 p.14  </w:t>
      </w:r>
      <w:r>
        <w:t>OPEN — S2 Multidimensional boundary ledger — No essential boundary orphaned; material couplings identified.</w:t>
      </w:r>
    </w:p>
    <w:p>
      <w:r>
        <w:rPr>
          <w:color w:val="777777"/>
          <w:sz w:val="16"/>
        </w:rPr>
        <w:t xml:space="preserve">p268 · att1 p.14  </w:t>
      </w:r>
      <w:r>
        <w:t>Track J1-J15 and material couplings; retain the two-axis picture as a front-end heuristic only.</w:t>
      </w:r>
    </w:p>
    <w:p>
      <w:r>
        <w:rPr>
          <w:color w:val="777777"/>
          <w:sz w:val="16"/>
        </w:rPr>
        <w:t xml:space="preserve">p269 · att1 p.14  </w:t>
      </w:r>
      <w:r>
        <w:t>OPEN — No hidden trajectory crossing without detection/control.</w:t>
      </w:r>
    </w:p>
    <w:p>
      <w:r>
        <w:rPr>
          <w:color w:val="777777"/>
          <w:sz w:val="16"/>
        </w:rPr>
        <w:t xml:space="preserve">p270 · att1 p.14  </w:t>
      </w:r>
      <w:r>
        <w:t>S3 Trajectory-state model Evaluate multi-turn and agentic state transitions over complete interaction/action trajectories.</w:t>
      </w:r>
    </w:p>
    <w:p>
      <w:r>
        <w:rPr>
          <w:color w:val="777777"/>
          <w:sz w:val="16"/>
        </w:rPr>
        <w:t xml:space="preserve">p271 · att1 p.14  </w:t>
      </w:r>
      <w:r>
        <w:t>OPEN — All applicable hard gates pass before aggregate metrics are credited.</w:t>
      </w:r>
    </w:p>
    <w:p>
      <w:r>
        <w:rPr>
          <w:color w:val="777777"/>
          <w:sz w:val="16"/>
        </w:rPr>
        <w:t xml:space="preserve">p272 · att1 p.14  </w:t>
      </w:r>
      <w:r>
        <w:t>S4 Hard-gate screen Prevent catastrophic, irreversible, unauthorized, or identity-breaking branches from being averaged into a pass.</w:t>
      </w:r>
    </w:p>
    <w:p>
      <w:r>
        <w:rPr>
          <w:color w:val="777777"/>
          <w:sz w:val="16"/>
        </w:rPr>
        <w:t xml:space="preserve">p273 · att1 p.15  </w:t>
      </w:r>
      <w:r>
        <w:t>Level Stack control Required implementation Evidence / pass criterion Status — PARTIAL — S5 Benchmark construct-validity gate</w:t>
      </w:r>
    </w:p>
    <w:p>
      <w:r>
        <w:rPr>
          <w:color w:val="777777"/>
          <w:sz w:val="16"/>
        </w:rPr>
        <w:t xml:space="preserve">p274 · att1 p.15  </w:t>
      </w:r>
      <w:r>
        <w:t>Benchmark predicts intendeduse behavior within a demonstrated envelope.</w:t>
      </w:r>
    </w:p>
    <w:p>
      <w:r>
        <w:rPr>
          <w:color w:val="777777"/>
          <w:sz w:val="16"/>
        </w:rPr>
        <w:t xml:space="preserve">p275 · att1 p.15  </w:t>
      </w:r>
      <w:r>
        <w:t>Use prespecified methods, independent/sequestered assets, contamination checks, subgroup/trajectory coverage, and perturbation tests.</w:t>
      </w:r>
    </w:p>
    <w:p>
      <w:r>
        <w:rPr>
          <w:color w:val="777777"/>
          <w:sz w:val="16"/>
        </w:rPr>
        <w:t xml:space="preserve">p276 · att1 p.15  </w:t>
      </w:r>
      <w:r>
        <w:t>PARTIAL — Prespecified competency acceptance criteria pass with no hidden hard-gate failure.</w:t>
      </w:r>
    </w:p>
    <w:p>
      <w:r>
        <w:rPr>
          <w:color w:val="777777"/>
          <w:sz w:val="16"/>
        </w:rPr>
        <w:t xml:space="preserve">p277 · att1 p.15  </w:t>
      </w:r>
      <w:r>
        <w:t>S6 Competency benchmark Evaluate safety, clinical proficiency, generalizability, and agentic competence in the final configuration.</w:t>
      </w:r>
    </w:p>
    <w:p>
      <w:r>
        <w:rPr>
          <w:color w:val="777777"/>
          <w:sz w:val="16"/>
        </w:rPr>
        <w:t xml:space="preserve">p278 · att1 p.15  </w:t>
      </w:r>
      <w:r>
        <w:t>PARTIAL — Clinically representative witness closes intended-use residuals.</w:t>
      </w:r>
    </w:p>
    <w:p>
      <w:r>
        <w:rPr>
          <w:color w:val="777777"/>
          <w:sz w:val="16"/>
        </w:rPr>
        <w:t xml:space="preserve">p279 · att1 p.15  </w:t>
      </w:r>
      <w:r>
        <w:t>S7 Clinical confirmation ladder Escalate evidence from retrospective/shadow/standardiz ed/adjudicated/prospective methods based on the highestrisk unresolved branch.</w:t>
      </w:r>
    </w:p>
    <w:p>
      <w:r>
        <w:rPr>
          <w:color w:val="777777"/>
          <w:sz w:val="16"/>
        </w:rPr>
        <w:t xml:space="preserve">p280 · att1 p.15  </w:t>
      </w:r>
      <w:r>
        <w:t>OPEN — Observer can detect/stop unsafe action within required time.</w:t>
      </w:r>
    </w:p>
    <w:p>
      <w:r>
        <w:rPr>
          <w:color w:val="777777"/>
          <w:sz w:val="16"/>
        </w:rPr>
        <w:t xml:space="preserve">p281 · att1 p.15  </w:t>
      </w:r>
      <w:r>
        <w:t>S8 Meaningful observer control Demonstrate visibility, authority, timing, intervention ability, and reversibility for human oversight.</w:t>
      </w:r>
    </w:p>
    <w:p>
      <w:r>
        <w:rPr>
          <w:color w:val="777777"/>
          <w:sz w:val="16"/>
        </w:rPr>
        <w:t xml:space="preserve">p282 · att1 p.15  </w:t>
      </w:r>
      <w:r>
        <w:t>OPEN — No unauthorized/unobserved high-consequence transition.</w:t>
      </w:r>
    </w:p>
    <w:p>
      <w:r>
        <w:rPr>
          <w:color w:val="777777"/>
          <w:sz w:val="16"/>
        </w:rPr>
        <w:t xml:space="preserve">p283 · att1 p.15  </w:t>
      </w:r>
      <w:r>
        <w:t>S9 Agentic sequence closure Control tool permissions, actionstate transitions, irreversible nodes, tool-output validation, rollback, and post-action checks.</w:t>
      </w:r>
    </w:p>
    <w:p>
      <w:r>
        <w:rPr>
          <w:color w:val="777777"/>
          <w:sz w:val="16"/>
        </w:rPr>
        <w:t xml:space="preserve">p284 · att1 p.15  </w:t>
      </w:r>
      <w:r>
        <w:t>OPEN — Deployed dependency identity/version is known and current.</w:t>
      </w:r>
    </w:p>
    <w:p>
      <w:r>
        <w:rPr>
          <w:color w:val="777777"/>
          <w:sz w:val="16"/>
        </w:rPr>
        <w:t xml:space="preserve">p285 · att1 p.15  </w:t>
      </w:r>
      <w:r>
        <w:t>S10 Lineage/dependency assurance Maintain model/provider version identity, fingerprints, safetyrelevant limitations, update notices, and current dependency evidence.</w:t>
      </w:r>
    </w:p>
    <w:p>
      <w:r>
        <w:rPr>
          <w:color w:val="777777"/>
          <w:sz w:val="16"/>
        </w:rPr>
        <w:t xml:space="preserve">p286 · att1 p.15  </w:t>
      </w:r>
      <w:r>
        <w:t>OPEN — No safety-relevant change enters production without required evidence.</w:t>
      </w:r>
    </w:p>
    <w:p>
      <w:r>
        <w:rPr>
          <w:color w:val="777777"/>
          <w:sz w:val="16"/>
        </w:rPr>
        <w:t xml:space="preserve">p287 · att1 p.15  </w:t>
      </w:r>
      <w:r>
        <w:t>S11 Change/PCCP gate Classify change by boundary delta; test affected branches; hold or roll back when limits are exceeded.</w:t>
      </w:r>
    </w:p>
    <w:p>
      <w:r>
        <w:rPr>
          <w:color w:val="777777"/>
          <w:sz w:val="16"/>
        </w:rPr>
        <w:t xml:space="preserve">p288 · att1 p.15  </w:t>
      </w:r>
      <w:r>
        <w:t>PARTIAL — Prespecified triggers detect meaningful residuals before unacceptable propagation.</w:t>
      </w:r>
    </w:p>
    <w:p>
      <w:r>
        <w:rPr>
          <w:color w:val="777777"/>
          <w:sz w:val="16"/>
        </w:rPr>
        <w:t xml:space="preserve">p289 · att1 p.15  </w:t>
      </w:r>
      <w:r>
        <w:t>S12 Postmarket residual monitor Use rebenchmarking, clinician sampling, drift/subgroup surveillance, complaints/adverse events/outcomes, and sentinel cases.</w:t>
      </w:r>
    </w:p>
    <w:p>
      <w:r>
        <w:rPr>
          <w:color w:val="777777"/>
          <w:sz w:val="16"/>
        </w:rPr>
        <w:t xml:space="preserve">p290 · att1 p.15  </w:t>
      </w:r>
      <w:r>
        <w:t>OPEN — S13 Closure/re-open logic Give every residual an owner, evidence requirement, pass limit, trigger, and re-open rule.</w:t>
      </w:r>
    </w:p>
    <w:p>
      <w:r>
        <w:rPr>
          <w:color w:val="777777"/>
          <w:sz w:val="16"/>
        </w:rPr>
        <w:t xml:space="preserve">p291 · att1 p.15  </w:t>
      </w:r>
      <w:r>
        <w:t>All essential branches CLOSED/PASS or deployment is constrained.</w:t>
      </w:r>
    </w:p>
    <w:p>
      <w:r>
        <w:rPr>
          <w:color w:val="777777"/>
          <w:sz w:val="16"/>
        </w:rPr>
        <w:t xml:space="preserve">p292 · att1 p.15  </w:t>
      </w:r>
      <w:r>
        <w:t>15. BCR Solutional Decision Logic — 15.1 Boundary vector. FDA's activity and consequence dimensions remain useful, but the closure object is the broader boundary vector J={J1...J15} plus material couplings. This prevents the two-dimensional visualization from replacing the actual regulatory realization problem.</w:t>
      </w:r>
    </w:p>
    <w:p>
      <w:r>
        <w:rPr>
          <w:color w:val="777777"/>
          <w:sz w:val="16"/>
        </w:rPr>
        <w:t xml:space="preserve">p293 · att1 p.15  </w:t>
      </w:r>
      <w:r>
        <w:t>15.2 Realization execution. For a device-specific implementation: X_r = X_struct * PRODUCT_i(1 + s_i c_i J_i)</w:t>
      </w:r>
    </w:p>
    <w:p>
      <w:r>
        <w:rPr>
          <w:color w:val="777777"/>
          <w:sz w:val="16"/>
        </w:rPr>
        <w:t xml:space="preserve">p294 · att1 p.15  </w:t>
      </w:r>
      <w:r>
        <w:t>and for material interactions: X_r = X_struct * PRODUCT_i(1 + s_i c_i J_i) * PRODUCT_{i,j}(1 + s_ij c_ij J_i J_j)</w:t>
      </w:r>
    </w:p>
    <w:p>
      <w:r>
        <w:rPr>
          <w:color w:val="777777"/>
          <w:sz w:val="16"/>
        </w:rPr>
        <w:t xml:space="preserve">p295 · att1 p.15  </w:t>
      </w:r>
      <w:r>
        <w:t>The source identifies many J_i concepts but does not provide validated c_i/c_ij coefficients. Therefore the formulas are RAN QUALITATIVELY and NOT RAN NUMERICALLY rather than populated with invented coefficients.</w:t>
      </w:r>
    </w:p>
    <w:p>
      <w:r>
        <w:rPr>
          <w:color w:val="777777"/>
          <w:sz w:val="16"/>
        </w:rPr>
        <w:t xml:space="preserve">p296 · att1 p.15  </w:t>
      </w:r>
      <w:r>
        <w:t>15.3 Hard-gate overlay. Define a prespecified hard-gate event H=1 for any non-averagable safety branch such as an unauthorized high-consequence action, an irreversible action without required confirmation, a catastrophic missed escalation above its allowable limit, a dependency identity mismatch, or failure of required human intervention. When H=1, the affected release/use slice cannot close regardless of favorable aggregate metrics.</w:t>
      </w:r>
    </w:p>
    <w:p>
      <w:r>
        <w:rPr>
          <w:color w:val="777777"/>
          <w:sz w:val="16"/>
        </w:rPr>
        <w:t xml:space="preserve">p297 · att1 p.15  </w:t>
      </w:r>
      <w:r>
        <w:t>15.4 Two-direction escalation residuals. Keep R_under and R_over separate with severity and timing. Do not collapse them into one scalar unless the clinical weighting is prospectively justified. Severe under-escalation can remain a hard gate even if over-escalation is low.</w:t>
      </w:r>
    </w:p>
    <w:p>
      <w:r>
        <w:rPr>
          <w:color w:val="777777"/>
          <w:sz w:val="16"/>
        </w:rPr>
        <w:t xml:space="preserve">p298 · att1 p.15  </w:t>
      </w:r>
      <w:r>
        <w:t>15.5 Residual closure. For each branch k, Residual_k = Observed_k - Predicted_k. Where the ideal error target is zero, report absolute residual and the prespecified acceptance limit directly rather than dividing by zero. Closure requires the post-control residual to satisfy the limit and the same failure path to remain closed under perturbation.</w:t>
      </w:r>
    </w:p>
    <w:p>
      <w:r>
        <w:rPr>
          <w:color w:val="777777"/>
          <w:sz w:val="16"/>
        </w:rPr>
        <w:t xml:space="preserve">p299 · att1 p.16  </w:t>
      </w:r>
      <w:r>
        <w:t>15.6 Change delta. A postmarket modification or third-party dependency update creates a boundary delta, Delta J. Requalification scope follows the changed J_i and material J_iJ_j couplings, while hard-gate branches always receive direct re-evidence. This turns PCCP into a controlled envelope of allowable boundary movement.</w:t>
      </w:r>
    </w:p>
    <w:p>
      <w:r>
        <w:rPr>
          <w:color w:val="777777"/>
          <w:sz w:val="16"/>
        </w:rPr>
        <w:t xml:space="preserve">p300 · att1 p.16  </w:t>
      </w:r>
      <w:r>
        <w:t>15.7 Evidence fusion. Benchmark, clinical, synthetic, and postmarket evidence remain distinct witnesses until independence and transportability are demonstrated. Synthetic and real-world data should not be merged into one performance estimate solely because both are available.</w:t>
      </w:r>
    </w:p>
    <w:p>
      <w:r>
        <w:rPr>
          <w:color w:val="777777"/>
          <w:sz w:val="16"/>
        </w:rPr>
        <w:t xml:space="preserve">p301 · att1 p.16  </w:t>
      </w:r>
      <w:r>
        <w:t>16. Direct BCR Stakeholder Responses to FDA Questions 1-26 — The short response below is the solution output; each answer is cross-referenced to the Master Traceability Matrix (TR-Qxx) and the solution stack. The discussion questions remain FDA questions, not converted requirements.</w:t>
      </w:r>
    </w:p>
    <w:p>
      <w:r>
        <w:rPr>
          <w:color w:val="777777"/>
          <w:sz w:val="16"/>
        </w:rPr>
        <w:t xml:space="preserve">p302 · att1 p.16  </w:t>
      </w:r>
      <w:r>
        <w:t>FDA Question 1 - Risk framework dimensions — Trace ID. TR-Q01 | FDA Q1; Sec. IV.A; App. B; pp. 9-10 / 27-28 BCR response. Use the activity x consequence matrix as a communication layer, not the full closure model. Add a mandatory boundary ledger for reversibility, downstream safeguards, time pressure/time-to-harm, traceability/provenance, user review capability, conversational trajectory, model/dependency change, subgroup performance, tool permissions, and postmarket detectability. Overlay hard gates for irreversible or catastrophic branches. BCR rule basis. BCR-R02,R07,R09,R14,R17 Solution-stack link. S2,S4 Closure evidence. Multidimensional boundary record + scenario tests + hard-gate results Pass / re-open. No essential risk dimension orphaned; all applicable hard gates pass Re-open when: Relevant model/use/tool/workflow change or new harm pathway.</w:t>
      </w:r>
    </w:p>
    <w:p>
      <w:r>
        <w:rPr>
          <w:color w:val="777777"/>
          <w:sz w:val="16"/>
        </w:rPr>
        <w:t xml:space="preserve">p303 · att1 p.16  </w:t>
      </w:r>
      <w:r>
        <w:t>FDA Question 2 - Spectrum of informational directiveness — Trace ID. TR-Q02 | FDA Q2; Sec. IV.A; App. B; pp. 9-10 / 27-28 BCR response. Treat directiveness as realized action pressure across the interaction, not a keyword test. Evaluate specificity, personalization, imperative force, immediacy, repetition, preservation of alternatives, and consequence across realistic trajectories. BCR rule basis. BCR-R06,R09,R12,R17 Solution-stack link. S2,S3,S6 Closure evidence. Semantically equivalent multi-turn cases varying specificity/personalization/imperative force Pass / re-open. Stable classification and no unrecognized trajectory crossing Re-open when: Prompt, UI, personalization, or conversational-policy change.</w:t>
      </w:r>
    </w:p>
    <w:p>
      <w:r>
        <w:rPr>
          <w:color w:val="777777"/>
          <w:sz w:val="16"/>
        </w:rPr>
        <w:t xml:space="preserve">p304 · att1 p.16  </w:t>
      </w:r>
      <w:r>
        <w:t>FDA Question 3 - Patient-facing vs HCP-facing risk — Trace ID. TR-Q03 | FDA Q3; Sec. IV.A; App. B; pp. 9-10 / 27-28 BCR response. Do not infer safe use solely from patient/HCP labels. Measure whether intended users understand limitations, detect plausible errors, respond to uncertainty, and act on escalation instructions across health-literacy levels. BCR rule basis. BCR-R08,R10,R12,R17 Solution-stack link. S6,S7,S8 Closure evidence. Comprehension, error-detection, escalation, and intervention testing in intended users Pass / re-open. User population meets prespecified review/intervention criteria Re-open when: Intended-user/population or communication-interface change.</w:t>
      </w:r>
    </w:p>
    <w:p>
      <w:r>
        <w:rPr>
          <w:color w:val="777777"/>
          <w:sz w:val="16"/>
        </w:rPr>
        <w:t xml:space="preserve">p305 · att1 p.16  </w:t>
      </w:r>
      <w:r>
        <w:t>FDA Question 4 - Generalist vs specialist HCP use — Trace ID. TR-Q04 | FDA Q4; Sec. IV.A; App. B; pp. 9-10 / 27-28 BCR response. Base risk on task-to-competency mismatch, not professional title alone. If safety depends on specialty knowledge, validate the generalist's independent review and the device's specialist-escalation behavior. BCR rule basis. BCR-R01,R08,R10,R12 Solution-stack link. S6,S8 Closure evidence. Domain-specific error detection and specialist-escalation testing Pass / re-open. Intended HCP can independently review or device reliably escalates Re-open when: Clinical scope or intended-user change.</w:t>
      </w:r>
    </w:p>
    <w:p>
      <w:r>
        <w:rPr>
          <w:color w:val="777777"/>
          <w:sz w:val="16"/>
        </w:rPr>
        <w:t xml:space="preserve">p306 · att1 p.16  </w:t>
      </w:r>
      <w:r>
        <w:t>FDA Question 5 - Multi-turn conversational trajectories — Trace ID. TR-Q05 | FDA Q5; Sec. IV.A; App. B; pp. 9-10 / 27-28 BCR response. Evaluate the entire conversation as a state trajectory. Track migration from non-directive to action-directing/actiontaking states, order effects, long-context degradation, and cumulative boundary drift. BCR rule basis. BCR-R06,R09,R15,R17 Solution-stack link. S3,S6 Closure evidence. Long-context/order-effect/state-transition scenarios</w:t>
      </w:r>
    </w:p>
    <w:p>
      <w:r>
        <w:rPr>
          <w:color w:val="777777"/>
          <w:sz w:val="16"/>
        </w:rPr>
        <w:t xml:space="preserve">p307 · att1 p.17  </w:t>
      </w:r>
      <w:r>
        <w:t>Pass / re-open. No tested trajectory crosses intended-use/safety boundary without detection/control Re-open when: Prompt orchestration, memory, context-window, or tool change.</w:t>
      </w:r>
    </w:p>
    <w:p>
      <w:r>
        <w:rPr>
          <w:color w:val="777777"/>
          <w:sz w:val="16"/>
        </w:rPr>
        <w:t xml:space="preserve">p308 · att1 p.17  </w:t>
      </w:r>
      <w:r>
        <w:t>FDA Question 6 - Under- vs over-escalation — Trace ID. TR-Q06 | FDA Q6; Sec. IV.A; App. B; pp. 9-10 / 27-28 BCR response. Maintain separate under- and over-escalation residuals with severity and timing. Do not force them into one score unless a clinical weighting rule is justified in advance; severe missed escalation can be a hard gate. BCR rule basis. BCR-R04,R05,R14,R16 Solution-stack link. S1,S4,S6,S7 Closure evidence. Separate under- and over-escalation rates with severity/timing; hard-gate misses tracked separately Pass / re-open. Each direction meets prespecified limits; catastrophic misses satisfy hard gate Re-open when: Clinical context, escalation policy, or threshold change.</w:t>
      </w:r>
    </w:p>
    <w:p>
      <w:r>
        <w:rPr>
          <w:color w:val="777777"/>
          <w:sz w:val="16"/>
        </w:rPr>
        <w:t xml:space="preserve">p309 · att1 p.17  </w:t>
      </w:r>
      <w:r>
        <w:t>FDA Question 7 - Competency-based premarket approach — Trace ID. TR-Q07 | FDA Q7; Sec. V.E; App. B; pp. 18-19 / 28-29 BCR response. The competency-based model is useful if benchmark -&gt; clinical confirmation -&gt; postmarket monitoring forms one continuous closure chain tied to the exact final deployed configuration. BCR rule basis. BCR-R01,R03,R09,R15,R17 Solution-stack link. S0,S5,S6,S7,S12,S13 Closure evidence. Traceable benchmark + clinical confirmation + residual monitoring for exact deployed configuration Pass / re-open. Evidence chain remains valid to deployed configuration and essential residuals close Re-open when: Any safetyrelevant configuration or intended-use change.</w:t>
      </w:r>
    </w:p>
    <w:p>
      <w:r>
        <w:rPr>
          <w:color w:val="777777"/>
          <w:sz w:val="16"/>
        </w:rPr>
        <w:t xml:space="preserve">p310 · att1 p.17  </w:t>
      </w:r>
      <w:r>
        <w:t>FDA Question 8 - Risk framework used to scale evidence — Trace ID. TR-Q08 | FDA Q8; Sec. V.E; App. B; pp. 18-19 / 28-29 BCR response. Use activity and consequence for initial tiering, then scale evidence using the full boundary vector and hard gates. A low average position cannot reduce evidence when irreversibility, hidden tool action, poor observability, or severe subgroup failure exists. BCR rule basis. BCR-R02,R09,R10,R14,R15 Solution-stack link. S2,S4,S7 Closure evidence. Evidence-tier rationale tied to highest material boundary/hard gate Pass / re-open. Evidence burden justified by highest material branch, not average position Re-open when: New or elevated boundary/hard-gate condition.</w:t>
      </w:r>
    </w:p>
    <w:p>
      <w:r>
        <w:rPr>
          <w:color w:val="777777"/>
          <w:sz w:val="16"/>
        </w:rPr>
        <w:t xml:space="preserve">p311 · att1 p.17  </w:t>
      </w:r>
      <w:r>
        <w:t>FDA Question 9 - Adequacy of benchmarking elements — Trace ID. TR-Q09 | FDA Q9; Sec. V.E; App. B; pp. 18-19 / 28-29 BCR response. FDA's ten benchmark elements are a strong core. Add explicit gates for provenance/dependency identity, modelchange sensitivity, meaningful human override, reversibility/rollback, tool permissions, long trajectories, and benchmark construct validity/contamination. BCR rule basis. BCR-R02,R07,R08,R12,R13 Solution-stack link. S5,S6,S8,S9,S10 Closure evidence. Added tests for provenance, change, human override, reversibility, tool permissions, trajectories, benchmark validity Pass / re-open. No critical boundary hidden in aggregate competency score Re-open when: Benchmark/test architecture or device architecture change.</w:t>
      </w:r>
    </w:p>
    <w:p>
      <w:r>
        <w:rPr>
          <w:color w:val="777777"/>
          <w:sz w:val="16"/>
        </w:rPr>
        <w:t xml:space="preserve">p312 · att1 p.17  </w:t>
      </w:r>
      <w:r>
        <w:t>FDA Question 10 - Benchmark construct validity — Trace ID. TR-Q10 | FDA Q10; Sec. V.E; App. B; pp. 18-19 / 28-29 BCR response. Require evidence that benchmark performance predicts intended-use behavior: independent/sequestered assets, contamination controls, representative morphology, subgroup/trajectory coverage, perturbation stability, and correlation with clinical/postmarket witnesses. BCR rule basis. BCR-R05,R08,R11,R15,R16 Solution-stack link. S5,S7,S12 Closure evidence. Sequestered assets, contamination checks, perturbation stability, independent adjudication, clinical/postmarket linkage Pass / re-open. Benchmark predicts intended-use behavior within defined envelope Re-open when: Benchmark exposure/saturation, deployment distribution, model revision.</w:t>
      </w:r>
    </w:p>
    <w:p>
      <w:r>
        <w:rPr>
          <w:color w:val="777777"/>
          <w:sz w:val="16"/>
        </w:rPr>
        <w:t xml:space="preserve">p313 · att1 p.17  </w:t>
      </w:r>
      <w:r>
        <w:t>FDA Question 11 - Selecting clinical-confirmation rigor — Trace ID. TR-Q11 | FDA Q11; Sec. V.E; App. B; pp. 18-19 / 28-29</w:t>
      </w:r>
    </w:p>
    <w:p>
      <w:r>
        <w:rPr>
          <w:color w:val="777777"/>
          <w:sz w:val="16"/>
        </w:rPr>
        <w:t xml:space="preserve">p314 · att1 p.18  </w:t>
      </w:r>
      <w:r>
        <w:t>BCR response. Use a sequential clinical-confirmation ladder based on the highest-risk realized branch. Lower-risk informational uses may close with retrospective/shadow evidence; high-consequence or autonomous uses need stronger clinically representative confirmation and may require prospective study. BCR rule basis. BCR-R09,R10,R11,R14,R17 Solution-stack link. S7 Closure evidence. Prespecified rationale for confirmation tier; independent adjudication and representativeness evidence Pass / re-open. Selected method closes intended-use residuals at required rigor Re-open when: Risk profile, intended use, population, or unresolved residual changes.</w:t>
      </w:r>
    </w:p>
    <w:p>
      <w:r>
        <w:rPr>
          <w:color w:val="777777"/>
          <w:sz w:val="16"/>
        </w:rPr>
        <w:t xml:space="preserve">p315 · att1 p.18  </w:t>
      </w:r>
      <w:r>
        <w:t>FDA Question 12 - Statistically meaningful performance; synthetic/real evidence — Trace ID. TR-Q12 | FDA Q12; Sec. V.E; App. B; pp. 18-19 / 28-29 BCR response. Prespecify estimands, denominators, subgroup/trajectory strata, uncertainty intervals, and missing-data rules. Keep synthetic and real estimates separate unless distributional transportability and lineage independence justify combination. BCR rule basis. BCR-R04,R08,R11,R13,R18 Solution-stack link. S5,S7 Closure evidence. Prespecified estimands/denominators/strata/CIs; synthetic and real reported separately unless justified compatible Pass / re-open. Statistical claim maps to intended-use distribution; pooling justified when used Re-open when: Distribution shift, datasource or generator-lineage change.</w:t>
      </w:r>
    </w:p>
    <w:p>
      <w:r>
        <w:rPr>
          <w:color w:val="777777"/>
          <w:sz w:val="16"/>
        </w:rPr>
        <w:t xml:space="preserve">p316 · att1 p.18  </w:t>
      </w:r>
      <w:r>
        <w:t>FDA Question 13 - Where synthetic data helps or fails — Trace ID. TR-Q13 | FDA Q13; Sec. V.E; App. B; pp. 18-19 / 28-29 BCR response. Use synthetic data for combinatorial stress, rare known scenarios, perturbations, and privacy-constrained coverage; do not rely on it alone for unknown blind spots or safety-critical claims where generator and device may share correlated gaps. Add independent real sentinels and lineage disclosure. BCR rule basis. BCR-R05,R11,R13,R15 Solution-stack link. S5,S7 Closure evidence. Generator lineage, independent real sentinels, diverse generators, subgroup stress tests Pass / re-open. Synthetic evidence supplements independent real witnesses where blind spots are plausible Re-open when: Generator/model lineage change or new subgroup gap.</w:t>
      </w:r>
    </w:p>
    <w:p>
      <w:r>
        <w:rPr>
          <w:color w:val="777777"/>
          <w:sz w:val="16"/>
        </w:rPr>
        <w:t xml:space="preserve">p317 · att1 p.18  </w:t>
      </w:r>
      <w:r>
        <w:t>FDA Question 14 - Comparator and acceptance criteria — Trace ID. TR-Q14 | FDA Q14; Sec. V.E; App. B; pp. 18-19 / 28-29 BCR response. Choose the comparator from intended use and counterfactual workflow. Use an appropriate clinical standard for substitution claims; test human-AI team and device-alone performance separately when both matter. BCR rule basis. BCR-R01,R08,R10,R17 Solution-stack link. S1,S7 Closure evidence. Comparator rationale tied to intended use/counterfactual; device-alone and human-AI results separated when relevant Pass / re-open. Comparator directly supports claimed role and clinical question Re-open when: Intended-use/workflow/comparator standard changes.</w:t>
      </w:r>
    </w:p>
    <w:p>
      <w:r>
        <w:rPr>
          <w:color w:val="777777"/>
          <w:sz w:val="16"/>
        </w:rPr>
        <w:t xml:space="preserve">p318 · att1 p.18  </w:t>
      </w:r>
      <w:r>
        <w:t>FDA Question 15 - Compare to care absent the device — Trace ID. TR-Q15 | FDA Q15; Sec. V.E; App. B; pp. 18-19 / 28-29 BCR response. Yes - include the actual counterfactual care likely without the device: unaided clinician, delayed specialist review, alternative technology, or no intervention when clinically appropriate. BCR rule basis. BCR-R01,R09,R10,R17 Solution-stack link. S1,S7 Closure evidence. Prespecified credible counterfactual: unaided clinician, delayed specialist, alternative technology, or no intervention as appropriate Pass / re-open. Counterfactual aligns with claimed benefit-risk statement Re-open when: Care pathway or standard practice changes.</w:t>
      </w:r>
    </w:p>
    <w:p>
      <w:r>
        <w:rPr>
          <w:color w:val="777777"/>
          <w:sz w:val="16"/>
        </w:rPr>
        <w:t xml:space="preserve">p319 · att1 p.18  </w:t>
      </w:r>
      <w:r>
        <w:t>FDA Question 16 - Independent third parties — Trace ID. TR-Q16 | FDA Q16; Sec. V.E; App. B; pp. 18-19 / 28-29 BCR response. Use qualified independent third parties for sequestered datasets, red-team testing, adjudication, and benchmark maintenance, with transparent qualification/conflict rules, multiple eligible providers, rotation, and retest/appeal mechanisms. BCR rule basis. BCR-R11,R13,R15,R17 Solution-stack link. S5,S7,S12 Closure evidence. Independence/conflict criteria, multiple eligible providers, rotation/retest/appeal, sequestered evidence</w:t>
      </w:r>
    </w:p>
    <w:p>
      <w:r>
        <w:rPr>
          <w:color w:val="777777"/>
          <w:sz w:val="16"/>
        </w:rPr>
        <w:t xml:space="preserve">p320 · att1 p.19  </w:t>
      </w:r>
      <w:r>
        <w:t>Pass / re-open. Independence demonstrated without single unreviewable gatekeeper Re-open when: Conflict, vendor, dataset, or qualification status changes.</w:t>
      </w:r>
    </w:p>
    <w:p>
      <w:r>
        <w:rPr>
          <w:color w:val="777777"/>
          <w:sz w:val="16"/>
        </w:rPr>
        <w:t xml:space="preserve">p321 · att1 p.19  </w:t>
      </w:r>
      <w:r>
        <w:t>FDA Question 17 - Other model architectures — Trace ID. TR-Q17 | FDA Q17; Sec. V.E; App. B; pp. 18-19 / 28-29 BCR response. Keep the closure architecture technology-neutral but add architecture-specific failure branches: multimodal consistency, world-model state/long-horizon error, clinically relevant morphology preservation, and action-state verification for autonomous controllers. BCR rule basis. BCR-R01,R06,R10,R17 Solution-stack link. S1,S2,S3,S6,S9 Closure evidence. Architecture-specific tests: multimodal consistency, world-model state error, action-state verification, etc. Pass / re-open. Architecture-specific failure modes are mapped to evidence Re-open when: Underlying architecture/modality/tooling change.</w:t>
      </w:r>
    </w:p>
    <w:p>
      <w:r>
        <w:rPr>
          <w:color w:val="777777"/>
          <w:sz w:val="16"/>
        </w:rPr>
        <w:t xml:space="preserve">p322 · att1 p.19  </w:t>
      </w:r>
      <w:r>
        <w:t>FDA Question 18 - Greater postmarket reliance / premarket uncertainty — Trace ID. TR-Q18 | FDA Q18; Sec. VI.D; App. B; pp. 21-22 / 29-30 BCR response. Allow greater postmarket reliance only when residuals are bounded, detectability is proven, monitoring is sensitive, intervention precedes unacceptable harm, and actions are reversible or otherwise controlled. Do not defer catastrophic, irreversible, or poorly observable risk. BCR rule basis. BCR-R10,R12,R14,R15,R16 Solution-stack link. S4,S12,S13 Closure evidence. Detection sensitivity, monitoring latency, response time, reversibility and harm-time analysis Pass / re-open. Detection + response demonstrably precede unacceptable harm for deferred residuals Re-open when: Monitoring capability, harm latency, or action reversibility changes.</w:t>
      </w:r>
    </w:p>
    <w:p>
      <w:r>
        <w:rPr>
          <w:color w:val="777777"/>
          <w:sz w:val="16"/>
        </w:rPr>
        <w:t xml:space="preserve">p323 · att1 p.19  </w:t>
      </w:r>
      <w:r>
        <w:t>FDA Question 19 - Postmarket approaches and cadence — Trace ID. TR-Q19 | FDA Q19; Sec. VI.D; App. B; pp. 21-22 / 29-30 BCR response. Use both calendar cadence and event triggers: model/dependency update, distribution shift, complaint/adverse-event signal, subgroup degradation, tool change, safety-metric drift, or near-miss. Combine rebenchmarking, clinician review, telemetry, outcomes, and sentinel cases. BCR rule basis. BCR-R05,R09,R15,R16 Solution-stack link. S12,S13 Closure evidence. Calendar + event triggers; rebenchmark, clinician review, telemetry, complaints/outcomes, sentinel cases Pass / re-open. Prespecified triggers force timely review/requalification Re-open when: Model/update/distribution/complaint/adverseevent/tool-change triggers.</w:t>
      </w:r>
    </w:p>
    <w:p>
      <w:r>
        <w:rPr>
          <w:color w:val="777777"/>
          <w:sz w:val="16"/>
        </w:rPr>
        <w:t xml:space="preserve">p324 · att1 p.19  </w:t>
      </w:r>
      <w:r>
        <w:t>FDA Question 20 - Machine-based supervisory agents — Trace ID. TR-Q20 | FDA Q20; Sec. VI.D; App. B; pp. 21-22 / 29-30 BCR response. Machine supervisors may assist but should not self-certify the device. Validate them independently, control their version/lineage, measure detection performance, test common-mode blind spots, maintain audit logs, and provide fail-safe human escalation. BCR rule basis. BCR-R06,R08,R11,R13,R15 Solution-stack link. S8,S10,S12 Closure evidence. Independent supervisor validation, version control, detection performance, common-mode testing, human fail-safe Pass / re-open. Supervisor is independently evidenced and shared-blind-spot risk is tested Re-open when: Supervisor/device update or detection degradation.</w:t>
      </w:r>
    </w:p>
    <w:p>
      <w:r>
        <w:rPr>
          <w:color w:val="777777"/>
          <w:sz w:val="16"/>
        </w:rPr>
        <w:t xml:space="preserve">p325 · att1 p.19  </w:t>
      </w:r>
      <w:r>
        <w:t>FDA Question 21 - Shared ecosystem roles without diffusing accountability — Trace ID. TR-Q21 | FDA Q21; Sec. VI.D; App. B; pp. 21-22 / 29-30 BCR response. Distribute evidence generation, not accountability. The manufacturer should retain the master residual/closure ledger; clinicians/institutions supply witnesses, societies supply clinical standards, and standards bodies support interoperable evidence structures. BCR rule basis. BCR-R02,R04,R09,R13,R17 Solution-stack link. S12,S13 Closure evidence. Master residual ledger with named accountable owner; external contributors provide traceable witnesses Pass / re-open. Every residual has one accountable owner despite distributed evidence generation Re-open when: Stakeholder responsibility/process change.</w:t>
      </w:r>
    </w:p>
    <w:p>
      <w:r>
        <w:rPr>
          <w:color w:val="777777"/>
          <w:sz w:val="16"/>
        </w:rPr>
        <w:t xml:space="preserve">p326 · att1 p.19  </w:t>
      </w:r>
      <w:r>
        <w:t>FDA Question 22 - Scaling reevaluation after modifications — Trace ID. TR-Q22 | FDA Q22; Sec. VI.D; App. B; pp. 21-22 / 29-30</w:t>
      </w:r>
    </w:p>
    <w:p>
      <w:r>
        <w:rPr>
          <w:color w:val="777777"/>
          <w:sz w:val="16"/>
        </w:rPr>
        <w:t xml:space="preserve">p327 · att1 p.20  </w:t>
      </w:r>
      <w:r>
        <w:t>BCR response. Classify modification by boundary delta. Cosmetic/non-safety UI changes may stay within QMS; prompt/retrieval changes require targeted requalification; model/tool/intended-use/permission/safety-behavior changes can require broad revalidation. Hard-gate branches always receive direct regression evidence. BCR rule basis. BCR-R01,R06,R09,R13,R16 Solution-stack link. S10,S11 Closure evidence. Change delta record, affected-branch regression, hold/release decision, hard-gate retest Pass / re-open. Requalification scope is traceable to changed boundaries and passes affected gates Re-open when: Every safetyrelevant modification.</w:t>
      </w:r>
    </w:p>
    <w:p>
      <w:r>
        <w:rPr>
          <w:color w:val="777777"/>
          <w:sz w:val="16"/>
        </w:rPr>
        <w:t xml:space="preserve">p328 · att1 p.20  </w:t>
      </w:r>
      <w:r>
        <w:t>FDA Question 23 - PCCP when future changes not fully known — Trace ID. TR-Q23 | FDA Q23; Sec. VI.D; App. B; pp. 21-22 / 29-30 BCR response. Prespecify an allowable change envelope rather than every exact future edit: which boundaries may move, maximum deltas, required tests, hold points, rollback conditions, and new-submission triggers. BCR rule basis. BCR-R02,R09,R15,R16,R17 Solution-stack link. S11,S13 Closure evidence. Allowable boundary envelope, maximum deltas, required tests, hold points, rollback and new-submission triggers Pass / re-open. Change remains inside validated envelope and required tests pass before release Re-open when: Change outside envelope or failed control/test.</w:t>
      </w:r>
    </w:p>
    <w:p>
      <w:r>
        <w:rPr>
          <w:color w:val="777777"/>
          <w:sz w:val="16"/>
        </w:rPr>
        <w:t xml:space="preserve">p329 · att1 p.20  </w:t>
      </w:r>
      <w:r>
        <w:t>FDA Question 24 - Third-party foundation-model changes — Trace ID. TR-Q24 | FDA Q24; Sec. VI.D; App. B; pp. 21-22 / 29-30 BCR response. Use contractual notification plus technical detection: version identifiers/fingerprints, canary probes, shadow/delta tests, API behavior checks, change quarantine, rollback, and requalification. If the sponsor cannot detect a safety-relevant dependency change, the branch is not closed. BCR rule basis. BCR-R01,R03,R11,R13,R16 Solution-stack link. S10,S11 Closure evidence. Provider notice + fingerprints + canary/shadow delta tests + quarantine/rollback Pass / re-open. No unrecognized safety-relevant dependency change reaches production Re-open when: Any provider/model/API/safety-behavior change.</w:t>
      </w:r>
    </w:p>
    <w:p>
      <w:r>
        <w:rPr>
          <w:color w:val="777777"/>
          <w:sz w:val="16"/>
        </w:rPr>
        <w:t xml:space="preserve">p330 · att1 p.20  </w:t>
      </w:r>
      <w:r>
        <w:t>FDA Question 25 - Voluntary Foundation Model MAFs — Trace ID. TR-Q25 | FDA Q25; Sec. VII.C; App. B; pp. 23 / 30 BCR response. Foundation Model MAFs can help if current, versioned, and safety-relevant. Include architecture/interface boundaries, appropriate training-data provenance, supported uses, known limitations/failure modes, subgroup evaluations, guardrails, version history, update commitments, and audit-log availability. Voluntary gaps remain explicit and sponsors still need independent dependency assurance. BCR rule basis. BCR-R01,R11,R13,R15 Solution-stack link. S10 Closure evidence. Versioned/current architecture, supported uses, limitations, failure modes, subgroup evidence, guardrails, update/audit commitments Pass / re-open. Evidence is current enough for deployed version; stale/voluntary gaps remain explicit Re-open when: Model version/update or stale file evidence.</w:t>
      </w:r>
    </w:p>
    <w:p>
      <w:r>
        <w:rPr>
          <w:color w:val="777777"/>
          <w:sz w:val="16"/>
        </w:rPr>
        <w:t xml:space="preserve">p331 · att1 p.20  </w:t>
      </w:r>
      <w:r>
        <w:t>FDA Question 26 - Agentic AI additional considerations — Trace ID. TR-Q26 | FDA Q26; Sec. VII.C; App. B; pp. 23 / 30 BCR response. Evaluate sequence-level realization: planning, tool selection, permission boundaries, memory/retrieval provenance, multi-agent propagation, tool-output validation, prompt injection through retrieved/tool content, irreversible-action confirmation, rollback, and post-action state checks. Acceptance criteria apply to the entire action path, not only the final text output. BCR rule basis. BCR-R06,R09,R12,R13,R14,R16 Solution-stack link. S3,S4,S8,S9 Closure evidence. End-to-end action-state logs, permission tests, prompt-injection via tools/retrieval, irreversible confirmation, rollback, post-action verification Pass / re-open. No unauthorized/unobserved/unverified high-consequence state transition Re-open when: Tool/permission/memory/retrieval/model/action-policy change.</w:t>
      </w:r>
    </w:p>
    <w:p>
      <w:r>
        <w:rPr>
          <w:color w:val="777777"/>
          <w:sz w:val="16"/>
        </w:rPr>
        <w:t xml:space="preserve">p332 · att1 p.20  </w:t>
      </w:r>
      <w:r>
        <w:t>17. Closure Loop and Stress-Test Instructions — Step Instruction Required witness — Failure trace or justified upper bound.</w:t>
      </w:r>
    </w:p>
    <w:p>
      <w:r>
        <w:rPr>
          <w:color w:val="777777"/>
          <w:sz w:val="16"/>
        </w:rPr>
        <w:t xml:space="preserve">p333 · att1 p.20  </w:t>
      </w:r>
      <w:r>
        <w:t>1 - Realize/bound failure Use clinically credible, adversarial, long-context, subgroup, tool-chain, and distribution-shift scenarios.</w:t>
      </w:r>
    </w:p>
    <w:p>
      <w:r>
        <w:rPr>
          <w:color w:val="777777"/>
          <w:sz w:val="16"/>
        </w:rPr>
        <w:t xml:space="preserve">p334 · att1 p.21  </w:t>
      </w:r>
      <w:r>
        <w:t>Step Instruction Required witness — Boundary/coupling record.</w:t>
      </w:r>
    </w:p>
    <w:p>
      <w:r>
        <w:rPr>
          <w:color w:val="777777"/>
          <w:sz w:val="16"/>
        </w:rPr>
        <w:t xml:space="preserve">p335 · att1 p.21  </w:t>
      </w:r>
      <w:r>
        <w:t>2 - Identify driver Assign J_i and material J_iJ_j couplings; do not hide interaction inside aggregate score.</w:t>
      </w:r>
    </w:p>
    <w:p>
      <w:r>
        <w:rPr>
          <w:color w:val="777777"/>
          <w:sz w:val="16"/>
        </w:rPr>
        <w:t xml:space="preserve">p336 · att1 p.21  </w:t>
      </w:r>
      <w:r>
        <w:t>Configured control + provenance.</w:t>
      </w:r>
    </w:p>
    <w:p>
      <w:r>
        <w:rPr>
          <w:color w:val="777777"/>
          <w:sz w:val="16"/>
        </w:rPr>
        <w:t xml:space="preserve">p337 · att1 p.21  </w:t>
      </w:r>
      <w:r>
        <w:t>3 - Apply control Guardrail/refusal/escalation/human gate/permission/retrieval/version/sandbox control.</w:t>
      </w:r>
    </w:p>
    <w:p>
      <w:r>
        <w:rPr>
          <w:color w:val="777777"/>
          <w:sz w:val="16"/>
        </w:rPr>
        <w:t xml:space="preserve">p338 · att1 p.21  </w:t>
      </w:r>
      <w:r>
        <w:t>Post-control output/action log.</w:t>
      </w:r>
    </w:p>
    <w:p>
      <w:r>
        <w:rPr>
          <w:color w:val="777777"/>
          <w:sz w:val="16"/>
        </w:rPr>
        <w:t xml:space="preserve">p339 · att1 p.21  </w:t>
      </w:r>
      <w:r>
        <w:t>4 - Re-run same path Repeat identical and perturbed scenarios after control.</w:t>
      </w:r>
    </w:p>
    <w:p>
      <w:r>
        <w:rPr>
          <w:color w:val="777777"/>
          <w:sz w:val="16"/>
        </w:rPr>
        <w:t xml:space="preserve">p340 · att1 p.21  </w:t>
      </w:r>
      <w:r>
        <w:t>Residual + uncertainty + breakdown.</w:t>
      </w:r>
    </w:p>
    <w:p>
      <w:r>
        <w:rPr>
          <w:color w:val="777777"/>
          <w:sz w:val="16"/>
        </w:rPr>
        <w:t xml:space="preserve">p341 · att1 p.21  </w:t>
      </w:r>
      <w:r>
        <w:t>5 - Measure residual Compare expected vs observed and pre/post where valid; keep directions/subgroups separate.</w:t>
      </w:r>
    </w:p>
    <w:p>
      <w:r>
        <w:rPr>
          <w:color w:val="777777"/>
          <w:sz w:val="16"/>
        </w:rPr>
        <w:t xml:space="preserve">p342 · att1 p.21  </w:t>
      </w:r>
      <w:r>
        <w:t>Residual classification ledger.</w:t>
      </w:r>
    </w:p>
    <w:p>
      <w:r>
        <w:rPr>
          <w:color w:val="777777"/>
          <w:sz w:val="16"/>
        </w:rPr>
        <w:t xml:space="preserve">p343 · att1 p.21  </w:t>
      </w:r>
      <w:r>
        <w:t>6 - Drill residual Test masking, compression, saturation, coupling, visibility, hidden realization, missing variables.</w:t>
      </w:r>
    </w:p>
    <w:p>
      <w:r>
        <w:rPr>
          <w:color w:val="777777"/>
          <w:sz w:val="16"/>
        </w:rPr>
        <w:t xml:space="preserve">p344 · att1 p.21  </w:t>
      </w:r>
      <w:r>
        <w:t>Change-delta + requalification record.</w:t>
      </w:r>
    </w:p>
    <w:p>
      <w:r>
        <w:rPr>
          <w:color w:val="777777"/>
          <w:sz w:val="16"/>
        </w:rPr>
        <w:t xml:space="preserve">p345 · att1 p.21  </w:t>
      </w:r>
      <w:r>
        <w:t>7 - Re-open on change If model, tool, environment, intended use, permissions, or safety behavior changes, reopen affected branches.</w:t>
      </w:r>
    </w:p>
    <w:p>
      <w:r>
        <w:rPr>
          <w:color w:val="777777"/>
          <w:sz w:val="16"/>
        </w:rPr>
        <w:t xml:space="preserve">p346 · att1 p.21  </w:t>
      </w:r>
      <w:r>
        <w:t>PASS/CLOSED or constrained deployment.</w:t>
      </w:r>
    </w:p>
    <w:p>
      <w:r>
        <w:rPr>
          <w:color w:val="777777"/>
          <w:sz w:val="16"/>
        </w:rPr>
        <w:t xml:space="preserve">p347 · att1 p.21  </w:t>
      </w:r>
      <w:r>
        <w:t>8 - Close only with evidence Do not credit assigned controls until post-control evidence demonstrates closure.</w:t>
      </w:r>
    </w:p>
    <w:p>
      <w:r>
        <w:rPr>
          <w:color w:val="777777"/>
          <w:sz w:val="16"/>
        </w:rPr>
        <w:t xml:space="preserve">p348 · att1 p.21  </w:t>
      </w:r>
      <w:r>
        <w:t>18. What the Source Gets Right —  Correctly treats GenAI-enabled medical-device risk as different from fixed-output software because inputs, outputs, models, prompts, retrieval, guardrails, orchestration, and interfaces may vary or change.  Correctly recognizes that exhaustive input-output testing can be impractical and that new evaluation methodologies may be necessary.  Correctly focuses evaluation on the final user-facing device configuration rather than only the foundation model.  Correctly identifies action-directing, autonomous, patient-facing, multi-turn, and escalation behavior as risk-relevant.  Correctly identifies benchmark contamination, saturation, and real-world representativeness as threats to validity.  Correctly pairs non-clinical benchmarking with clinical confirmation and offers multiple evidence approaches.  Correctly recognizes subgroup performance, robustness/reproducibility, prompt injection, tool use, and agentic behavior as evaluation targets.  Correctly anticipates postmarket drift, rebenchmarking, third-party model changes, and change-control challenges.  Correctly preserves sponsor responsibility even when third-party models or ecosystem actors contribute.</w:t>
      </w:r>
    </w:p>
    <w:p>
      <w:r>
        <w:rPr>
          <w:color w:val="777777"/>
          <w:sz w:val="16"/>
        </w:rPr>
        <w:t xml:space="preserve">p349 · att1 p.21  </w:t>
      </w:r>
      <w:r>
        <w:t>19. What Remains Incomplete —  The two-axis risk picture is not sufficient as a complete regulatory closure function because the paper itself identifies multiple additional dimensions.  No systematic coupling rule is specified for autonomy x consequence, tools x permissions, user capability x directiveness, change x monitoring, and other material interactions.  Non-averagable hard-gate conditions are not yet defined.  Meaningful human oversight is not yet reduced to measurable visibility, authority, intervention time, override, and reversibility criteria.  Benchmark construct validity is recognized as a problem but a mandatory proof chain from benchmark -&gt; clinical confirmation -&gt; postmarket behavior is not closed.  Clinical confirmation selection remains open and lacks a deterministic escalation rule for unresolved residuals.  Synthetic/real evidence combination lacks a closed independence/transportability rule.  Third-party model identity/change detection and hold/rollback requirements are not yet mandatory.  PCCP concepts are not yet expressed as a measurable boundary-delta envelope.  Agentic evaluation needs explicit action-state, tool-permission, irreversible-node, and post-action verification requirements.  Postmarket monitoring needs residual owners, trigger thresholds, harm-time logic, and automatic re-open/requalification.  Device-specific quantitative thresholds, datasets, acceptance criteria, and outcome evidence are absent by design in the discussion paper; empirical numerical closure therefore remains NOT RAN.</w:t>
      </w:r>
    </w:p>
    <w:p>
      <w:r>
        <w:rPr>
          <w:color w:val="777777"/>
          <w:sz w:val="16"/>
        </w:rPr>
        <w:t xml:space="preserve">p350 · att1 p.21  </w:t>
      </w:r>
      <w:r>
        <w:t>20. Closure Criteria and Final BCR Ruling — Closure branch Pass criterion Status</w:t>
      </w:r>
    </w:p>
    <w:p>
      <w:r>
        <w:rPr>
          <w:color w:val="777777"/>
          <w:sz w:val="16"/>
        </w:rPr>
        <w:t xml:space="preserve">p351 · att1 p.21  </w:t>
      </w:r>
      <w:r>
        <w:t>OPEN — Identity closure Exact deployed configuration/dependencies are pinned and traceable.</w:t>
      </w:r>
    </w:p>
    <w:p>
      <w:r>
        <w:rPr>
          <w:color w:val="777777"/>
          <w:sz w:val="16"/>
        </w:rPr>
        <w:t xml:space="preserve">p352 · att1 p.21  </w:t>
      </w:r>
      <w:r>
        <w:t>OPEN — Boundary closure All material J_i and couplings are mapped; no essential variable orphaned.</w:t>
      </w:r>
    </w:p>
    <w:p>
      <w:r>
        <w:rPr>
          <w:color w:val="777777"/>
          <w:sz w:val="16"/>
        </w:rPr>
        <w:t xml:space="preserve">p353 · att1 p.22  </w:t>
      </w:r>
      <w:r>
        <w:t>Closure branch Pass criterion Status — OPEN — Hard-gate closure Non-averagable catastrophic/irreversible/unauthorized branches have explicit criteria and pass.</w:t>
      </w:r>
    </w:p>
    <w:p>
      <w:r>
        <w:rPr>
          <w:color w:val="777777"/>
          <w:sz w:val="16"/>
        </w:rPr>
        <w:t xml:space="preserve">p354 · att1 p.22  </w:t>
      </w:r>
      <w:r>
        <w:t>PARTIAL — Benchmark closure Construct validity, independence, contamination resistance, subgroup and trajectory coverage demonstrated.</w:t>
      </w:r>
    </w:p>
    <w:p>
      <w:r>
        <w:rPr>
          <w:color w:val="777777"/>
          <w:sz w:val="16"/>
        </w:rPr>
        <w:t xml:space="preserve">p355 · att1 p.22  </w:t>
      </w:r>
      <w:r>
        <w:t>PARTIAL — Clinical closure Risk-proportionate clinical confirmation closes intended-use residuals.</w:t>
      </w:r>
    </w:p>
    <w:p>
      <w:r>
        <w:rPr>
          <w:color w:val="777777"/>
          <w:sz w:val="16"/>
        </w:rPr>
        <w:t xml:space="preserve">p356 · att1 p.22  </w:t>
      </w:r>
      <w:r>
        <w:t>OPEN — Observer closure Human/user control is meaningful under real timing/information constraints.</w:t>
      </w:r>
    </w:p>
    <w:p>
      <w:r>
        <w:rPr>
          <w:color w:val="777777"/>
          <w:sz w:val="16"/>
        </w:rPr>
        <w:t xml:space="preserve">p357 · att1 p.22  </w:t>
      </w:r>
      <w:r>
        <w:t>OPEN — Agentic closure Tool/action sequences, permissions, irreversible nodes, rollback, post-action verification pass.</w:t>
      </w:r>
    </w:p>
    <w:p>
      <w:r>
        <w:rPr>
          <w:color w:val="777777"/>
          <w:sz w:val="16"/>
        </w:rPr>
        <w:t xml:space="preserve">p358 · att1 p.22  </w:t>
      </w:r>
      <w:r>
        <w:t>OPEN — Lineage/change closure Third-party and sponsor changes are detected, tested, held, rolled back as needed.</w:t>
      </w:r>
    </w:p>
    <w:p>
      <w:r>
        <w:rPr>
          <w:color w:val="777777"/>
          <w:sz w:val="16"/>
        </w:rPr>
        <w:t xml:space="preserve">p359 · att1 p.22  </w:t>
      </w:r>
      <w:r>
        <w:t>PARTIAL — Postmarket closure Residual monitoring has prespecified thresholds and automatic re-open logic.</w:t>
      </w:r>
    </w:p>
    <w:p>
      <w:r>
        <w:rPr>
          <w:color w:val="777777"/>
          <w:sz w:val="16"/>
        </w:rPr>
        <w:t xml:space="preserve">p360 · att1 p.22  </w:t>
      </w:r>
      <w:r>
        <w:t>PASS - document traceability only — End-to-end traceability All 26 FDA questions link to source type, BCR rule, finding, drivers, residual, solution, evidence, pass, re-open, status.</w:t>
      </w:r>
    </w:p>
    <w:p>
      <w:r>
        <w:rPr>
          <w:color w:val="777777"/>
          <w:sz w:val="16"/>
        </w:rPr>
        <w:t xml:space="preserve">p361 · att1 p.22  </w:t>
      </w:r>
      <w:r>
        <w:t>Final status: PARTIAL — What the source proves. FDA has identified a substantial portion of the correct GenAI medical-device problem space and proposed a coherent discussion architecture around risk, benchmarking, clinical confirmation, postmarket monitoring, change control, and agentic considerations. What BCR adds. A complete boundary inventory, coupling discipline, no-noise residual treatment, hard gates, meaningful observer criteria, lineage/change closure, sequence-level agentic controls, automatic re-open logic, and direct solution responses with end-toend traceability for all 26 questions. What remains incomplete. Empirical device-specific coefficients, thresholds, datasets, acceptance criteria, validation outcomes, and implementation evidence. These are explicitly NOT RAN NUMERICALLY rather than guessed. Residual classification. Compression, coupling, visibility, masking, saturation/false-lock, hidden-realization, missing-variable, boundary, and invalid-observable residuals remain open at the policy-design level. Required closure before full pass. Implement and validate S0-S13 with device-specific evidence; close hard gates; demonstrate benchmark-to-clinical transportability; validate observer and agentic control; verify change/postmarket re-open behavior. Final BCR conclusion. FDA's discussion paper is a strong starting point. BCR does not reject it; BCR converts the open questions into a traceable realization-and-closure architecture. The policy concept remains PARTIAL until the proposed controls are implemented and empirically demonstrated.</w:t>
      </w:r>
    </w:p>
    <w:p>
      <w:pPr>
        <w:pStyle w:val="Heading1"/>
        <w:pageBreakBefore/>
      </w:pPr>
      <w:r>
        <w:t>FDA-2026-N-7874-0006</w:t>
      </w:r>
    </w:p>
    <w:p>
      <w:r>
        <w:t>Comment from Richard Pescatore</w:t>
      </w:r>
    </w:p>
    <w:p>
      <w:r>
        <w:rPr>
          <w:color w:val="777777"/>
          <w:sz w:val="18"/>
        </w:rPr>
        <w:t>Health Professional - A0007 · received 2026-08-18 · attachments: attachment_1.pdf (4 pp)</w:t>
      </w:r>
    </w:p>
    <w:p>
      <w:r>
        <w:rPr>
          <w:color w:val="777777"/>
          <w:sz w:val="16"/>
        </w:rPr>
        <w:t xml:space="preserve">p001 · body  </w:t>
      </w:r>
      <w:r>
        <w:t>I am a board-certified emergency physician and founder/CEO of BellyMD, Inc., a Philadelphia digital health company building patient-facing software, including AI-supported symptom tracking and education, for disorders of gut-brain interaction (DGBI). I write as both a practicing clinician and a small manufacturer. My full comment is attached; a summary follows.</w:t>
      </w:r>
    </w:p>
    <w:p>
      <w:r>
        <w:rPr>
          <w:color w:val="777777"/>
          <w:sz w:val="16"/>
        </w:rPr>
        <w:t xml:space="preserve">p002 · body  </w:t>
      </w:r>
      <w:r>
        <w:t>The paper's direction is sound: the two-axis framework is workable, and the competency-based model maps naturally onto how medicine already evaluates human judgment. Key points from the attached letter:</w:t>
      </w:r>
    </w:p>
    <w:p>
      <w:r>
        <w:rPr>
          <w:color w:val="777777"/>
          <w:sz w:val="16"/>
        </w:rPr>
        <w:t xml:space="preserve">p003 · body  </w:t>
      </w:r>
      <w:r>
        <w:t>Q1: Risk assessment should represent (a) the counterfactual care environment (the consequence of an incorrect output is measured against what would have happened without the device, which in underserved conditions like DGBI is often no professional input at all) and (b) duration of reliance (longitudinal companion tools compound error into belief; exposure time should modify risk the way dose modifies toxicity).</w:t>
      </w:r>
    </w:p>
    <w:p>
      <w:r>
        <w:rPr>
          <w:color w:val="777777"/>
          <w:sz w:val="16"/>
        </w:rPr>
        <w:t xml:space="preserve">p004 · body  </w:t>
      </w:r>
      <w:r>
        <w:t>Q2: Judge directiveness by substance, not wording; discount boilerplate disclaimers. Auditable modifiers: specificity, personalization, imperative framing, and traceability to validated instruments and guidelines (e.g., Rome criteria, PROMIS), which should be credited as risk-reducing. Publish worked examples along the four-step gradient so small sponsors can classify functions before building.</w:t>
      </w:r>
    </w:p>
    <w:p>
      <w:r>
        <w:rPr>
          <w:color w:val="777777"/>
          <w:sz w:val="16"/>
        </w:rPr>
        <w:t xml:space="preserve">p005 · body  </w:t>
      </w:r>
      <w:r>
        <w:t>Q3: Do not make "patient-facing" a per se risk elevation. In DGBI, the realistic alternative to a well-designed informational tool is unvetted internet content, not a clinician conversation. Credit verifiable behaviors: structurally non-directive output frames, forced deferral on treatment-change requests, escalation scaffolding tested in both directions (S.1), and health-literacy communication testing (E.4).</w:t>
      </w:r>
    </w:p>
    <w:p>
      <w:r>
        <w:rPr>
          <w:color w:val="777777"/>
          <w:sz w:val="16"/>
        </w:rPr>
        <w:t xml:space="preserve">p006 · body  </w:t>
      </w:r>
      <w:r>
        <w:t>Q5: Assess conversational devices at the trajectory level via adversarial longitudinal simulation with standardized personas (symptom minimizers, escalation resisters). Formalize a "conversational envelope": behaviors the device must never exhibit in any trajectory, enforced and reported as violation rates. Characterize intended use by the envelope, which is testable.</w:t>
      </w:r>
    </w:p>
    <w:p>
      <w:r>
        <w:rPr>
          <w:color w:val="777777"/>
          <w:sz w:val="16"/>
        </w:rPr>
        <w:t xml:space="preserve">p007 · body  </w:t>
      </w:r>
      <w:r>
        <w:t>Q6: As an emergency physician I see both escalation failures weekly. They are asymmetric and not commensurable; do not collapse them into one score. Sponsors should prespecify asymmetric error tolerances by clinical context and report both rates against clinician performance on the same scenarios. DGBI alarm features warrant near-zero under-escalation tolerance; bounded over-referral tolerance is acceptable and honest.</w:t>
      </w:r>
    </w:p>
    <w:p>
      <w:r>
        <w:rPr>
          <w:color w:val="777777"/>
          <w:sz w:val="16"/>
        </w:rPr>
        <w:t xml:space="preserve">p008 · body  </w:t>
      </w:r>
      <w:r>
        <w:t>Q11: Support the confirmation ladder. For non-directive, low-consequence informational functions, retrospective evaluation plus standardized patient interactions should ordinarily suffice. Publish presumptive confirmation tiers keyed to the two-axis framework. If every conversational function requires a prospective trial, the field consolidates to incumbents and low-risk tools for unserved patients are never built.</w:t>
      </w:r>
    </w:p>
    <w:p>
      <w:r>
        <w:rPr>
          <w:color w:val="777777"/>
          <w:sz w:val="16"/>
        </w:rPr>
        <w:t xml:space="preserve">p009 · body  </w:t>
      </w:r>
      <w:r>
        <w:t>Q14/Q15: The most consequential question in the paper. For patient-facing informational functions, a specialist panel is often the wrong comparator because it does not describe what the device displaces; in much of DGBI care, the device replaces nothing or replaces uncurated internet content. Anchor comparator selection to the realistic deployment context; recognize a "usual information environment" comparator, validated by sampling what patients encounter when they search their symptoms; reserve clinician-panel parity for functions that displace clinician judgment; where clinician comparison applies in generalist contexts, use the median generalist.</w:t>
      </w:r>
    </w:p>
    <w:p>
      <w:r>
        <w:rPr>
          <w:color w:val="777777"/>
          <w:sz w:val="16"/>
        </w:rPr>
        <w:t xml:space="preserve">p010 · body  </w:t>
      </w:r>
      <w:r>
        <w:t>Q18: Support postmarket-weighted evidence with conditions: prespecified monitoring plans with quantitative thresholds, automated drift surveillance with sampled independent clinician adjudication, transparent reporting cadence, and demonstrated rollback capability.</w:t>
      </w:r>
    </w:p>
    <w:p>
      <w:r>
        <w:rPr>
          <w:color w:val="777777"/>
          <w:sz w:val="16"/>
        </w:rPr>
        <w:t xml:space="preserve">p011 · body  </w:t>
      </w:r>
      <w:r>
        <w:t>Q24/Q25: Small manufacturers cannot compel foundation model developers to disclose changes. Treat version pinning as a baseline design expectation; advance Foundation Model MAFs with update-notification commitments, signaling more predictable review for devices built on MAF-holding models; endorse sponsor-side re-benchmarking gates before any model change enters production; define a PCCP category for like-for-like model version upgrades validated through prespecified re-benchmarking.</w:t>
      </w:r>
    </w:p>
    <w:p>
      <w:r>
        <w:rPr>
          <w:color w:val="777777"/>
          <w:sz w:val="16"/>
        </w:rPr>
        <w:t xml:space="preserve">p012 · body  </w:t>
      </w:r>
      <w:r>
        <w:t>Q16: Third-party benchmarks and adjudication are appropriate, but fee structures must scale with sponsor size or certification becomes a toll gate only incumbents can pay.</w:t>
      </w:r>
    </w:p>
    <w:p>
      <w:r>
        <w:rPr>
          <w:color w:val="777777"/>
          <w:sz w:val="16"/>
        </w:rPr>
        <w:t xml:space="preserve">p013 · body  </w:t>
      </w:r>
      <w:r>
        <w:t>Full responses with supporting reasoning are in the attached letter.</w:t>
      </w:r>
    </w:p>
    <w:p>
      <w:r>
        <w:rPr>
          <w:color w:val="777777"/>
          <w:sz w:val="16"/>
        </w:rPr>
        <w:t xml:space="preserve">p014 · body  </w:t>
      </w:r>
      <w:r>
        <w:t>Richard Pescatore, D.O.</w:t>
      </w:r>
    </w:p>
    <w:p>
      <w:r>
        <w:rPr>
          <w:color w:val="777777"/>
          <w:sz w:val="16"/>
        </w:rPr>
        <w:t xml:space="preserve">p015 · body  </w:t>
      </w:r>
      <w:r>
        <w:t>Founder and CEO, BellyMD, Inc.</w:t>
      </w:r>
    </w:p>
    <w:p>
      <w:r>
        <w:rPr>
          <w:color w:val="777777"/>
          <w:sz w:val="16"/>
        </w:rPr>
        <w:t xml:space="preserve">p016 · att1 p.1  </w:t>
      </w:r>
      <w:r>
        <w:t>August 18, 2026 — Submitted electronically via Regulations.gov — Re: Docket No. FDA-2026-N-7874; Considerations for the Regulation of Generative AI-Enabled Medical Devices: Discussion Paper and Request for Feedback</w:t>
      </w:r>
    </w:p>
    <w:p>
      <w:r>
        <w:rPr>
          <w:color w:val="777777"/>
          <w:sz w:val="16"/>
        </w:rPr>
        <w:t xml:space="preserve">p017 · att1 p.1  </w:t>
      </w:r>
      <w:r>
        <w:t>To the Center for Devices and Radiological Health: I am a board-certified emergency physician and the founder and chief executive officer of BellyMD, Inc., a Philadelphia-based digital health company building patient-facing software, including AI-supported symptom tracking and education, for people with disorders of gut-brain interaction (DGBI) such as irritable bowel syndrome and functional dyspepsia. I continue to practice emergency medicine. I write from both chairs: as a clinician who manages the downstream consequences when patients act on bad information, and as a small manufacturer that expects to meet the standards this paper contemplates.</w:t>
      </w:r>
    </w:p>
    <w:p>
      <w:r>
        <w:rPr>
          <w:color w:val="777777"/>
          <w:sz w:val="16"/>
        </w:rPr>
        <w:t xml:space="preserve">p018 · att1 p.1  </w:t>
      </w:r>
      <w:r>
        <w:t>The direction of the paper is sound. The two-axis framework is a workable heuristic, the competency-based model maps naturally onto how medicine already evaluates human judgment, and the recognition that clinical confirmation need not mean a prospective trial in every case reflects real least-burdensome thinking. I offer responses to the discussion questions where my clinical practice and my company's work give me direct knowledge.</w:t>
      </w:r>
    </w:p>
    <w:p>
      <w:r>
        <w:rPr>
          <w:color w:val="777777"/>
          <w:sz w:val="16"/>
        </w:rPr>
        <w:t xml:space="preserve">p019 · att1 p.1  </w:t>
      </w:r>
      <w:r>
        <w:t>Question 1: additional risk dimensions. Two dimensions deserve explicit representation. First, the counterfactual care environment. The consequence of relying on an incorrect output is properly measured against what would have happened without the device, and that baseline varies widely across deployment contexts. A function deployed to a population with ready access to specialty care presents a different risk calculus than the same function deployed to a population whose realistic alternative is no professional input at all. Section V.D.1 and Question 15 touch this in the comparator discussion; it belongs in the risk assessment itself. Second, duration and accumulation of reliance. A longitudinal companion that shapes a patient's understanding of their condition over months is different from a single-encounter tool, because error in the former compounds and becomes belief. Exposure time should modify risk the way dose modifies toxicity.</w:t>
      </w:r>
    </w:p>
    <w:p>
      <w:r>
        <w:rPr>
          <w:color w:val="777777"/>
          <w:sz w:val="16"/>
        </w:rPr>
        <w:t xml:space="preserve">p020 · att1 p.1  </w:t>
      </w:r>
      <w:r>
        <w:t>Question 2: modifiers of directiveness. I support judging directiveness by substance and context rather than wording, and I support discounting boilerplate disclaimers. The modifiers that can be specified and audited are: specificity (a named drug and dose versus class-level education); personalization (general statements versus statements tied to the user's own data); imperative framing; and traceability, meaning whether the output is grounded in and cites validated instruments and published guidelines. Outputs constructed from validated frameworks (in my field, the Rome diagnostic criteria and PROMIS measures) are easier for users, sponsors, and reviewers to evaluate than free generation, and that grounding should be credited as risk-reducing. On predictability: publish worked examples along the four-step gradient the paper describes (general information, contextualization, endorsement, instruction) for a handful of clinical domains. Small sponsors need to be able to classify their own functions before they build, not after a deficiency letter.</w:t>
      </w:r>
    </w:p>
    <w:p>
      <w:r>
        <w:rPr>
          <w:color w:val="777777"/>
          <w:sz w:val="16"/>
        </w:rPr>
        <w:t xml:space="preserve">p021 · att1 p.2  </w:t>
      </w:r>
      <w:r>
        <w:t>Question 3: patient-facing functions. The paper is right that a "talk to your doctor" line does not make an output less directive, and boilerplate should not be accepted as mitigation. But I urge CDRH not to convert "patient-facing" into a per se elevation on the consequences axis. In DGBI, diagnostic delay is commonly measured in years, most patients are managed without subspecialty input, and many are managed with no professional input at all. The practical alternative to a well-designed informational tool is not a clinician conversation; it is whatever search results and social content the patient finds alone. The mitigations that should count are verifiable behaviors: output frames that are structurally non-directive, teaching mechanisms and describing guideline-concordant options without endorsing one; forced deferral whenever a user requests a treatment change; escalation scaffolding tested in both directions (element S.1); and communication testing across health-literacy levels (element E.4). A device that demonstrates these behaviors under adversarial testing has done something a disclaimer never did.</w:t>
      </w:r>
    </w:p>
    <w:p>
      <w:r>
        <w:rPr>
          <w:color w:val="777777"/>
          <w:sz w:val="16"/>
        </w:rPr>
        <w:t xml:space="preserve">p022 · att1 p.2  </w:t>
      </w:r>
      <w:r>
        <w:t>Question 5: multi-turn trajectories. Trajectory-level assessment is the correct unit of analysis. A practical method: adversarial longitudinal simulation using standardized personas, including symptom minimizers, escalation resisters, and users who persistently solicit directive advice, scored for drift along the directiveness continuum and for time-to-escalation across the full exchange. I suggest formalizing a "conversational envelope": the sponsor declares the behaviors the device must never exhibit at any point in any trajectory (for example, never proposing a medication dose change), demonstrates enforcement under adversarial testing, and reports envelope violation rates. Intended use for a conversational device is then characterized by its envelope, which is testable, rather than by per-turn labels, which are not.</w:t>
      </w:r>
    </w:p>
    <w:p>
      <w:r>
        <w:rPr>
          <w:color w:val="777777"/>
          <w:sz w:val="16"/>
        </w:rPr>
        <w:t xml:space="preserve">p023 · att1 p.2  </w:t>
      </w:r>
      <w:r>
        <w:t>Question 6: escalation error in both directions. I see both failure modes in the emergency department every week. Under-escalation injures the patient in front of the device. Over-escalation injures the same patient through cascade testing, cost, and anxiety, and injures everyone else through crowding and triage dilution; over time it erodes the trust that appropriate care-seeking depends on. The two directions are real, asymmetric, and not commensurable, and they should not be collapsed into a single utility score. Sponsors should prespecify asymmetric error tolerances justified by clinical context and report both rates against clinician performance on the same scenario set. For DGBI functions, alarm features (gastrointestinal bleeding, unintended weight loss, progressive dysphagia, nocturnal symptoms) warrant near-zero tolerance for under-escalation, while a bounded, disclosed tolerance for conservative over-referral is acceptable and honest.</w:t>
      </w:r>
    </w:p>
    <w:p>
      <w:r>
        <w:rPr>
          <w:color w:val="777777"/>
          <w:sz w:val="16"/>
        </w:rPr>
        <w:t xml:space="preserve">p024 · att1 p.2  </w:t>
      </w:r>
      <w:r>
        <w:t>Question 11: proportionate clinical confirmation. I support the confirmation ladder and the recognition that a prospective study is not always necessary. For non-directive informational functions in the low-consequence region of the framework, retrospective evaluation on real-world inputs plus standardized patient interactions should ordinarily suffice, with prospective study reserved for action-directing and action-taking functions and high-consequence domains. I ask CDRH to publish presumptive confirmation tiers keyed to position on the two-axis framework, so a sponsor can locate its device and know the default evidence expectation before designing a program. The economics deserve plain statement: if every conversational function requires a prospective trial, the field consolidates to the largest incumbents, and the low-risk informational functions that would have reached unserved patients are never built. That outcome has a public-health cost too, and it is paid by patients who currently receive nothing.</w:t>
      </w:r>
    </w:p>
    <w:p>
      <w:r>
        <w:rPr>
          <w:color w:val="777777"/>
          <w:sz w:val="16"/>
        </w:rPr>
        <w:t xml:space="preserve">p025 · att1 p.3  </w:t>
      </w:r>
      <w:r>
        <w:t>Questions 14 and 15: comparators. This is the most consequential question in the paper. For informational functions deployed directly to patients, a specialist panel is often the wrong comparator because it does not describe what the device displaces. In much of DGBI care, the device does not replace a specialist; it replaces nothing, or it replaces uncurated internet content. I recommend: first, comparator selection anchored to the realistic deployment context, supported by care-access data for the intended population; second, recognition of a "usual information environment" comparator, validated by sampling what patients in the intended population encounter when they search their symptoms; third, reservation of clinician-panel parity for functions that displace clinician judgment, meaning action-directing and action-taking functions or deployment inside clinical workflows; and fourth, where clinician comparison is appropriate for generalist-shaped contexts, the median generalist rather than a specialist panel. Holding low-risk educational software to a standard the delivery system itself does not meet protects no one. It preserves the status quo for patients whose status quo is nothing.</w:t>
      </w:r>
    </w:p>
    <w:p>
      <w:r>
        <w:rPr>
          <w:color w:val="777777"/>
          <w:sz w:val="16"/>
        </w:rPr>
        <w:t xml:space="preserve">p026 · att1 p.3  </w:t>
      </w:r>
      <w:r>
        <w:t>Question 18: postmarket-weighted evidence. I support accepting greater premarket uncertainty in exchange for postmarket monitoring, under conditions: a prespecified monitoring plan with quantitative thresholds and defined triggers; automated performance and drift surveillance with sampled adjudication by independent clinicians; a transparent reporting cadence; and demonstrated rollback capability. A deployed conversational device generates more decision-relevant performance evidence in a month of instrumented use than any premarket sample can contain. A regulatory posture that credits well-built monitoring will also push manufacturers to build the instrumentation, which improves safety independent of any submission.</w:t>
      </w:r>
    </w:p>
    <w:p>
      <w:r>
        <w:rPr>
          <w:color w:val="777777"/>
          <w:sz w:val="16"/>
        </w:rPr>
        <w:t xml:space="preserve">p027 · att1 p.3  </w:t>
      </w:r>
      <w:r>
        <w:t>Questions 24 and 25: third-party foundation models. A small manufacturer cannot compel a foundation model developer to disclose changes or give advance notice, and contractual leverage is concentrated in the largest sponsors. Four mechanisms would help. Treat model version pinning as a baseline design expectation, with developers disclosing deprecation timelines. Advance the voluntary Foundation Model MAF program with update notification commitments and healthcare-relevant evaluation summaries as core content, and signal that devices built on MAF-holding models will see more predictable review; that signal creates the developer's incentive to participate. Endorse sponsor-side re-benchmarking gates, under which no underlying model change enters production until the premarket benchmark battery has been re-run and passed, consistent with Section VI.C. And define a PCCP category for like-for-like model version upgrades validated through that prespecified re-benchmarking. Together these convert an uncontrollable third-party dependency into a controlled, auditable change process inside the sponsor's quality system.</w:t>
      </w:r>
    </w:p>
    <w:p>
      <w:r>
        <w:rPr>
          <w:color w:val="777777"/>
          <w:sz w:val="16"/>
        </w:rPr>
        <w:t xml:space="preserve">p028 · att1 p.4  </w:t>
      </w:r>
      <w:r>
        <w:t>Question 16: independent third parties. Sequestered benchmark datasets and independent adjudication panels are the right roles for qualified third parties, and ASCA and MDDT are reasonable scaffolds. One caution: fee structures and access terms must scale with sponsor size, or third-party certification becomes a toll gate that only incumbents can pay, with the competitive consequences the paper itself warns against.</w:t>
      </w:r>
    </w:p>
    <w:p>
      <w:r>
        <w:rPr>
          <w:color w:val="777777"/>
          <w:sz w:val="16"/>
        </w:rPr>
        <w:t xml:space="preserve">p029 · att1 p.4  </w:t>
      </w:r>
      <w:r>
        <w:t>CDRH's instinct to evaluate these systems the way medicine evaluates clinicians, through demonstrated competency, enforced boundaries, and supervised confirmation rather than exhaustive enumeration of inputs, is the right one. I appreciate the agency's early engagement on this topic and would welcome the opportunity to contribute further, including on evaluation scenarios specific to disorders of gut-brain interaction.</w:t>
      </w:r>
    </w:p>
    <w:p>
      <w:r>
        <w:rPr>
          <w:color w:val="777777"/>
          <w:sz w:val="16"/>
        </w:rPr>
        <w:t xml:space="preserve">p030 · att1 p.4  </w:t>
      </w:r>
      <w:r>
        <w:t>Respectfully submitted,</w:t>
      </w:r>
    </w:p>
    <w:p>
      <w:r>
        <w:rPr>
          <w:color w:val="777777"/>
          <w:sz w:val="16"/>
        </w:rPr>
        <w:t xml:space="preserve">p031 · att1 p.4  </w:t>
      </w:r>
      <w:r>
        <w:t>Richard Pescatore, D.O. Founder and Chief Executive Officer, BellyMD, Inc. Board-Certified Emergency Physician Philadelphia, Pennsylvania</w:t>
      </w:r>
    </w:p>
    <w:p>
      <w:pPr>
        <w:pStyle w:val="Heading1"/>
        <w:pageBreakBefore/>
      </w:pPr>
      <w:r>
        <w:t>FDA-2026-N-7874-0007</w:t>
      </w:r>
    </w:p>
    <w:p>
      <w:r>
        <w:t>Comment from Abby Brody</w:t>
      </w:r>
    </w:p>
    <w:p>
      <w:r>
        <w:rPr>
          <w:color w:val="777777"/>
          <w:sz w:val="18"/>
        </w:rPr>
        <w:t>Individual Consumer · received 2026-08-18</w:t>
      </w:r>
    </w:p>
    <w:p>
      <w:r>
        <w:rPr>
          <w:color w:val="777777"/>
          <w:sz w:val="16"/>
        </w:rPr>
        <w:t xml:space="preserve">p001 · body  </w:t>
      </w:r>
      <w:r>
        <w:t>As a cancer patient who sees multiple physicians, I would rather have my doctors communicate with each other directly about my test results and conditions. Using generative AI for any healthcare usage at the moment is too risky, both in terms of accuracy (so much hallucinating going on), and in terms of protecting my privacy. I want trained human minds caring for me and monitoring my health, not some flaws hallucinating AI device.</w:t>
      </w:r>
    </w:p>
    <w:p>
      <w:pPr>
        <w:pStyle w:val="Heading1"/>
        <w:pageBreakBefore/>
      </w:pPr>
      <w:r>
        <w:t>FDA-2026-N-7874-0008</w:t>
      </w:r>
    </w:p>
    <w:p>
      <w:r>
        <w:t>Comment from Supernova Technologies</w:t>
      </w:r>
    </w:p>
    <w:p>
      <w:r>
        <w:rPr>
          <w:color w:val="777777"/>
          <w:sz w:val="18"/>
        </w:rPr>
        <w:t>Private Industry - C0003 · received 2026-08-18 · attachments: attachment_1.pdf (2 pp)</w:t>
      </w:r>
    </w:p>
    <w:p>
      <w:r>
        <w:rPr>
          <w:color w:val="777777"/>
          <w:sz w:val="16"/>
        </w:rPr>
        <w:t xml:space="preserve">p001 · body  </w:t>
      </w:r>
      <w:r>
        <w:t>I appreciate the opportunity to comment on this discussion paper. My comments address Questions 18, 19, 20, 24, and 25.</w:t>
      </w:r>
    </w:p>
    <w:p>
      <w:r>
        <w:rPr>
          <w:color w:val="777777"/>
          <w:sz w:val="16"/>
        </w:rPr>
        <w:t xml:space="preserve">p002 · body  </w:t>
      </w:r>
      <w:r>
        <w:t>The paper's proposed reliance on postmarket monitoring, and its proposed reliance on voluntary self reported information from foundation model developers, both depend on an assumption that has not been established: that the parties being monitored can reliably detect and report their own systems' failures. This year's pattern of AI safety incidents across multiple major AI developers, in which anomalous model behavior went undetected for weeks or months and was discovered by accident rather than through the developers' own monitoring, suggests this assumption deserves scrutiny before it becomes load bearing for a regulatory framework.</w:t>
      </w:r>
    </w:p>
    <w:p>
      <w:r>
        <w:rPr>
          <w:color w:val="777777"/>
          <w:sz w:val="16"/>
        </w:rPr>
        <w:t xml:space="preserve">p003 · body  </w:t>
      </w:r>
      <w:r>
        <w:t>On Foundation Model MAFs (Question 25): if developers with the strongest possible incentive to know their own models' behavior have repeatedly failed to detect meaningful deviations, a voluntary model card filed by that same party carries the same structural limitation. I recommend CDRH require MAF filers to disclose their own internal detection methodology, not just claimed model behavior, so reviewers can assess the reliability of the process behind the claim.</w:t>
      </w:r>
    </w:p>
    <w:p>
      <w:r>
        <w:rPr>
          <w:color w:val="777777"/>
          <w:sz w:val="16"/>
        </w:rPr>
        <w:t xml:space="preserve">p004 · body  </w:t>
      </w:r>
      <w:r>
        <w:t>On postmarket monitoring (Questions 18 and 19): a report of zero adverse events could mean the device performed safely, or that monitoring failed to observe the relevant behavior. These are not distinguishable from an absence of reports alone. I recommend sponsors be required to provide affirmative evidence of monitoring coverage, not just adverse event counts.</w:t>
      </w:r>
    </w:p>
    <w:p>
      <w:r>
        <w:rPr>
          <w:color w:val="777777"/>
          <w:sz w:val="16"/>
        </w:rPr>
        <w:t xml:space="preserve">p005 · body  </w:t>
      </w:r>
      <w:r>
        <w:t>On degradation monitoring (Questions 19 and 24): a degrading device may not reliably signal its own decline through the same channel used to generate its outputs. I recommend degradation monitoring require at least one detection mechanism independent of the device's own reporting pathway, such as periodic re benchmarking or sampled clinician review.</w:t>
      </w:r>
    </w:p>
    <w:p>
      <w:r>
        <w:rPr>
          <w:color w:val="777777"/>
          <w:sz w:val="16"/>
        </w:rPr>
        <w:t xml:space="preserve">p006 · body  </w:t>
      </w:r>
      <w:r>
        <w:t>These recommendations support, rather than oppose, the competency based framework and reliance on postmarket monitoring. The goal is ensuring monitoring and disclosure mechanisms demonstrate their own reliability before being credited toward reduced premarket evidence.</w:t>
      </w:r>
    </w:p>
    <w:p>
      <w:r>
        <w:rPr>
          <w:color w:val="777777"/>
          <w:sz w:val="16"/>
        </w:rPr>
        <w:t xml:space="preserve">p007 · att1 p.1  </w:t>
      </w:r>
      <w:r>
        <w:t>Comment on Docket FDA-2026-N-7874 — Considerations for the Regulation of Generative AI Enabled Medical Devices: Discussion Paper and Request for Feedback</w:t>
      </w:r>
    </w:p>
    <w:p>
      <w:r>
        <w:rPr>
          <w:color w:val="777777"/>
          <w:sz w:val="16"/>
        </w:rPr>
        <w:t xml:space="preserve">p008 · att1 p.1  </w:t>
      </w:r>
      <w:r>
        <w:t>Submitted in response to Discussion Questions 18, 19, 20, 24, and 25 — Introduction I appreciate the opportunity to comment on this discussion paper. My comments focus on a single connected concern that runs through Sections VI and VII: the paper's proposed reliance on postmarket monitoring, and its proposed reliance on voluntary self reported information from foundation model developers, both depend on an assumption that has not been established, namely that the parties being monitored can reliably detect and report their own systems' failures. Evidence from this year's pattern of AI safety incidents across multiple major AI developers suggests this assumption deserves close scrutiny before it becomes load bearing for a regulatory framework.</w:t>
      </w:r>
    </w:p>
    <w:p>
      <w:r>
        <w:rPr>
          <w:color w:val="777777"/>
          <w:sz w:val="16"/>
        </w:rPr>
        <w:t xml:space="preserve">p009 · att1 p.1  </w:t>
      </w:r>
      <w:r>
        <w:t>Point One: Voluntary Foundation Model Master Files (Question 25) The paper directly asks what would make a voluntary Foundation Model MAF program sufficiently useful given that model developers may have limited incentive to disclose safety relevant information. This is the right question to ask, and the paper's own framing already identifies the core weakness.</w:t>
      </w:r>
    </w:p>
    <w:p>
      <w:r>
        <w:rPr>
          <w:color w:val="777777"/>
          <w:sz w:val="16"/>
        </w:rPr>
        <w:t xml:space="preserve">p010 · att1 p.1  </w:t>
      </w:r>
      <w:r>
        <w:t>Organizations with strong internal incentives to understand their own systems' behavior, including several leading AI developers, have this year experienced real world incidents in which anomalous or unsafe model behavior went undetected for extended periods, in some cases weeks or months, and was ultimately discovered through external review or by accident rather than through the organizations' own monitoring processes. These were not organizations lacking sophistication or motivation to monitor their systems. If developers with the strongest possible incentive to know what their own models are doing have repeatedly failed to detect meaningful deviations in their own systems, a voluntary model card or system card filed by that same party carries the same structural limitation: it can only disclose what the filer already knows, and this year's pattern indicates that what a developer believes it knows about its own system's behavior is not reliable.</w:t>
      </w:r>
    </w:p>
    <w:p>
      <w:r>
        <w:rPr>
          <w:color w:val="777777"/>
          <w:sz w:val="16"/>
        </w:rPr>
        <w:t xml:space="preserve">p011 · att1 p.1  </w:t>
      </w:r>
      <w:r>
        <w:t>I recommend CDRH consider requiring, as a condition of a Foundation Model MAF being referenced in a premarket submission, that the filer disclose its own internal detection and monitoring methodology for the behaviors and failure modes described in the card, so that reviewers can evaluate not just the claimed behavior of the model but the reliability of the process that produced the claim.</w:t>
      </w:r>
    </w:p>
    <w:p>
      <w:r>
        <w:rPr>
          <w:color w:val="777777"/>
          <w:sz w:val="16"/>
        </w:rPr>
        <w:t xml:space="preserve">p012 · att1 p.1  </w:t>
      </w:r>
      <w:r>
        <w:t>Point Two: Postmarket Monitoring Completeness (Questions 18 and 19) Question 18 asks what characteristics of a monitoring program would need to be in place to justify reduced premarket evidence. I recommend that any postmarket monitoring program accepted as a basis for reduced premarket evidence be required to demonstrate the completeness of its own coverage, not merely the presence of a monitoring process.</w:t>
      </w:r>
    </w:p>
    <w:p>
      <w:r>
        <w:rPr>
          <w:color w:val="777777"/>
          <w:sz w:val="16"/>
        </w:rPr>
        <w:t xml:space="preserve">p013 · att1 p.1  </w:t>
      </w:r>
      <w:r>
        <w:t>A monitoring program that reports zero adverse events could mean the device performed safely, or it could mean the monitoring failed to observe the relevant behavior. These two states are not distinguishable from the absence of a report alone, yet a regulatory framework built around greater reliance on postmarket monitoring needs to distinguish between them. I recommend that sponsors be required to provide affirmative evidence of monitoring coverage, for example documentation of what proportion of real world interactions were captured by the monitoring system and what categories of device behavior fall outside its observable scope, alongside any adverse event reporting.</w:t>
      </w:r>
    </w:p>
    <w:p>
      <w:r>
        <w:rPr>
          <w:color w:val="777777"/>
          <w:sz w:val="16"/>
        </w:rPr>
        <w:t xml:space="preserve">p014 · att1 p.1  </w:t>
      </w:r>
      <w:r>
        <w:t>Point Three: Independent Detection of Performance Degradation (Questions 19 and 24) The paper names performance degradation over time as one of the core risks of GenAI enabled devices, and proposes performance degradation monitoring as a postmarket approach. I recommend that CDRH require degradation detection mechanisms to operate independently of the deployed device's own output or reporting pathway.</w:t>
      </w:r>
    </w:p>
    <w:p>
      <w:r>
        <w:rPr>
          <w:color w:val="777777"/>
          <w:sz w:val="16"/>
        </w:rPr>
        <w:t xml:space="preserve">p015 · att1 p.2  </w:t>
      </w:r>
      <w:r>
        <w:t>A device that is degrading, whether due to a change in the underlying foundation model, drift in the input population, or another cause, may not reliably signal its own decline through the same channel used to generate its outputs, particularly for GenAI enabled devices where a single failure mode can affect both the device's clinical output and its own self assessment of that output. This concern is closely related to Question 24, regarding changes initiated by a third party foundation model developer rather than the device manufacturer. In both cases, the manufacturer's ability to detect a problem depends on a signal that is generated or mediated by the same system that may be experiencing the problem. I recommend that degradation monitoring specifications require at least one detection mechanism, such as periodic re benchmarking against an independent reference set or sampled clinician review as described in Section VI.A, that does not depend on the device's own reporting of its performance.</w:t>
      </w:r>
    </w:p>
    <w:p>
      <w:r>
        <w:rPr>
          <w:color w:val="777777"/>
          <w:sz w:val="16"/>
        </w:rPr>
        <w:t xml:space="preserve">p016 · att1 p.2  </w:t>
      </w:r>
      <w:r>
        <w:t>Conclusion The concerns raised above are not arguments against the competency based framework or against reliance on postmarket monitoring generally. Postmarket monitoring, done well, is likely necessary given the practical limits of premarket testing for open ended systems described elsewhere in this paper. My recommendation is narrower: that CDRH require monitoring and disclosure mechanisms to demonstrate their own reliability and completeness as a condition of being credited toward reduced premarket evidence, rather than treating the existence of a monitoring program or a voluntary disclosure mechanism as sufficient on its own. Given this year's demonstrated pattern of AI developers failing to detect problems in their own systems despite strong incentives to do so, this distinction is likely to matter in practice.</w:t>
      </w:r>
    </w:p>
    <w:p>
      <w:r>
        <w:rPr>
          <w:color w:val="777777"/>
          <w:sz w:val="16"/>
        </w:rPr>
        <w:t xml:space="preserve">p017 · att1 p.2  </w:t>
      </w:r>
      <w:r>
        <w:t>Thank you for the opportunity to comment.</w:t>
      </w:r>
    </w:p>
    <w:p>
      <w:pPr>
        <w:pStyle w:val="Heading1"/>
        <w:pageBreakBefore/>
      </w:pPr>
      <w:r>
        <w:t>FDA-2026-N-7874-0009</w:t>
      </w:r>
    </w:p>
    <w:p>
      <w:r>
        <w:t>Comment from Renee Dua</w:t>
      </w:r>
    </w:p>
    <w:p>
      <w:r>
        <w:rPr>
          <w:color w:val="777777"/>
          <w:sz w:val="18"/>
        </w:rPr>
        <w:t>received 2026-08-18 · attachments: attachment_1.pdf (6 pp)</w:t>
      </w:r>
    </w:p>
    <w:p>
      <w:r>
        <w:rPr>
          <w:color w:val="777777"/>
          <w:sz w:val="16"/>
        </w:rPr>
        <w:t xml:space="preserve">p001 · body  </w:t>
      </w:r>
      <w:r>
        <w:t>See attached file(s)</w:t>
      </w:r>
    </w:p>
    <w:p>
      <w:r>
        <w:rPr>
          <w:color w:val="777777"/>
          <w:sz w:val="16"/>
        </w:rPr>
        <w:t xml:space="preserve">p002 · att1 p.1  </w:t>
      </w:r>
      <w:r>
        <w:t>Comment of Cara AI, Inc.</w:t>
      </w:r>
    </w:p>
    <w:p>
      <w:r>
        <w:rPr>
          <w:color w:val="777777"/>
          <w:sz w:val="16"/>
        </w:rPr>
        <w:t xml:space="preserve">p003 · att1 p.1  </w:t>
      </w:r>
      <w:r>
        <w:t>Docket No. FDA-2026-N-7874: Considerations for the Regulation of Generative AI-Enabled Medical Devices: Discussion Paper and Request for Feedback</w:t>
      </w:r>
    </w:p>
    <w:p>
      <w:r>
        <w:rPr>
          <w:color w:val="777777"/>
          <w:sz w:val="16"/>
        </w:rPr>
        <w:t xml:space="preserve">p004 · att1 p.1  </w:t>
      </w:r>
      <w:r>
        <w:t>Submitted via Regulations.gov Submitted by Renee Dua, MD, Founder and Chief Executive Officer, Cara AI, Inc. Date: October ___, 2026</w:t>
      </w:r>
    </w:p>
    <w:p>
      <w:r>
        <w:rPr>
          <w:color w:val="777777"/>
          <w:sz w:val="16"/>
        </w:rPr>
        <w:t xml:space="preserve">p005 · att1 p.1  </w:t>
      </w:r>
      <w:r>
        <w:t>About this commenter — Cara AI, Inc. builds a multimodal assessment platform used in the homes of Medicaid long-term services and supports members, Medicare Advantage members, and patients recently discharged from the hospital. The platform structures and codes information gathered during an in-home assessment. A care coordinator, community health worker, or licensed clinician reviews every output and makes every determination. The platform does not diagnose, prescribe, or direct care.</w:t>
      </w:r>
    </w:p>
    <w:p>
      <w:r>
        <w:rPr>
          <w:color w:val="777777"/>
          <w:sz w:val="16"/>
        </w:rPr>
        <w:t xml:space="preserve">p006 · att1 p.1  </w:t>
      </w:r>
      <w:r>
        <w:t>I am the founder of Cara AI. Much of my career has been spent in technology and as a practicing nephrologist, caring for patients with advanced kidney disease who depend on home and community based services. I have been building and operating AI-supported assessment systems inside patients' homes for fifteen years. The comments below come from running a generative AI system in real homes, with real caregivers, in an unstructured setting differing meaningfully from the hospital and clinic environments this discussion paper largely contemplates.</w:t>
      </w:r>
    </w:p>
    <w:p>
      <w:r>
        <w:rPr>
          <w:color w:val="777777"/>
          <w:sz w:val="16"/>
        </w:rPr>
        <w:t xml:space="preserve">p007 · att1 p.1  </w:t>
      </w:r>
      <w:r>
        <w:t>We respond to seven of the discussion questions.</w:t>
      </w:r>
    </w:p>
    <w:p>
      <w:r>
        <w:rPr>
          <w:color w:val="777777"/>
          <w:sz w:val="16"/>
        </w:rPr>
        <w:t xml:space="preserve">p008 · att1 p.1  </w:t>
      </w:r>
      <w:r>
        <w:t>Question 1. Dimensions missing from the two-axis risk framework — The two-axis framework is a reasonable organizing heuristic. We suggest three additional dimensions.</w:t>
      </w:r>
    </w:p>
    <w:p>
      <w:r>
        <w:rPr>
          <w:color w:val="777777"/>
          <w:sz w:val="16"/>
        </w:rPr>
        <w:t xml:space="preserve">p009 · att1 p.1  </w:t>
      </w:r>
      <w:r>
        <w:t>Reversibility and time to consequence: a generative output feeding a decision made minutes later carries different risk from one feeding a decision made weeks later after human review. In long-term services and supports, an incorrect activity of daily living score flows into a service authorization a plan reviewer examines, a state may audit, and the member may appeal. The path from output to consequence is slow, documented, and reversible at several points. A framework blind to this dimension treats a home safety observation the same way it treats an emergency department triage output.</w:t>
      </w:r>
    </w:p>
    <w:p>
      <w:r>
        <w:rPr>
          <w:color w:val="777777"/>
          <w:sz w:val="16"/>
        </w:rPr>
        <w:t xml:space="preserve">p010 · att1 p.1  </w:t>
      </w:r>
      <w:r>
        <w:t>Depth of downstream human review: the activity axis distinguishes healthcare professional supervision from full autonomy. We suggest a finer distinction within supervision. Oversight ranges from a clinician glancing at a generated summary to a clinician independently reaching a determination and then comparing it against the output. The second is a substantially stronger control and should reduce assessed risk more than the first.</w:t>
      </w:r>
    </w:p>
    <w:p>
      <w:r>
        <w:rPr>
          <w:color w:val="777777"/>
          <w:sz w:val="16"/>
        </w:rPr>
        <w:t xml:space="preserve">p011 · att1 p.1  </w:t>
      </w:r>
      <w:r>
        <w:t>Traceability to source evidence: where an output is anchored to a specific artifact the reviewer sees, such as a photograph, a document image, or a recorded statement, the reviewer holds the underlying evidence and evaluates the output directly against it. Traceability of this kind lowers the risk of an undetected incorrect output and belongs in the framework as its own dimension.</w:t>
      </w:r>
    </w:p>
    <w:p>
      <w:r>
        <w:rPr>
          <w:color w:val="777777"/>
          <w:sz w:val="16"/>
        </w:rPr>
        <w:t xml:space="preserve">p012 · att1 p.2  </w:t>
      </w:r>
      <w:r>
        <w:t>Questions 3 and 4. The user category the framework omits — The paper divides users into patients and healthcare professionals, and then divides healthcare professionals into generalists and specialists. A large and growing share of AI-supported health interactions in the United States involves neither group.</w:t>
      </w:r>
    </w:p>
    <w:p>
      <w:r>
        <w:rPr>
          <w:color w:val="777777"/>
          <w:sz w:val="16"/>
        </w:rPr>
        <w:t xml:space="preserve">p013 · att1 p.2  </w:t>
      </w:r>
      <w:r>
        <w:t>Care coordinators, case managers, community health workers, home care aides, and state assessors conduct the majority of in-home health assessments for Medicaid long-term services and supports members. These workers are trained, accountable, supervised, and operating in a defined professional role. They are not licensed clinicians. Under the framework as drafted they fall by default into the patient category, which understates their capability, or into the healthcare professional category, which overstates their clinical training.</w:t>
      </w:r>
    </w:p>
    <w:p>
      <w:r>
        <w:rPr>
          <w:color w:val="777777"/>
          <w:sz w:val="16"/>
        </w:rPr>
        <w:t xml:space="preserve">p014 · att1 p.2  </w:t>
      </w:r>
      <w:r>
        <w:t>We suggest a third user tier for trained non-clinical health workers operating under organizational supervision, with three consequences.</w:t>
      </w:r>
    </w:p>
    <w:p>
      <w:r>
        <w:rPr>
          <w:color w:val="777777"/>
          <w:sz w:val="16"/>
        </w:rPr>
        <w:t xml:space="preserve">p015 · att1 p.2  </w:t>
      </w:r>
      <w:r>
        <w:t>First, risk assessment should account for the supervisory structure around the user rather than treating an individual license as the only variable. A community health worker whose assessment is reviewed by a supervising nurse before it affects care presents a different risk profile from an unsupervised consumer.</w:t>
      </w:r>
    </w:p>
    <w:p>
      <w:r>
        <w:rPr>
          <w:color w:val="777777"/>
          <w:sz w:val="16"/>
        </w:rPr>
        <w:t xml:space="preserve">p016 · att1 p.2  </w:t>
      </w:r>
      <w:r>
        <w:t>Second, benchmarking element E.4, communication quality and user comprehension, should test comprehension at this tier specifically. Output written for a physician will be misread by a coordinator, and output written for a consumer will be insufficient for one.</w:t>
      </w:r>
    </w:p>
    <w:p>
      <w:r>
        <w:rPr>
          <w:color w:val="777777"/>
          <w:sz w:val="16"/>
        </w:rPr>
        <w:t xml:space="preserve">p017 · att1 p.2  </w:t>
      </w:r>
      <w:r>
        <w:t>Third, this workforce is the primary point of contact for the members least represented in clinical AI evaluation, including non-English speakers, members with low literacy, and members who are homebound. Omitting the tier from the framework risks omitting those members from evaluation as well.</w:t>
      </w:r>
    </w:p>
    <w:p>
      <w:r>
        <w:rPr>
          <w:color w:val="777777"/>
          <w:sz w:val="16"/>
        </w:rPr>
        <w:t xml:space="preserve">p018 · att1 p.2  </w:t>
      </w:r>
      <w:r>
        <w:t>Question 6. Escalation error in both directions, and a third routing option — We agree both under-escalation and over-escalation matter. We suggest the framework also recognize a third response beyond escalate and do not escalate.</w:t>
      </w:r>
    </w:p>
    <w:p>
      <w:r>
        <w:rPr>
          <w:color w:val="777777"/>
          <w:sz w:val="16"/>
        </w:rPr>
        <w:t xml:space="preserve">p019 · att1 p.2  </w:t>
      </w:r>
      <w:r>
        <w:t>In our setting, a concerning finding is routed to the member's health plan care team, which holds the member's clinical history, the treating physician's contact information, and the authority to arrange follow-up. The output is not a direction to the member to seek emergency care, and it is not silence. It is a handoff to an accountable clinical channel carrying a defined response obligation.</w:t>
      </w:r>
    </w:p>
    <w:p>
      <w:r>
        <w:rPr>
          <w:color w:val="777777"/>
          <w:sz w:val="16"/>
        </w:rPr>
        <w:t xml:space="preserve">p020 · att1 p.2  </w:t>
      </w:r>
      <w:r>
        <w:t>This third path changes the error profile substantially. The cost of a false positive is a care team review rather than an emergency department visit. The cost of a false negative remains serious and is the error we weight most heavily. We suggest CDRH consider routing to an accountable channel as a distinct activity category, because collapsing it into patient-facing escalation overstates the risk of an architecture designed specifically to reduce that risk.</w:t>
      </w:r>
    </w:p>
    <w:p>
      <w:r>
        <w:rPr>
          <w:color w:val="777777"/>
          <w:sz w:val="16"/>
        </w:rPr>
        <w:t xml:space="preserve">p021 · att1 p.3  </w:t>
      </w:r>
      <w:r>
        <w:t>On weighting the two directions of error, we do not think a single ratio generalizes across clinical contexts. What generalizes is the requirement for a sponsor to state the ratio it optimized for, justify it against the clinical context and the receiving system's response capacity, and report both error rates separately rather than inside a combined accuracy figure.</w:t>
      </w:r>
    </w:p>
    <w:p>
      <w:r>
        <w:rPr>
          <w:color w:val="777777"/>
          <w:sz w:val="16"/>
        </w:rPr>
        <w:t xml:space="preserve">p022 · att1 p.3  </w:t>
      </w:r>
      <w:r>
        <w:t>Question 11. Selecting a clinical confirmation approach, and a note on blinded review</w:t>
      </w:r>
    </w:p>
    <w:p>
      <w:r>
        <w:rPr>
          <w:color w:val="777777"/>
          <w:sz w:val="16"/>
        </w:rPr>
        <w:t xml:space="preserve">p023 · att1 p.3  </w:t>
      </w:r>
      <w:r>
        <w:t>The range of approaches described in Section V.C.1 is sound, and we support the position a prospective clinical study is not required in every case.</w:t>
      </w:r>
    </w:p>
    <w:p>
      <w:r>
        <w:rPr>
          <w:color w:val="777777"/>
          <w:sz w:val="16"/>
        </w:rPr>
        <w:t xml:space="preserve">p024 · att1 p.3  </w:t>
      </w:r>
      <w:r>
        <w:t>We want to comment specifically on the blinded variant of clinician adjudication of real cases, because we are running it now. In our design, a qualified independent reviewer examines the raw inputs collected in the member's home, independently determines the correct finding, and records that determination before seeing any system output. The two are then compared.</w:t>
      </w:r>
    </w:p>
    <w:p>
      <w:r>
        <w:rPr>
          <w:color w:val="777777"/>
          <w:sz w:val="16"/>
        </w:rPr>
        <w:t xml:space="preserve">p025 · att1 p.3  </w:t>
      </w:r>
      <w:r>
        <w:t>We suggest CDRH define adjudicator qualification by the task rather than defaulting to physician review. For functional assessment, home safety, and activity of daily living scoring, the appropriate expert is often a certified nurse assessor or a trained assessment coordinator rather than a physician. These are the people who hold the applicable scoring standard and who perform the task in practice. Defaulting to physician adjudication would raise the cost of clinical confirmation without improving the reference standard, and in several domains it would make the reference standard less accurate.</w:t>
      </w:r>
    </w:p>
    <w:p>
      <w:r>
        <w:rPr>
          <w:color w:val="777777"/>
          <w:sz w:val="16"/>
        </w:rPr>
        <w:t xml:space="preserve">p026 · att1 p.3  </w:t>
      </w:r>
      <w:r>
        <w:t>Sequencing matters as much as credential. Once a reviewer has seen a generated output, the reviewer cannot unsee it, and agreement measured afterward is inflated by anchoring in a way invisible in the resulting statistic.</w:t>
      </w:r>
    </w:p>
    <w:p>
      <w:r>
        <w:rPr>
          <w:color w:val="777777"/>
          <w:sz w:val="16"/>
        </w:rPr>
        <w:t xml:space="preserve">p027 · att1 p.3  </w:t>
      </w:r>
      <w:r>
        <w:t>We suggest CDRH make sequencing explicit in any future description of the method. A submission should state whether the reference determination was recorded before or after the reviewer saw the output, and unblinded review should not be treated as equivalent evidence to blinded review.</w:t>
      </w:r>
    </w:p>
    <w:p>
      <w:r>
        <w:rPr>
          <w:color w:val="777777"/>
          <w:sz w:val="16"/>
        </w:rPr>
        <w:t xml:space="preserve">p028 · att1 p.3  </w:t>
      </w:r>
      <w:r>
        <w:t>We also note this method is achievable for a small company. It requires no research infrastructure beyond disciplined sequencing and a record of when each determination was made. If CDRH wants a form of clinical confirmation small sponsors are able to produce without dedicated trial funding, blinded paired adjudication is a strong candidate for further definition, possibly through the Medical Device Development Tool program.</w:t>
      </w:r>
    </w:p>
    <w:p>
      <w:r>
        <w:rPr>
          <w:color w:val="777777"/>
          <w:sz w:val="16"/>
        </w:rPr>
        <w:t xml:space="preserve">p029 · att1 p.3  </w:t>
      </w:r>
      <w:r>
        <w:t>Question 14. Comparators for open-ended outputs — Comparing a system against a panel of qualified clinicians assumes a stable human reference standard exists. In Medicaid functional assessment, it largely does not.</w:t>
      </w:r>
    </w:p>
    <w:p>
      <w:r>
        <w:rPr>
          <w:color w:val="777777"/>
          <w:sz w:val="16"/>
        </w:rPr>
        <w:t xml:space="preserve">p030 · att1 p.4  </w:t>
      </w:r>
      <w:r>
        <w:t>The instrument itself is not standardized. The federal government does not require states to use a particular functional assessment tool, and a national inventory identified at least 124 tools currently in use.1</w:t>
      </w:r>
    </w:p>
    <w:p>
      <w:r>
        <w:rPr>
          <w:color w:val="777777"/>
          <w:sz w:val="16"/>
        </w:rPr>
        <w:t xml:space="preserve">p031 · att1 p.4  </w:t>
      </w:r>
      <w:r>
        <w:t>The variation is not cosmetic. The District of Columbia bathing assessment collects the frequency and duration of assistance required, while the Kentucky assessment does not.2 Individual health plans then apply their own scoring conventions and thresholds within their state's requirements. A reference panel drawn from more than one program may disagree not because clinical judgment differs but because the reviewers are applying different instruments.</w:t>
      </w:r>
    </w:p>
    <w:p>
      <w:r>
        <w:rPr>
          <w:color w:val="777777"/>
          <w:sz w:val="16"/>
        </w:rPr>
        <w:t xml:space="preserve">p032 · att1 p.4  </w:t>
      </w:r>
      <w:r>
        <w:t>Agreement among assessors under real field conditions is also largely unmeasured. Published interrater reliability studies for activity of daily living instruments are generally conducted in controlled research settings, with trained raters applying a single instrument to a small sample, and several report high agreement. Those results do not establish that assessors agree during Medicaid home visits, across different instruments, under time pressure, in the member's own environment. We are not aware of a body of evidence establishing a reliable human reference standard for this task in the deployment setting, and we suggest CDRH treat the existence of that standard as something a sponsor demonstrates rather than assumes.</w:t>
      </w:r>
    </w:p>
    <w:p>
      <w:r>
        <w:rPr>
          <w:color w:val="777777"/>
          <w:sz w:val="16"/>
        </w:rPr>
        <w:t xml:space="preserve">p033 · att1 p.4  </w:t>
      </w:r>
      <w:r>
        <w:t>Two suggestions follow. Where the reference standard is expert judgment rather than an objective result such as a biopsy, sponsors should report inter-rater agreement within the human reference panel alongside system-to-panel agreement, and should state which instrument each reviewer applied. A system matching a panel agreeing with itself 70 percent of the time is a different finding from a system matching a panel agreeing with itself 95 percent of the time, and a raw agreement figure hides the difference.</w:t>
      </w:r>
    </w:p>
    <w:p>
      <w:r>
        <w:rPr>
          <w:color w:val="777777"/>
          <w:sz w:val="16"/>
        </w:rPr>
        <w:t xml:space="preserve">p034 · att1 p.4  </w:t>
      </w:r>
      <w:r>
        <w:t>Where the purpose of a function is to reduce variance rather than to outperform a median clinician, consistency should be measurable as a performance endpoint in its own right. In authorizationdriven programs, two assessors reaching the same score for the same member is itself the clinical and equity objective.</w:t>
      </w:r>
    </w:p>
    <w:p>
      <w:r>
        <w:rPr>
          <w:color w:val="777777"/>
          <w:sz w:val="16"/>
        </w:rPr>
        <w:t xml:space="preserve">p035 · att1 p.4  </w:t>
      </w:r>
      <w:r>
        <w:t>Question 15. Comparison against the alternative existing today — We support this framing strongly and believe it deserves more weight than the paper currently gives it.</w:t>
      </w:r>
    </w:p>
    <w:p>
      <w:r>
        <w:rPr>
          <w:color w:val="777777"/>
          <w:sz w:val="16"/>
        </w:rPr>
        <w:t xml:space="preserve">p036 · att1 p.4  </w:t>
      </w:r>
      <w:r>
        <w:t>In the home assessment setting, the realistic alternative to a generative AI-supported assessment is not a careful expert evaluation. It is a paper form completed under time pressure, sometimes partly from recall after the visit ended, frequently incomplete, and drawn from an instrument varying by state and by plan. The prevailing alternative is not only lower quality than an expert evaluation. It is also unstandardized, which means it produces different results for similar members. Federal improper payment reporting attributes the large majority of Medicaid improper payments to</w:t>
      </w:r>
    </w:p>
    <w:p>
      <w:r>
        <w:rPr>
          <w:color w:val="777777"/>
          <w:sz w:val="16"/>
        </w:rPr>
        <w:t xml:space="preserve">p037 · att1 p.4  </w:t>
      </w:r>
      <w:r>
        <w:t>1 — 1 Medicaid and CHIP Payment and Access Commission, “Functional Assessments for Long-Term Services and Supports,” Chapter 4, Report to Congress on Medicaid and CHIP, June 2016. 2 Ibid., Box 4-2.</w:t>
      </w:r>
    </w:p>
    <w:p>
      <w:r>
        <w:rPr>
          <w:color w:val="777777"/>
          <w:sz w:val="16"/>
        </w:rPr>
        <w:t xml:space="preserve">p038 · att1 p.5  </w:t>
      </w:r>
      <w:r>
        <w:t>insufficient documentation and missing administrative steps rather than to fraud.3 That is the operative baseline in this setting.</w:t>
      </w:r>
    </w:p>
    <w:p>
      <w:r>
        <w:rPr>
          <w:color w:val="777777"/>
          <w:sz w:val="16"/>
        </w:rPr>
        <w:t xml:space="preserve">p039 · att1 p.5  </w:t>
      </w:r>
      <w:r>
        <w:t>The downstream effect is visible in service delivery. Because no reliable shared record exists of what a member was already assessed for and already received, duplication and gaps occur side by side. One member accumulates several pieces of the same durable medical equipment while another with the same documented need receives none. This is a consequence of unstandardized and incomplete assessment rather than of clinical disagreement, and it is the kind of outcome an evaluation anchored to an idealized standard of care will not surface.</w:t>
      </w:r>
    </w:p>
    <w:p>
      <w:r>
        <w:rPr>
          <w:color w:val="777777"/>
          <w:sz w:val="16"/>
        </w:rPr>
        <w:t xml:space="preserve">p040 · att1 p.5  </w:t>
      </w:r>
      <w:r>
        <w:t>Evaluating a system against an idealized standard of care while the real alternative is an incomplete form produces a systematically misleading benefit-risk assessment, and it does so in a direction disadvantaging the populations with the least access to care. We suggest CDRH permit sponsors to characterize the actual prevailing practice in the deployment setting, supported by evidence, and to evaluate against it in addition to any clinical reference standard.</w:t>
      </w:r>
    </w:p>
    <w:p>
      <w:r>
        <w:rPr>
          <w:color w:val="777777"/>
          <w:sz w:val="16"/>
        </w:rPr>
        <w:t xml:space="preserve">p041 · att1 p.5  </w:t>
      </w:r>
      <w:r>
        <w:t>Question 21. Health plans as a postmarket monitoring participant — The paper lists payers among ecosystem stakeholders without describing a role for them. We suggest a specific one.</w:t>
      </w:r>
    </w:p>
    <w:p>
      <w:r>
        <w:rPr>
          <w:color w:val="777777"/>
          <w:sz w:val="16"/>
        </w:rPr>
        <w:t xml:space="preserve">p042 · att1 p.5  </w:t>
      </w:r>
      <w:r>
        <w:t>Medicaid and Medicare Advantage plans already audit completed assessments, already run interrater reliability checks across their assessor workforces, and already hold the downstream utilization and outcome data needed to determine whether an assessment output was correct. They have contractual access to the deployment environment, regulatory obligations of their own, and a direct financial interest in accuracy. Much of the monitoring capability CDRH is asking manufacturers to build already exists inside health plans.</w:t>
      </w:r>
    </w:p>
    <w:p>
      <w:r>
        <w:rPr>
          <w:color w:val="777777"/>
          <w:sz w:val="16"/>
        </w:rPr>
        <w:t xml:space="preserve">p043 · att1 p.5  </w:t>
      </w:r>
      <w:r>
        <w:t>A workable structure preserves manufacturer accountability while using this capacity. The manufacturer defines the monitoring specification, the sampling frame, and the degradation thresholds, and remains responsible for detecting and reporting degradation. The plan supplies the sample and the outcome linkage under contract. This avoids duplicating an audit infrastructure already funded and already operating, and it produces monitoring data drawn from the actual deployment environment rather than from a manufacturer-selected sample.</w:t>
      </w:r>
    </w:p>
    <w:p>
      <w:r>
        <w:rPr>
          <w:color w:val="777777"/>
          <w:sz w:val="16"/>
        </w:rPr>
        <w:t xml:space="preserve">p044 · att1 p.5  </w:t>
      </w:r>
      <w:r>
        <w:t>1 — 3 Centers for Medicare and Medicaid Services, Payment Error Rate Measurement program, fiscal year 2025 results. The Medicaid improper payment rate was 6.12 percent, or $37.39 billion, and 77.2 percent of improper payments resulted from insufficient documentation or missing administrative steps.</w:t>
      </w:r>
    </w:p>
    <w:p>
      <w:r>
        <w:rPr>
          <w:color w:val="777777"/>
          <w:sz w:val="16"/>
        </w:rPr>
        <w:t xml:space="preserve">p045 · att1 p.6  </w:t>
      </w:r>
      <w:r>
        <w:t>Closing — We appreciate the opportunity to comment and would welcome the chance to discuss the in-home and long-term services and supports setting with CDRH staff in more detail.</w:t>
      </w:r>
    </w:p>
    <w:p>
      <w:r>
        <w:rPr>
          <w:color w:val="777777"/>
          <w:sz w:val="16"/>
        </w:rPr>
        <w:t xml:space="preserve">p046 · att1 p.6  </w:t>
      </w:r>
      <w:r>
        <w:t>Renee Dua, MD Founder and Chief Executive Officer, Cara AI, Inc. 8349 Reseda Boulevard, Suite G, Northridge, California 91324 renee@askcara.ai trycara.com</w:t>
      </w:r>
    </w:p>
    <w:p>
      <w:pPr>
        <w:pStyle w:val="Heading1"/>
        <w:pageBreakBefore/>
      </w:pPr>
      <w:r>
        <w:t>FDA-2026-N-7874-0010</w:t>
      </w:r>
    </w:p>
    <w:p>
      <w:r>
        <w:t>Comment from Hari Prakash Chanumolu</w:t>
      </w:r>
    </w:p>
    <w:p>
      <w:r>
        <w:rPr>
          <w:color w:val="777777"/>
          <w:sz w:val="18"/>
        </w:rPr>
        <w:t>received 2026-08-18 · attachments: attachment_1.pdf (19 pp)</w:t>
      </w:r>
    </w:p>
    <w:p>
      <w:r>
        <w:rPr>
          <w:color w:val="777777"/>
          <w:sz w:val="16"/>
        </w:rPr>
        <w:t xml:space="preserve">p001 · body  </w:t>
      </w:r>
      <w:r>
        <w:t>See attached file(s)</w:t>
      </w:r>
    </w:p>
    <w:p>
      <w:r>
        <w:rPr>
          <w:color w:val="777777"/>
          <w:sz w:val="16"/>
        </w:rPr>
        <w:t xml:space="preserve">p002 · att1 p.1  </w:t>
      </w:r>
      <w:r>
        <w:t>Public Comment — Docket No. FDA-2026-N-7874 — Re: Considerations for the Regulation of Generative AI-Enabled Medical Devices: Discussion Paper and</w:t>
      </w:r>
    </w:p>
    <w:p>
      <w:r>
        <w:rPr>
          <w:color w:val="777777"/>
          <w:sz w:val="16"/>
        </w:rPr>
        <w:t xml:space="preserve">p003 · att1 p.1  </w:t>
      </w:r>
      <w:r>
        <w:t>Request for Feedback — Submitted to: Division of Dockets Management, U.S. Food and Drug Administration, via Regulations.gov</w:t>
      </w:r>
    </w:p>
    <w:p>
      <w:r>
        <w:rPr>
          <w:color w:val="777777"/>
          <w:sz w:val="16"/>
        </w:rPr>
        <w:t xml:space="preserve">p004 · att1 p.1  </w:t>
      </w:r>
      <w:r>
        <w:t>Submitted by: Hari [Last Name], [Title], [Affiliation, if any] — submitted in an individual capacity</w:t>
      </w:r>
    </w:p>
    <w:p>
      <w:r>
        <w:rPr>
          <w:color w:val="777777"/>
          <w:sz w:val="16"/>
        </w:rPr>
        <w:t xml:space="preserve">p005 · att1 p.1  </w:t>
      </w:r>
      <w:r>
        <w:t>Date: [Date of submission] — Introduction and summary of position — I appreciate the opportunity to comment on CDRH’s discussion paper. I write in an individual capacity, from a regulatory and quality-affairs perspective, based on work with software-as-a-medical-device submissions, quality management systems, and change control. The views here are my own and do not represent any employer or client.</w:t>
      </w:r>
    </w:p>
    <w:p>
      <w:r>
        <w:rPr>
          <w:color w:val="777777"/>
          <w:sz w:val="16"/>
        </w:rPr>
        <w:t xml:space="preserve">p006 · att1 p.1  </w:t>
      </w:r>
      <w:r>
        <w:t>The discussion paper is a serious and unusually candid document. Several of its questions — particularly</w:t>
      </w:r>
    </w:p>
    <w:p>
      <w:r>
        <w:rPr>
          <w:color w:val="777777"/>
          <w:sz w:val="16"/>
        </w:rPr>
        <w:t xml:space="preserve">p007 · att1 p.1  </w:t>
      </w:r>
      <w:r>
        <w:t>Questions 10, 13, 20, 23, and 24 — name problems that the field has been avoiding, and CDRH deserves credit for putting them on the record rather than deferring them. My comments are offered in that spirit: I support the general architecture the paper describes, and my criticisms are directed at the places where I believe the framework, as currently sketched, would not survive contact with a real submission or a real postmarket failure.</w:t>
      </w:r>
    </w:p>
    <w:p>
      <w:r>
        <w:rPr>
          <w:color w:val="777777"/>
          <w:sz w:val="16"/>
        </w:rPr>
        <w:t xml:space="preserve">p008 · att1 p.1  </w:t>
      </w:r>
      <w:r>
        <w:t>My principal recommendations: 1.</w:t>
      </w:r>
    </w:p>
    <w:p>
      <w:r>
        <w:rPr>
          <w:color w:val="777777"/>
          <w:sz w:val="16"/>
        </w:rPr>
        <w:t xml:space="preserve">p009 · att1 p.1  </w:t>
      </w:r>
      <w:r>
        <w:t>Reconcile the two-axis risk framework with ISO 14971 rather than standing up a parallel taxonomy. As drafted, the two axes omit the probability that an incorrect output escapes detection — the variable that, for generative systems, drives most of the residual risk.</w:t>
      </w:r>
    </w:p>
    <w:p>
      <w:r>
        <w:rPr>
          <w:color w:val="777777"/>
          <w:sz w:val="16"/>
        </w:rPr>
        <w:t xml:space="preserve">p010 · att1 p.1  </w:t>
      </w:r>
      <w:r>
        <w:t>2.</w:t>
      </w:r>
    </w:p>
    <w:p>
      <w:r>
        <w:rPr>
          <w:color w:val="777777"/>
          <w:sz w:val="16"/>
        </w:rPr>
        <w:t xml:space="preserve">p011 · att1 p.1  </w:t>
      </w:r>
      <w:r>
        <w:t>Publish an explicit mapping from risk tier to minimum evidence. A “competency-based approach”</w:t>
      </w:r>
    </w:p>
    <w:p>
      <w:r>
        <w:rPr>
          <w:color w:val="777777"/>
          <w:sz w:val="16"/>
        </w:rPr>
        <w:t xml:space="preserve">p012 · att1 p.1  </w:t>
      </w:r>
      <w:r>
        <w:t>without a published evidence map is not a least-burdensome pathway; it is case-by-case review under a new name.</w:t>
      </w:r>
    </w:p>
    <w:p>
      <w:r>
        <w:rPr>
          <w:color w:val="777777"/>
          <w:sz w:val="16"/>
        </w:rPr>
        <w:t xml:space="preserve">p013 · att1 p.1  </w:t>
      </w:r>
      <w:r>
        <w:t>3.</w:t>
      </w:r>
    </w:p>
    <w:p>
      <w:r>
        <w:rPr>
          <w:color w:val="777777"/>
          <w:sz w:val="16"/>
        </w:rPr>
        <w:t xml:space="preserve">p014 · att1 p.1  </w:t>
      </w:r>
      <w:r>
        <w:t>Do not permit synthetic data to establish performance rates. Synthetic data is a valid tool for finding failures and covering rare events. It cannot supply a valid denominator, and when generated by a model of the same family as the device under test it is structurally incapable of detecting shared blind spots.</w:t>
      </w:r>
    </w:p>
    <w:p>
      <w:r>
        <w:rPr>
          <w:color w:val="777777"/>
          <w:sz w:val="16"/>
        </w:rPr>
        <w:t xml:space="preserve">p015 · att1 p.1  </w:t>
      </w:r>
      <w:r>
        <w:t>4.</w:t>
      </w:r>
    </w:p>
    <w:p>
      <w:r>
        <w:rPr>
          <w:color w:val="777777"/>
          <w:sz w:val="16"/>
        </w:rPr>
        <w:t xml:space="preserve">p016 · att1 p.1  </w:t>
      </w:r>
      <w:r>
        <w:t>Reject “median clinician in practice” as the primary performance standard. Prespecified clinical acceptance criteria derived from the consequence of the decision are the better anchor; clinician panels should serve as adjudication instruments, and should themselves be validated and reported like instruments.</w:t>
      </w:r>
    </w:p>
    <w:p>
      <w:r>
        <w:rPr>
          <w:color w:val="777777"/>
          <w:sz w:val="16"/>
        </w:rPr>
        <w:t xml:space="preserve">p017 · att1 p.2  </w:t>
      </w:r>
      <w:r>
        <w:t>5.</w:t>
      </w:r>
    </w:p>
    <w:p>
      <w:r>
        <w:rPr>
          <w:color w:val="777777"/>
          <w:sz w:val="16"/>
        </w:rPr>
        <w:t xml:space="preserve">p018 · att1 p.2  </w:t>
      </w:r>
      <w:r>
        <w:t>Require independence for any supervisory agent offered as postmarket evidence. A monitoring agent built on the same foundation model as the device it monitors has correlated failure modes and will be blind to precisely the errors that matter.</w:t>
      </w:r>
    </w:p>
    <w:p>
      <w:r>
        <w:rPr>
          <w:color w:val="777777"/>
          <w:sz w:val="16"/>
        </w:rPr>
        <w:t xml:space="preserve">p019 · att1 p.2  </w:t>
      </w:r>
      <w:r>
        <w:t>6.</w:t>
      </w:r>
    </w:p>
    <w:p>
      <w:r>
        <w:rPr>
          <w:color w:val="777777"/>
          <w:sz w:val="16"/>
        </w:rPr>
        <w:t xml:space="preserve">p020 · att1 p.2  </w:t>
      </w:r>
      <w:r>
        <w:t>Treat model version pinning as a design control expectation. For devices built on third-party foundation models, the inability to pin a version-identified endpoint, with contractual change notice, should be treated as a design deficiency rather than an accepted risk. This is the single largest unaddressed gap in the paper.</w:t>
      </w:r>
    </w:p>
    <w:p>
      <w:r>
        <w:rPr>
          <w:color w:val="777777"/>
          <w:sz w:val="16"/>
        </w:rPr>
        <w:t xml:space="preserve">p021 · att1 p.2  </w:t>
      </w:r>
      <w:r>
        <w:t>7.</w:t>
      </w:r>
    </w:p>
    <w:p>
      <w:r>
        <w:rPr>
          <w:color w:val="777777"/>
          <w:sz w:val="16"/>
        </w:rPr>
        <w:t xml:space="preserve">p022 · att1 p.2  </w:t>
      </w:r>
      <w:r>
        <w:t>Reframe the PCCP for generative systems around invariants rather than change lists. A PCCP that prespecifies what must remain true — a locked evaluation instrument, locked thresholds, a locked verification protocol — is workable where a PCCP that prespecifies what will change is not.</w:t>
      </w:r>
    </w:p>
    <w:p>
      <w:r>
        <w:rPr>
          <w:color w:val="777777"/>
          <w:sz w:val="16"/>
        </w:rPr>
        <w:t xml:space="preserve">p023 · att1 p.2  </w:t>
      </w:r>
      <w:r>
        <w:t>I. Assessment of risk (Section IV; Questions 1–6) — Question 1 — Dimensions of the risk framework</w:t>
      </w:r>
    </w:p>
    <w:p>
      <w:r>
        <w:rPr>
          <w:color w:val="777777"/>
          <w:sz w:val="16"/>
        </w:rPr>
        <w:t xml:space="preserve">p024 · att1 p.2  </w:t>
      </w:r>
      <w:r>
        <w:t>The two axes — device activity and the consequence of relying on an incorrect output — are necessary but not sufficient. Together they describe severity and a proxy for autonomy. They do not describe the probability that an incorrect output is acted upon, which is where generative systems differ most sharply from the software CDRH has regulated to date.</w:t>
      </w:r>
    </w:p>
    <w:p>
      <w:r>
        <w:rPr>
          <w:color w:val="777777"/>
          <w:sz w:val="16"/>
        </w:rPr>
        <w:t xml:space="preserve">p025 · att1 p.2  </w:t>
      </w:r>
      <w:r>
        <w:t>This matters because ISO 14971, which manufacturers already apply and document, defines risk as the combination of the probability of occurrence of harm and the severity of that harm. The paper’s framework captures severity well and probability not at all. A device whose errors are obvious on inspection and a device whose errors are fluent, confident, and internally consistent may occupy the same cell of the proposed grid while presenting materially different risk. Fluency is precisely the property generative models optimize for, and it is an anti-correlate of detectability.</w:t>
      </w:r>
    </w:p>
    <w:p>
      <w:r>
        <w:rPr>
          <w:color w:val="777777"/>
          <w:sz w:val="16"/>
        </w:rPr>
        <w:t xml:space="preserve">p026 · att1 p.2  </w:t>
      </w:r>
      <w:r>
        <w:t>I recommend CDRH add detectability — the likelihood that an incorrect output is recognized as incorrect before it is relied upon — as an explicit dimension, and treat reversibility, downstream safeguards, time pressure, and output traceability as determinants of detectability rather than as independent axes. This preserves a two-dimensional grid that remains usable in practice while giving the omitted variable a defined home.</w:t>
      </w:r>
    </w:p>
    <w:p>
      <w:r>
        <w:rPr>
          <w:color w:val="777777"/>
          <w:sz w:val="16"/>
        </w:rPr>
        <w:t xml:space="preserve">p027 · att1 p.2  </w:t>
      </w:r>
      <w:r>
        <w:t>I further recommend that CDRH state explicitly how this framework relates to a manufacturer’s existing ISO</w:t>
      </w:r>
    </w:p>
    <w:p>
      <w:r>
        <w:rPr>
          <w:color w:val="777777"/>
          <w:sz w:val="16"/>
        </w:rPr>
        <w:t xml:space="preserve">p028 · att1 p.2  </w:t>
      </w:r>
      <w:r>
        <w:t>14971 risk management file. If the answer is that the grid is a communication and triage device that draws on the 14971 file rather than a separate analysis, that should be said. Absent such a statement, manufacturers will reasonably assume they must maintain a second, FDA-specific risk taxonomy alongside the first, which produces documentation burden without a corresponding safety gain.</w:t>
      </w:r>
    </w:p>
    <w:p>
      <w:r>
        <w:rPr>
          <w:color w:val="777777"/>
          <w:sz w:val="16"/>
        </w:rPr>
        <w:t xml:space="preserve">p029 · att1 p.3  </w:t>
      </w:r>
      <w:r>
        <w:t>Question 2 — Directiveness as a continuum — I want to raise a practical objection to using directiveness as a determinant of risk classification, notwithstanding that it is clearly relevant to risk.</w:t>
      </w:r>
    </w:p>
    <w:p>
      <w:r>
        <w:rPr>
          <w:color w:val="777777"/>
          <w:sz w:val="16"/>
        </w:rPr>
        <w:t xml:space="preserve">p030 · att1 p.3  </w:t>
      </w:r>
      <w:r>
        <w:t>Directiveness of a generative output is an emergent property of the output, not a design input the manufacturer controls or can verify at design time. A manufacturer can constrain it — through system prompts, output templates, refusal training, post-generation filtering — but cannot guarantee it. If regulatory classification turns on whether a function is “non-directive,” sponsors will be asked to attest to something no sponsor can honestly attest to, and the predictable result is either attestations that are not meaningful or an evidentiary standard that cannot be met.</w:t>
      </w:r>
    </w:p>
    <w:p>
      <w:r>
        <w:rPr>
          <w:color w:val="777777"/>
          <w:sz w:val="16"/>
        </w:rPr>
        <w:t xml:space="preserve">p031 · att1 p.3  </w:t>
      </w:r>
      <w:r>
        <w:t>The more workable construction treats directiveness as a constrained and monitored property. A sponsor would specify a directiveness ceiling for the intended use, describe the technical controls enforcing it, and — critically — report a measured escape rate: the rate at which outputs exceeded the specified ceiling across an adversarial and representative evaluation set. Classification would then be based on the specified ceiling, conditioned on the escape rate meeting a prespecified bound, with escape rate becoming a postmarket monitoring endpoint. This gives manufacturers something they can actually design toward and CDRH something it can actually verify.</w:t>
      </w:r>
    </w:p>
    <w:p>
      <w:r>
        <w:rPr>
          <w:color w:val="777777"/>
          <w:sz w:val="16"/>
        </w:rPr>
        <w:t xml:space="preserve">p032 · att1 p.3  </w:t>
      </w:r>
      <w:r>
        <w:t>Question 3 — Patient-facing functions — I would caution against a categorical elevation of risk for patient-facing functions. The paper is right to flag the tension, and right to warn against underestimating patient capability.</w:t>
      </w:r>
    </w:p>
    <w:p>
      <w:r>
        <w:rPr>
          <w:color w:val="777777"/>
          <w:sz w:val="16"/>
        </w:rPr>
        <w:t xml:space="preserve">p033 · att1 p.3  </w:t>
      </w:r>
      <w:r>
        <w:t>The variable that actually distinguishes the two cases is not the user’s domain knowledge in the abstract but whether the user has a realistic path to verification at the moment of reliance. A clinician who lacks specialty knowledge but can order a confirmatory test, consult a colleague, or check a reference is better protected than a patient at home at 2 a.m. — but a patient reading a clearly sourced output with an explicit instruction to call their clinician before acting is better protected than a clinician under time pressure accepting a plausible output without checking.</w:t>
      </w:r>
    </w:p>
    <w:p>
      <w:r>
        <w:rPr>
          <w:color w:val="777777"/>
          <w:sz w:val="16"/>
        </w:rPr>
        <w:t xml:space="preserve">p034 · att1 p.3  </w:t>
      </w:r>
      <w:r>
        <w:t>I recommend the framework attend to the verification path — its availability, its latency, and whether the output’s design supports or discourages it — rather than to the user’s category. Safeguards that meaningfully change the analysis include traceable citation to primary sources with verifiable links, explicit uncertainty communication, and a designed prompt to seek confirmation that scales with the consequence of the specific output rather than appearing as static boilerplate.</w:t>
      </w:r>
    </w:p>
    <w:p>
      <w:r>
        <w:rPr>
          <w:color w:val="777777"/>
          <w:sz w:val="16"/>
        </w:rPr>
        <w:t xml:space="preserve">p035 · att1 p.3  </w:t>
      </w:r>
      <w:r>
        <w:t>Question 4 — Generalist versus specialist users — This distinction is analytically real but creates an enforcement problem CDRH should confront directly. A manufacturer can label an intended user; it cannot control which clinician opens the application. Once a device is deployed in an institution, use by clinicians outside the labeled specialty is foreseeable, and in some settings it is the norm.</w:t>
      </w:r>
    </w:p>
    <w:p>
      <w:r>
        <w:rPr>
          <w:color w:val="777777"/>
          <w:sz w:val="16"/>
        </w:rPr>
        <w:t xml:space="preserve">p036 · att1 p.4  </w:t>
      </w:r>
      <w:r>
        <w:t>If CDRH intends specialty scope to bear regulatory weight, the paper should distinguish between (a) labeled intended user, (b) technical enforcement of user scope, and (c) foreseeable off-label user, and should state which of the three drives the risk assessment. My recommendation is that risk be assessed against foreseeable use, with credit given for demonstrated technical enforcement — role-based access controls tied to institutional credentialing, for example — rather than for labeling alone. Labeling-only mitigations have a poor track record in software and should not be treated as risk-reducing here.</w:t>
      </w:r>
    </w:p>
    <w:p>
      <w:r>
        <w:rPr>
          <w:color w:val="777777"/>
          <w:sz w:val="16"/>
        </w:rPr>
        <w:t xml:space="preserve">p037 · att1 p.4  </w:t>
      </w:r>
      <w:r>
        <w:t>Question 5 — Multi-turn conversational devices — The paper identifies the correct problem: intended use cannot be meaningfully characterized at the level of a single turn when behavior is emergent across a conversation.</w:t>
      </w:r>
    </w:p>
    <w:p>
      <w:r>
        <w:rPr>
          <w:color w:val="777777"/>
          <w:sz w:val="16"/>
        </w:rPr>
        <w:t xml:space="preserve">p038 · att1 p.4  </w:t>
      </w:r>
      <w:r>
        <w:t>I recommend CDRH state that for multi-turn devices, the session, not the turn, is the unit of analysis for both intended use and evaluation. Intended use should be defined at the conversational level, in terms of the range of trajectories the device is designed to support and the boundaries it is designed to hold. Evaluation should then be trajectory-based: multi-turn adversarial evaluation in which evaluators actively attempt to walk the device from non-directive information toward action-directing output, with the escape rate measured and bounded as described under Question 2.</w:t>
      </w:r>
    </w:p>
    <w:p>
      <w:r>
        <w:rPr>
          <w:color w:val="777777"/>
          <w:sz w:val="16"/>
        </w:rPr>
        <w:t xml:space="preserve">p039 · att1 p.4  </w:t>
      </w:r>
      <w:r>
        <w:t>Single-turn benchmarking of a multi-turn device measures something that does not correspond to how the device is used, and I would encourage CDRH to say so plainly. Turn-level evaluation of conversational devices should be treated as insufficient on its own regardless of how thorough it is.</w:t>
      </w:r>
    </w:p>
    <w:p>
      <w:r>
        <w:rPr>
          <w:color w:val="777777"/>
          <w:sz w:val="16"/>
        </w:rPr>
        <w:t xml:space="preserve">p040 · att1 p.4  </w:t>
      </w:r>
      <w:r>
        <w:t>Question 6 — Under- and over-escalation — The paper correctly observes that these two error directions may not be commensurable. My recommendation is procedural: rather than asking manufacturers to reconcile them, require that the trade-off be prespecified rather than discovered.</w:t>
      </w:r>
    </w:p>
    <w:p>
      <w:r>
        <w:rPr>
          <w:color w:val="777777"/>
          <w:sz w:val="16"/>
        </w:rPr>
        <w:t xml:space="preserve">p041 · att1 p.4  </w:t>
      </w:r>
      <w:r>
        <w:t>A sponsor should state, before evaluation, an explicit asymmetric acceptance criterion — for example, a minimum sensitivity for the escalation-warranted condition together with a maximum acceptable over- escalation rate — accompanied by a clinical justification for the chosen ratio that references the specific deployment context and the capacity of the receiving system. The justification, not just the numbers, should be part of the submission and should be assessed. Post hoc reporting of both rates without a prespecified trade-off allows the sponsor to characterize whichever result is more favorable as the primary endpoint, and</w:t>
      </w:r>
    </w:p>
    <w:p>
      <w:r>
        <w:rPr>
          <w:color w:val="777777"/>
          <w:sz w:val="16"/>
        </w:rPr>
        <w:t xml:space="preserve">p042 · att1 p.4  </w:t>
      </w:r>
      <w:r>
        <w:t>CDRH should foreclose that.</w:t>
      </w:r>
    </w:p>
    <w:p>
      <w:r>
        <w:rPr>
          <w:color w:val="777777"/>
          <w:sz w:val="16"/>
        </w:rPr>
        <w:t xml:space="preserve">p043 · att1 p.4  </w:t>
      </w:r>
      <w:r>
        <w:t>Over-escalation deserves more attention than it typically receives. Its harms — alert fatigue, resource diversion, downstream harm to patients who did need the capacity consumed — are diffuse, delayed, and rarely attributed to the device. They are therefore systematically under-detected by exactly the postmarket mechanisms Section VI describes.</w:t>
      </w:r>
    </w:p>
    <w:p>
      <w:r>
        <w:rPr>
          <w:color w:val="777777"/>
          <w:sz w:val="16"/>
        </w:rPr>
        <w:t xml:space="preserve">p044 · att1 p.5  </w:t>
      </w:r>
      <w:r>
        <w:t>II. Premarket evaluation and the competency-based approach (Section V; Questions 7– — 17)</w:t>
      </w:r>
    </w:p>
    <w:p>
      <w:r>
        <w:rPr>
          <w:color w:val="777777"/>
          <w:sz w:val="16"/>
        </w:rPr>
        <w:t xml:space="preserve">p045 · att1 p.5  </w:t>
      </w:r>
      <w:r>
        <w:t>Question 7 — Is the competency-based approach appropriate?</w:t>
      </w:r>
    </w:p>
    <w:p>
      <w:r>
        <w:rPr>
          <w:color w:val="777777"/>
          <w:sz w:val="16"/>
        </w:rPr>
        <w:t xml:space="preserve">p046 · att1 p.5  </w:t>
      </w:r>
      <w:r>
        <w:t>Broadly, yes, and the paper’s framing is a genuine contribution. But the analogy carries an assumption that should be made explicit before it is relied upon, because I believe the analogy is doing more argumentative work than it can support.</w:t>
      </w:r>
    </w:p>
    <w:p>
      <w:r>
        <w:rPr>
          <w:color w:val="777777"/>
          <w:sz w:val="16"/>
        </w:rPr>
        <w:t xml:space="preserve">p047 · att1 p.5  </w:t>
      </w:r>
      <w:r>
        <w:t>Physician credentialing is evidentiarily permissive — no exhaustive testing of every scenario — because it is embedded in a system of continuous individual accountability: ongoing licensure with revocation authority, institutional privileging and peer review, malpractice liability, professional norms, and a career-long incentive to notice and correct one’s own errors. The credentialing exam is not the safety mechanism. It is the entry gate to a system whose safety mechanisms operate continuously thereafter.</w:t>
      </w:r>
    </w:p>
    <w:p>
      <w:r>
        <w:rPr>
          <w:color w:val="777777"/>
          <w:sz w:val="16"/>
        </w:rPr>
        <w:t xml:space="preserve">p048 · att1 p.5  </w:t>
      </w:r>
      <w:r>
        <w:t>A device inherits none of this. There is no analogue to license revocation for a deployed model, no peer review of its individual decisions, no professional identity that responds to being wrong. The manufacturer’s quality system is the closest analogue, and it is a genuine one, but it is a different mechanism with different failure modes.</w:t>
      </w:r>
    </w:p>
    <w:p>
      <w:r>
        <w:rPr>
          <w:color w:val="777777"/>
          <w:sz w:val="16"/>
        </w:rPr>
        <w:t xml:space="preserve">p049 · att1 p.5  </w:t>
      </w:r>
      <w:r>
        <w:t>There is a second disanalogy worth stating. Physicians generalize from training in ways whose failure modes are broadly legible to other physicians — we have vocabulary for the kinds of errors a tired resident makes.</w:t>
      </w:r>
    </w:p>
    <w:p>
      <w:r>
        <w:rPr>
          <w:color w:val="777777"/>
          <w:sz w:val="16"/>
        </w:rPr>
        <w:t xml:space="preserve">p050 · att1 p.5  </w:t>
      </w:r>
      <w:r>
        <w:t>Generative model failures are not legible in the same way. They can be sharp, input-specific, and invisible to any amount of aggregate performance measurement.</w:t>
      </w:r>
    </w:p>
    <w:p>
      <w:r>
        <w:rPr>
          <w:color w:val="777777"/>
          <w:sz w:val="16"/>
        </w:rPr>
        <w:t xml:space="preserve">p051 · att1 p.5  </w:t>
      </w:r>
      <w:r>
        <w:t>My recommendation is that CDRH retain the competency framing as an organizing structure — it maps cleanly onto benchmarking, confirmation, and monitoring — while explicitly declining to import its evidentiary permissiveness. The paper should state that the licensure analogy justifies the shape of the evidence, not the quantity, and that the reduced-testing feature of physician credentialing is a consequence of accountability structures the device context does not reproduce.</w:t>
      </w:r>
    </w:p>
    <w:p>
      <w:r>
        <w:rPr>
          <w:color w:val="777777"/>
          <w:sz w:val="16"/>
        </w:rPr>
        <w:t xml:space="preserve">p052 · att1 p.5  </w:t>
      </w:r>
      <w:r>
        <w:t>Question 8 — Relating the risk framework to evidence requirements — This is, in my view, the most consequential question in the paper for whether the framework succeeds in practice.</w:t>
      </w:r>
    </w:p>
    <w:p>
      <w:r>
        <w:rPr>
          <w:color w:val="777777"/>
          <w:sz w:val="16"/>
        </w:rPr>
        <w:t xml:space="preserve">p053 · att1 p.5  </w:t>
      </w:r>
      <w:r>
        <w:t>A competency-based approach without a published risk-tier-to-evidence mapping is not a least-burdensome pathway. It is discretionary, case-by-case review with a new vocabulary. Sponsors cannot plan submissions against it, cannot budget against it, and cannot know in advance whether their evidence is adequate — which in practice means either over-generating evidence defensively or under-generating it and absorbing review cycles. Both outcomes are costly, and the second is worse for patients because it delays devices that would have qualified.</w:t>
      </w:r>
    </w:p>
    <w:p>
      <w:r>
        <w:rPr>
          <w:color w:val="777777"/>
          <w:sz w:val="16"/>
        </w:rPr>
        <w:t xml:space="preserve">p054 · att1 p.5  </w:t>
      </w:r>
      <w:r>
        <w:t>I recommend CDRH publish a mapping table specifying, for each cell or band of the risk grid: the minimum benchmarking elements required; the minimum acceptable clinical confirmation tier from the Section V.C ladder; whether third-party involvement is expected; and the minimum postmarket monitoring configuration.</w:t>
      </w:r>
    </w:p>
    <w:p>
      <w:r>
        <w:rPr>
          <w:color w:val="777777"/>
          <w:sz w:val="16"/>
        </w:rPr>
        <w:t xml:space="preserve">p055 · att1 p.6  </w:t>
      </w:r>
      <w:r>
        <w:t>The mapping need not be rigid — a documented, justified deviation pathway should exist — but the default must be published and stable. Predictability is the mechanism by which a risk-based framework actually reduces burden.</w:t>
      </w:r>
    </w:p>
    <w:p>
      <w:r>
        <w:rPr>
          <w:color w:val="777777"/>
          <w:sz w:val="16"/>
        </w:rPr>
        <w:t xml:space="preserve">p056 · att1 p.6  </w:t>
      </w:r>
      <w:r>
        <w:t>Question 9 — Adequacy of the benchmarking structure — The categories described appear substantially complete. I note three gaps.</w:t>
      </w:r>
    </w:p>
    <w:p>
      <w:r>
        <w:rPr>
          <w:color w:val="777777"/>
          <w:sz w:val="16"/>
        </w:rPr>
        <w:t xml:space="preserve">p057 · att1 p.6  </w:t>
      </w:r>
      <w:r>
        <w:t>Adversarial and hostile input. Robustness and reliability, as described, appear oriented toward natural variation in input — phrasing, formatting, incomplete data. Generative devices additionally face adversarial input: prompt injection through retrieved documents or patient-supplied text, instruction override, and jailbreak techniques that defeat scope constraints. This is a security property, not a robustness property, and it should be a distinct benchmarking element cross-referenced to CDRH’s premarket cybersecurity expectations. A device whose scope boundaries hold under natural input and fail under a prompt embedded in an uploaded document has not demonstrated boundary adherence.</w:t>
      </w:r>
    </w:p>
    <w:p>
      <w:r>
        <w:rPr>
          <w:color w:val="777777"/>
          <w:sz w:val="16"/>
        </w:rPr>
        <w:t xml:space="preserve">p058 · att1 p.6  </w:t>
      </w:r>
      <w:r>
        <w:t>Provenance and citation fidelity. Where a device cites sources, the correctness of the citation is a distinct failure mode from the correctness of the claim. A fabricated but plausible citation actively defeats the user’s verification path — it converts a safeguard into a hazard, because the user who checks is reassured by the presence of a reference. Citation fidelity should be measured separately and should not be assumed to track content accuracy.</w:t>
      </w:r>
    </w:p>
    <w:p>
      <w:r>
        <w:rPr>
          <w:color w:val="777777"/>
          <w:sz w:val="16"/>
        </w:rPr>
        <w:t xml:space="preserve">p059 · att1 p.6  </w:t>
      </w:r>
      <w:r>
        <w:t>Behavior at the edge of scope. Scope maintenance measures whether the device stays in scope. Equally important is what it does at the boundary: whether performance degrades gracefully with visible uncertainty, or falls off sharply while confidence remains high. The latter is far more dangerous and is invisible to aggregate accuracy metrics.</w:t>
      </w:r>
    </w:p>
    <w:p>
      <w:r>
        <w:rPr>
          <w:color w:val="777777"/>
          <w:sz w:val="16"/>
        </w:rPr>
        <w:t xml:space="preserve">p060 · att1 p.6  </w:t>
      </w:r>
      <w:r>
        <w:t>On external standards: I am aware of ongoing work in AI evaluation and risk management standards that may be relevant here, but I do not have current verified information on which specific standards have reached a maturity appropriate for regulatory recognition, and I would not want to cite one incorrectly. I recommend</w:t>
      </w:r>
    </w:p>
    <w:p>
      <w:r>
        <w:rPr>
          <w:color w:val="777777"/>
          <w:sz w:val="16"/>
        </w:rPr>
        <w:t xml:space="preserve">p061 · att1 p.6  </w:t>
      </w:r>
      <w:r>
        <w:t>CDRH survey this landscape directly and state which standards it considers suitable for leveraging.</w:t>
      </w:r>
    </w:p>
    <w:p>
      <w:r>
        <w:rPr>
          <w:color w:val="777777"/>
          <w:sz w:val="16"/>
        </w:rPr>
        <w:t xml:space="preserve">p062 · att1 p.6  </w:t>
      </w:r>
      <w:r>
        <w:t>Question 10 — Benchmark validity, contamination, and sponsor-developed benchmarks — This question deserves the most attention of any in the paper, because benchmarking is load-bearing for the entire premarket structure and the assets currently available cannot bear that load.</w:t>
      </w:r>
    </w:p>
    <w:p>
      <w:r>
        <w:rPr>
          <w:color w:val="777777"/>
          <w:sz w:val="16"/>
        </w:rPr>
        <w:t xml:space="preserve">p063 · att1 p.6  </w:t>
      </w:r>
      <w:r>
        <w:t>Contamination is not testable without a training-data cutoff attestation. A sponsor cannot demonstrate that a public benchmark was absent from a third-party model’s training corpus without information the sponsor does not possess. I recommend CDRH state that where a device relies on a third-party model, benchmarking evidence based on publicly available assets is not interpretable absent a dated training-data cutoff attestation from the model provider, and that temporally held-out evaluation data — constructed from material post-dating the attested cutoff — is the preferred mitigation. This also creates the market pull discussed under Question 25.</w:t>
      </w:r>
    </w:p>
    <w:p>
      <w:r>
        <w:rPr>
          <w:color w:val="777777"/>
          <w:sz w:val="16"/>
        </w:rPr>
        <w:t xml:space="preserve">p064 · att1 p.7  </w:t>
      </w:r>
      <w:r>
        <w:t>Construct validity must be argued, not assumed. I recommend CDRH require a sponsor to state, for each benchmark used, the specific real-world behavior it is intended to predict, the reasoning connecting them, and the known limitations of that connection. This is a familiar requirement in a different vocabulary: it is analytical validation, and it should be documented to the same standard.</w:t>
      </w:r>
    </w:p>
    <w:p>
      <w:r>
        <w:rPr>
          <w:color w:val="777777"/>
          <w:sz w:val="16"/>
        </w:rPr>
        <w:t xml:space="preserve">p065 · att1 p.7  </w:t>
      </w:r>
      <w:r>
        <w:t>Sponsor-developed benchmarks should be permitted but structurally separated. They are often unavoidable — for a novel intended use, no external benchmark exists. The controlling concern is not that the sponsor built the benchmark but that the sponsor may have optimized against it. I recommend three safeguards: (a) the benchmark and its acceptance thresholds are locked and submitted before evaluation, not after; (b) the sponsor attests, subject to audit, that the gating set was not used for model selection, prompt engineering, fine-tuning, or any iteration on the device — the separation between development and gating sets must be demonstrable from development records, not merely asserted; (c) a held-out portion is escrowed with FDA or a recognized third party and never returned to the sponsor.</w:t>
      </w:r>
    </w:p>
    <w:p>
      <w:r>
        <w:rPr>
          <w:color w:val="777777"/>
          <w:sz w:val="16"/>
        </w:rPr>
        <w:t xml:space="preserve">p066 · att1 p.7  </w:t>
      </w:r>
      <w:r>
        <w:t>Public benchmarks should be characterized as screening, not evidence. Given contamination and saturation, strong performance on a public benchmark establishes little; weak performance establishes a great deal. I recommend CDRH treat public benchmarks as necessary-but-not-sufficient screens and state explicitly that they do not constitute evidence of effectiveness.</w:t>
      </w:r>
    </w:p>
    <w:p>
      <w:r>
        <w:rPr>
          <w:color w:val="777777"/>
          <w:sz w:val="16"/>
        </w:rPr>
        <w:t xml:space="preserve">p067 · att1 p.7  </w:t>
      </w:r>
      <w:r>
        <w:t>A rotating non-public evaluation resource is worth serious consideration. The contamination problem is structurally unsolvable by sponsors acting individually, since any benchmark that becomes valuable becomes public and then becomes training data. A periodically refreshed evaluation set, maintained by FDA or a recognized body and never published, is one of the few mechanisms that addresses the root cause. I recognize this carries substantial resource and governance implications, and I raise it as a direction worth evaluating rather than as a costed proposal.</w:t>
      </w:r>
    </w:p>
    <w:p>
      <w:r>
        <w:rPr>
          <w:color w:val="777777"/>
          <w:sz w:val="16"/>
        </w:rPr>
        <w:t xml:space="preserve">p068 · att1 p.7  </w:t>
      </w:r>
      <w:r>
        <w:t>Question 11 — Selecting a clinical confirmation approach — I support the graduated ladder. Two recommendations.</w:t>
      </w:r>
    </w:p>
    <w:p>
      <w:r>
        <w:rPr>
          <w:color w:val="777777"/>
          <w:sz w:val="16"/>
        </w:rPr>
        <w:t xml:space="preserve">p069 · att1 p.7  </w:t>
      </w:r>
      <w:r>
        <w:t>First, the selection should be driven by the risk mapping recommended under Question 8, not left to sponsor justification. Sponsor discretion in selecting one’s own evidentiary bar, even with a justification requirement, produces predictable downward pressure and inconsistent review.</w:t>
      </w:r>
    </w:p>
    <w:p>
      <w:r>
        <w:rPr>
          <w:color w:val="777777"/>
          <w:sz w:val="16"/>
        </w:rPr>
        <w:t xml:space="preserve">p070 · att1 p.7  </w:t>
      </w:r>
      <w:r>
        <w:t>Second, shadow deployment deserves to be the presumptive default at intermediate risk. It is the only rung that produces genuine real-world input distributions at zero patient exposure, and the divergence between benchmark input distributions and real clinical input distributions is, in my experience, where software devices most often disappoint. Retrospective evaluation on curated real inputs does not substitute, because curation removes exactly the malformed, incomplete, and atypical inputs that drive real-world failure.</w:t>
      </w:r>
    </w:p>
    <w:p>
      <w:r>
        <w:rPr>
          <w:color w:val="777777"/>
          <w:sz w:val="16"/>
        </w:rPr>
        <w:t xml:space="preserve">p071 · att1 p.7  </w:t>
      </w:r>
      <w:r>
        <w:t>On input distributions: I recommend CDRH require prospective characterization of the anticipated real-world input distribution, and that confirmation evidence be labeled with the population and setting in which it was obtained. A device confirmed at three academic centers has not been confirmed for a rural critical-access hospital with different documentation practices, and the labeling should make the scope of the evidence visible to the adopting institution.</w:t>
      </w:r>
    </w:p>
    <w:p>
      <w:r>
        <w:rPr>
          <w:color w:val="777777"/>
          <w:sz w:val="16"/>
        </w:rPr>
        <w:t xml:space="preserve">p072 · att1 p.8  </w:t>
      </w:r>
      <w:r>
        <w:t>Question 12 — Statistically meaningful performance measurement — There is a measurement problem here that classical device statistics do not address and that the paper does not raise: generative devices are non-deterministic at fixed input. The same input can produce different outputs across runs, and in some cases outputs that differ in clinical direction. Conventional performance estimation assumes a fixed input-output mapping and therefore attributes all observed variance to case mix.</w:t>
      </w:r>
    </w:p>
    <w:p>
      <w:r>
        <w:rPr>
          <w:color w:val="777777"/>
          <w:sz w:val="16"/>
        </w:rPr>
        <w:t xml:space="preserve">p073 · att1 p.8  </w:t>
      </w:r>
      <w:r>
        <w:t>I recommend CDRH require: • — Repeated-sampling variance reporting. Performance must be characterized across repeated runs at fixed input under the deployed sampling configuration, with within-input variance reported separately from between-input variance.</w:t>
      </w:r>
    </w:p>
    <w:p>
      <w:r>
        <w:rPr>
          <w:color w:val="777777"/>
          <w:sz w:val="16"/>
        </w:rPr>
        <w:t xml:space="preserve">p074 · att1 p.8  </w:t>
      </w:r>
      <w:r>
        <w:t>• — Acceptance criteria stated on a lower confidence bound. For a non-deterministic device, a point estimate meeting a threshold does not establish that the device meets the threshold. The bound, not the estimate, should be the criterion.</w:t>
      </w:r>
    </w:p>
    <w:p>
      <w:r>
        <w:rPr>
          <w:color w:val="777777"/>
          <w:sz w:val="16"/>
        </w:rPr>
        <w:t xml:space="preserve">p075 · att1 p.8  </w:t>
      </w:r>
      <w:r>
        <w:t>• — Sampling configuration treated as a specified device parameter subject to change control.</w:t>
      </w:r>
    </w:p>
    <w:p>
      <w:r>
        <w:rPr>
          <w:color w:val="777777"/>
          <w:sz w:val="16"/>
        </w:rPr>
        <w:t xml:space="preserve">p076 · att1 p.8  </w:t>
      </w:r>
      <w:r>
        <w:t>Temperature, top-p, and equivalent settings materially change the performance distribution, and a device evaluated at one configuration and deployed at another has not been evaluated.</w:t>
      </w:r>
    </w:p>
    <w:p>
      <w:r>
        <w:rPr>
          <w:color w:val="777777"/>
          <w:sz w:val="16"/>
        </w:rPr>
        <w:t xml:space="preserve">p077 · att1 p.8  </w:t>
      </w:r>
      <w:r>
        <w:t>On combining benchmarking and confirmation evidence into a single estimate: I recommend against permitting it. The two arise from different sampling frames and support different inferences — benchmarking establishes capability under constructed conditions, confirmation establishes performance under real ones. Pooling them produces an estimate that describes no actual population, and it allows large volumes of cheap benchmark data to dominate small volumes of expensive confirmation data, diluting precisely the evidence that matters most. They should be reported separately, with the confirmation estimate governing the acceptance decision and the benchmarking estimate serving as supporting evidence and as the locked postmarket baseline.</w:t>
      </w:r>
    </w:p>
    <w:p>
      <w:r>
        <w:rPr>
          <w:color w:val="777777"/>
          <w:sz w:val="16"/>
        </w:rPr>
        <w:t xml:space="preserve">p078 · att1 p.8  </w:t>
      </w:r>
      <w:r>
        <w:t>Question 13 — Synthetic data — The paper’s framing of this question — the risk that synthetic data generated by models of the same class as the device reproduces the very gaps evaluation should detect — is exactly right, and I want to press on the implication.</w:t>
      </w:r>
    </w:p>
    <w:p>
      <w:r>
        <w:rPr>
          <w:color w:val="777777"/>
          <w:sz w:val="16"/>
        </w:rPr>
        <w:t xml:space="preserve">p079 · att1 p.8  </w:t>
      </w:r>
      <w:r>
        <w:t>The concern is not bias in the usual sense; it is correlated failure. A generator sharing training data, architecture, or lineage with the device under test shares its blind spots. Where the device misunderstands a rare presentation, a same-family generator will produce synthetic cases embodying the same misunderstanding. The evaluation then returns a clean result on a population that does not exist, and the failure is invisible because the evidence looks complete. This is worse than having no synthetic data, because it manufactures unwarranted confidence.</w:t>
      </w:r>
    </w:p>
    <w:p>
      <w:r>
        <w:rPr>
          <w:color w:val="777777"/>
          <w:sz w:val="16"/>
        </w:rPr>
        <w:t xml:space="preserve">p080 · att1 p.9  </w:t>
      </w:r>
      <w:r>
        <w:t>I recommend CDRH draw a bright line by purpose rather than by domain:</w:t>
      </w:r>
    </w:p>
    <w:p>
      <w:r>
        <w:rPr>
          <w:color w:val="777777"/>
          <w:sz w:val="16"/>
        </w:rPr>
        <w:t xml:space="preserve">p081 · att1 p.9  </w:t>
      </w:r>
      <w:r>
        <w:t>• — Synthetic data is appropriate for finding failures. Stress testing, adversarial probing, coverage of rare and dangerous scenarios that cannot be ethically or practically collected. Here a failure discovered is informative regardless of whether the input was real, and the correlated-blind-spot problem biases toward under-detection — a conservative direction.</w:t>
      </w:r>
    </w:p>
    <w:p>
      <w:r>
        <w:rPr>
          <w:color w:val="777777"/>
          <w:sz w:val="16"/>
        </w:rPr>
        <w:t xml:space="preserve">p082 · att1 p.9  </w:t>
      </w:r>
      <w:r>
        <w:t>• — Synthetic data is not appropriate for establishing performance rates. Any rate requires a denominator representing a real population. Synthetic data cannot supply one, because the generator’s distribution is unvalidated against the deployment distribution and unvalidatable except by reference to the real data one is trying to avoid collecting.</w:t>
      </w:r>
    </w:p>
    <w:p>
      <w:r>
        <w:rPr>
          <w:color w:val="777777"/>
          <w:sz w:val="16"/>
        </w:rPr>
        <w:t xml:space="preserve">p083 · att1 p.9  </w:t>
      </w:r>
      <w:r>
        <w:t>I further recommend that same-family generation be prohibited for subgroup performance claims specifically. Subgroup performance is where correlated blind spots do the most damage — underrepresented subgroups are underrepresented in the generator’s training data for the same reasons they are underrepresented in the device’s — and it is where a false negative has the clearest equity consequence.</w:t>
      </w:r>
    </w:p>
    <w:p>
      <w:r>
        <w:rPr>
          <w:color w:val="777777"/>
          <w:sz w:val="16"/>
        </w:rPr>
        <w:t xml:space="preserve">p084 · att1 p.9  </w:t>
      </w:r>
      <w:r>
        <w:t>Where synthetic data is used at all, the generator’s identity, provenance, and training lineage should be disclosed, and its relationship to the device’s underlying model stated explicitly.</w:t>
      </w:r>
    </w:p>
    <w:p>
      <w:r>
        <w:rPr>
          <w:color w:val="777777"/>
          <w:sz w:val="16"/>
        </w:rPr>
        <w:t xml:space="preserve">p085 · att1 p.9  </w:t>
      </w:r>
      <w:r>
        <w:t>I am not aware of a validated method for establishing that a synthetic clinical population is distributionally adequate to a real one for regulatory purposes, and would be interested to see any that commenters can point to. I would rather CDRH proceed as though none exists than adopt a permissive posture on the assumption that one will emerge.</w:t>
      </w:r>
    </w:p>
    <w:p>
      <w:r>
        <w:rPr>
          <w:color w:val="777777"/>
          <w:sz w:val="16"/>
        </w:rPr>
        <w:t xml:space="preserve">p086 · att1 p.9  </w:t>
      </w:r>
      <w:r>
        <w:t>Question 14 — Comparators and acceptance criteria — I recommend against “the median clinician in practice” as a primary performance standard, for several reasons.</w:t>
      </w:r>
    </w:p>
    <w:p>
      <w:r>
        <w:rPr>
          <w:color w:val="777777"/>
          <w:sz w:val="16"/>
        </w:rPr>
        <w:t xml:space="preserve">p087 · att1 p.9  </w:t>
      </w:r>
      <w:r>
        <w:t>It is unmeasured — there is no reliable characterization of median clinician performance for most tasks a</w:t>
      </w:r>
    </w:p>
    <w:p>
      <w:r>
        <w:rPr>
          <w:color w:val="777777"/>
          <w:sz w:val="16"/>
        </w:rPr>
        <w:t xml:space="preserve">p088 · att1 p.9  </w:t>
      </w:r>
      <w:r>
        <w:t>GenAI device would perform, so the comparator would in practice be a convenience sample presented as a population parameter. It is a moving target, and one that a widely adopted device would itself move. Most importantly, it anchors the acceptable bar to observed practice variation rather than to patient benefit: where median practice is poor, the standard licenses a device that is also poor, and the patient in front of that device receives no protection from the fact that the alternative was equally bad.</w:t>
      </w:r>
    </w:p>
    <w:p>
      <w:r>
        <w:rPr>
          <w:color w:val="777777"/>
          <w:sz w:val="16"/>
        </w:rPr>
        <w:t xml:space="preserve">p089 · att1 p.9  </w:t>
      </w:r>
      <w:r>
        <w:t>The better construction, in my view, has two parts: 1.</w:t>
      </w:r>
    </w:p>
    <w:p>
      <w:r>
        <w:rPr>
          <w:color w:val="777777"/>
          <w:sz w:val="16"/>
        </w:rPr>
        <w:t xml:space="preserve">p090 · att1 p.9  </w:t>
      </w:r>
      <w:r>
        <w:t>Prespecified clinical acceptance criteria derived from the consequence of the decision. What performance is required for this device, in this use, to be safe and effective, given what happens when it is wrong? This is a clinical and normative judgment, it should be made in advance and defended, and it is the judgment the acceptance decision actually turns on.</w:t>
      </w:r>
    </w:p>
    <w:p>
      <w:r>
        <w:rPr>
          <w:color w:val="777777"/>
          <w:sz w:val="16"/>
        </w:rPr>
        <w:t xml:space="preserve">p091 · att1 p.9  </w:t>
      </w:r>
      <w:r>
        <w:t>2.</w:t>
      </w:r>
    </w:p>
    <w:p>
      <w:r>
        <w:rPr>
          <w:color w:val="777777"/>
          <w:sz w:val="16"/>
        </w:rPr>
        <w:t xml:space="preserve">p092 · att1 p.9  </w:t>
      </w:r>
      <w:r>
        <w:t>A clinician panel as an adjudication instrument, not as the bar. Panels are essential for open-ended outputs, where automated scoring is inadequate. But a panel is a measurement instrument, and it should be validated and reported as one: prespecified composition and qualifications, prespecified size with justification, a written adjudication protocol, blinding to output source where feasible, measured and reported inter-rater reliability, and a prespecified procedure for resolving disagreement. A panel with unreported inter-rater reliability is an uncharacterized instrument, and evidence generated by an uncharacterized instrument should not gate a marketing decision. This is standard practice in reader studies and should carry over without modification.</w:t>
      </w:r>
    </w:p>
    <w:p>
      <w:r>
        <w:rPr>
          <w:color w:val="777777"/>
          <w:sz w:val="16"/>
        </w:rPr>
        <w:t xml:space="preserve">p093 · att1 p.10  </w:t>
      </w:r>
      <w:r>
        <w:t>On generalist versus specialist: the comparator should match the labeled intended user, subject to my comment under Question 4 regarding foreseeable use. A device labeled for primary care benchmarked against subspecialists is being measured against a standard its users do not represent — which may overstate or understate the device’s contribution depending on direction, and in either case measures the wrong thing.</w:t>
      </w:r>
    </w:p>
    <w:p>
      <w:r>
        <w:rPr>
          <w:color w:val="777777"/>
          <w:sz w:val="16"/>
        </w:rPr>
        <w:t xml:space="preserve">p094 · att1 p.10  </w:t>
      </w:r>
      <w:r>
        <w:t>On human-AI team performance: where the labeling requires human review, team performance should be the primary basis of evaluation, and standalone device performance should be supporting evidence only.</w:t>
      </w:r>
    </w:p>
    <w:p>
      <w:r>
        <w:rPr>
          <w:color w:val="777777"/>
          <w:sz w:val="16"/>
        </w:rPr>
        <w:t xml:space="preserve">p095 · att1 p.10  </w:t>
      </w:r>
      <w:r>
        <w:t>Evaluating the device in isolation when it will never be used in isolation measures a configuration that does not exist. I would add that team evaluation must be designed to detect automation bias — the tendency of reviewers to defer to a confident output — which is a principal mechanism by which human-in-the-loop safeguards fail. A team evaluation that does not include cases where the device is confidently wrong will systematically overstate the safeguard’s value.</w:t>
      </w:r>
    </w:p>
    <w:p>
      <w:r>
        <w:rPr>
          <w:color w:val="777777"/>
          <w:sz w:val="16"/>
        </w:rPr>
        <w:t xml:space="preserve">p096 · att1 p.10  </w:t>
      </w:r>
      <w:r>
        <w:t>Question 15 — Counterfactual comparators — I support permitting comparison to the care that would occur absent the device, and I think the paper is right that this is often the clinically meaningful question. For access-expanding devices, the true alternative is frequently no assessment at all, delayed assessment, or assessment by a less qualified party, and holding such a device to a specialist standard can foreclose a real benefit.</w:t>
      </w:r>
    </w:p>
    <w:p>
      <w:r>
        <w:rPr>
          <w:color w:val="777777"/>
          <w:sz w:val="16"/>
        </w:rPr>
        <w:t xml:space="preserve">p097 · att1 p.10  </w:t>
      </w:r>
      <w:r>
        <w:t>Two safeguards should accompany it. First, the counterfactual must be empirically characterized for the specific deployment setting, not assumed — the claim that “nothing would otherwise happen” is an evidentiary claim about a care pathway and should be supported. Second, and more importantly, the comparator must travel with the labeling. A device authorized against a no-intervention counterfactual in a resource-limited setting has not been shown safe and effective as a substitute for specialist review in a resource-rich one, and the authorization should say so in terms an adopting institution can act on. Without this, counterfactual comparators become a low-bar entry route followed by scope creep that no one has evaluated.</w:t>
      </w:r>
    </w:p>
    <w:p>
      <w:r>
        <w:rPr>
          <w:color w:val="777777"/>
          <w:sz w:val="16"/>
        </w:rPr>
        <w:t xml:space="preserve">p098 · att1 p.10  </w:t>
      </w:r>
      <w:r>
        <w:t>Question 16 — Independent third parties — Third-party involvement is well suited to benchmark administration, escrow of held-out evaluation sets, and clinical adjudication — activities where independence from the sponsor is the substantive point.</w:t>
      </w:r>
    </w:p>
    <w:p>
      <w:r>
        <w:rPr>
          <w:color w:val="777777"/>
          <w:sz w:val="16"/>
        </w:rPr>
        <w:t xml:space="preserve">p099 · att1 p.10  </w:t>
      </w:r>
      <w:r>
        <w:t>The design risks are real and familiar from other accreditation regimes. I recommend:</w:t>
      </w:r>
    </w:p>
    <w:p>
      <w:r>
        <w:rPr>
          <w:color w:val="777777"/>
          <w:sz w:val="16"/>
        </w:rPr>
        <w:t xml:space="preserve">p100 · att1 p.10  </w:t>
      </w:r>
      <w:r>
        <w:t>• — Published recognition criteria for qualifying bodies, so recognition is not discretionary and entry is contestable.</w:t>
      </w:r>
    </w:p>
    <w:p>
      <w:r>
        <w:rPr>
          <w:color w:val="777777"/>
          <w:sz w:val="16"/>
        </w:rPr>
        <w:t xml:space="preserve">p101 · att1 p.11  </w:t>
      </w:r>
      <w:r>
        <w:t>• — Strict separation of advisory and assessment roles. An entity that advised a sponsor on device development, benchmark design, or submission strategy must not assess that device. This is elementary quality-system independence and should be stated as a disqualification, not a disclosure.</w:t>
      </w:r>
    </w:p>
    <w:p>
      <w:r>
        <w:rPr>
          <w:color w:val="777777"/>
          <w:sz w:val="16"/>
        </w:rPr>
        <w:t xml:space="preserve">p102 · att1 p.11  </w:t>
      </w:r>
      <w:r>
        <w:t>• — Public disclosure of financial relationships between assessing bodies and sponsors, including aggregate revenue concentration — a body deriving most of its revenue from a small number of sponsors is not independent in any meaningful sense regardless of per-engagement firewalls.</w:t>
      </w:r>
    </w:p>
    <w:p>
      <w:r>
        <w:rPr>
          <w:color w:val="777777"/>
          <w:sz w:val="16"/>
        </w:rPr>
        <w:t xml:space="preserve">p103 · att1 p.11  </w:t>
      </w:r>
      <w:r>
        <w:t>• — A preserved first-party pathway. Third-party assessment should be an option that reduces review friction, never a mandatory gate. Making it mandatory converts recognized bodies into rent-collecting chokepoints and disproportionately burdens smaller developers, which is a competition harm and, over time, a safety harm through reduced diversity of approaches.</w:t>
      </w:r>
    </w:p>
    <w:p>
      <w:r>
        <w:rPr>
          <w:color w:val="777777"/>
          <w:sz w:val="16"/>
        </w:rPr>
        <w:t xml:space="preserve">p104 · att1 p.11  </w:t>
      </w:r>
      <w:r>
        <w:t>I would also flag that third-party assessment capacity for generative medical devices does not currently exist at scale in any form I am aware of. If CDRH intends third parties to play a significant role, the paper should acknowledge the capacity-building timeline, because a framework that depends on institutions that do not yet exist will not be operable on the timeline the technology is moving.</w:t>
      </w:r>
    </w:p>
    <w:p>
      <w:r>
        <w:rPr>
          <w:color w:val="777777"/>
          <w:sz w:val="16"/>
        </w:rPr>
        <w:t xml:space="preserve">p105 · att1 p.11  </w:t>
      </w:r>
      <w:r>
        <w:t>Question 17 — Other model architectures — I would encourage caution in extending the framework by analogy. The competency-based approach is workable for language-centric devices in part because a meaningful, if flawed, ecosystem of language benchmarks exists. For multimodal vision-language models and generative or predictive world models, the benchmarking assets are substantially thinner, and I do not have verified information on what is currently available for clinical use cases in these modalities.</w:t>
      </w:r>
    </w:p>
    <w:p>
      <w:r>
        <w:rPr>
          <w:color w:val="777777"/>
          <w:sz w:val="16"/>
        </w:rPr>
        <w:t xml:space="preserve">p106 · att1 p.11  </w:t>
      </w:r>
      <w:r>
        <w:t>The structural implication is that where benchmarking assets are immature, clinical confirmation must carry proportionally more weight. I recommend CDRH state this scaling principle explicitly rather than allowing a uniform framework to imply that a thin benchmarking record is as informative as a rich one.</w:t>
      </w:r>
    </w:p>
    <w:p>
      <w:r>
        <w:rPr>
          <w:color w:val="777777"/>
          <w:sz w:val="16"/>
        </w:rPr>
        <w:t xml:space="preserve">p107 · att1 p.11  </w:t>
      </w:r>
      <w:r>
        <w:t>Otherwise the framework’s evidentiary flexibility will be claimed most aggressively exactly where the underlying evidence base is weakest.</w:t>
      </w:r>
    </w:p>
    <w:p>
      <w:r>
        <w:rPr>
          <w:color w:val="777777"/>
          <w:sz w:val="16"/>
        </w:rPr>
        <w:t xml:space="preserve">p108 · att1 p.11  </w:t>
      </w:r>
      <w:r>
        <w:t>III. Postmarket monitoring (Section VI; Questions 18–24) — Question 18 — Trading premarket evidence for postmarket monitoring</w:t>
      </w:r>
    </w:p>
    <w:p>
      <w:r>
        <w:rPr>
          <w:color w:val="777777"/>
          <w:sz w:val="16"/>
        </w:rPr>
        <w:t xml:space="preserve">p109 · att1 p.11  </w:t>
      </w:r>
      <w:r>
        <w:t>This is an appealing proposition and it may be the right direction, but I want to register a concern grounded in how postmarket commitments have historically performed.</w:t>
      </w:r>
    </w:p>
    <w:p>
      <w:r>
        <w:rPr>
          <w:color w:val="777777"/>
          <w:sz w:val="16"/>
        </w:rPr>
        <w:t xml:space="preserve">p110 · att1 p.11  </w:t>
      </w:r>
      <w:r>
        <w:t>The general pattern across regulated products is that postmarket obligations are less reliably fulfilled than premarket ones — completion is slower, enforcement is resource-intensive, and passive surveillance systems depend on reporting behavior that is uneven. I do not have current verified figures on postmarket study completion rates or software-related adverse event reporting rates, and I would encourage CDRH to publish its own data on this before relying on postmarket monitoring as a substitute for premarket evidence. If the data show that postmarket obligations for software devices are reliably met, that materially strengthens the case; if they do not, the paper’s proposal transfers risk to patients in exchange for an obligation that may not be discharged.</w:t>
      </w:r>
    </w:p>
    <w:p>
      <w:r>
        <w:rPr>
          <w:color w:val="777777"/>
          <w:sz w:val="16"/>
        </w:rPr>
        <w:t xml:space="preserve">p111 · att1 p.12  </w:t>
      </w:r>
      <w:r>
        <w:t>Conditions I would consider necessary: • — The monitoring program must be an enforceable condition of authorization, with prespecified triggers and prespecified consequences — including suspension of marketing — that attach automatically rather than through a discretionary enforcement decision. A commitment is not a control.</w:t>
      </w:r>
    </w:p>
    <w:p>
      <w:r>
        <w:rPr>
          <w:color w:val="777777"/>
          <w:sz w:val="16"/>
        </w:rPr>
        <w:t xml:space="preserve">p112 · att1 p.12  </w:t>
      </w:r>
      <w:r>
        <w:t>• — The sponsor must demonstrate technical capability to observe the endpoint. Many GenAI devices have no linkage between an output and any recorded clinical outcome. Where the sponsor cannot show a data pathway from output to observable consequence, the monitoring program is aspirational and cannot justify reduced premarket evidence. This should be an explicit gating question.</w:t>
      </w:r>
    </w:p>
    <w:p>
      <w:r>
        <w:rPr>
          <w:color w:val="777777"/>
          <w:sz w:val="16"/>
        </w:rPr>
        <w:t xml:space="preserve">p113 · att1 p.12  </w:t>
      </w:r>
      <w:r>
        <w:t>• — Detection latency must be shorter than harm accumulation. Where a degradation would produce harm faster than the monitoring cadence could detect it, the trade is unavailable regardless of program quality.</w:t>
      </w:r>
    </w:p>
    <w:p>
      <w:r>
        <w:rPr>
          <w:color w:val="777777"/>
          <w:sz w:val="16"/>
        </w:rPr>
        <w:t xml:space="preserve">p114 · att1 p.12  </w:t>
      </w:r>
      <w:r>
        <w:t>• — Irreversibility forecloses the trade. Where the harm from an incorrect output cannot be undone, postmarket detection is not a mitigation — it is an audit of damage already done.</w:t>
      </w:r>
    </w:p>
    <w:p>
      <w:r>
        <w:rPr>
          <w:color w:val="777777"/>
          <w:sz w:val="16"/>
        </w:rPr>
        <w:t xml:space="preserve">p115 · att1 p.12  </w:t>
      </w:r>
      <w:r>
        <w:t>I recommend CDRH state affirmatively that reduced premarket evidence is not available for devices in the high-consequence, high-activity region of the risk grid, so that the flexibility is bounded on its face.</w:t>
      </w:r>
    </w:p>
    <w:p>
      <w:r>
        <w:rPr>
          <w:color w:val="777777"/>
          <w:sz w:val="16"/>
        </w:rPr>
        <w:t xml:space="preserve">p116 · att1 p.12  </w:t>
      </w:r>
      <w:r>
        <w:t>Question 19 — Approaches and cadence — The three approaches described are sensible and complementary. My substantive recommendation concerns cadence: it should be event-driven with a calendar floor, not calendar-driven.</w:t>
      </w:r>
    </w:p>
    <w:p>
      <w:r>
        <w:rPr>
          <w:color w:val="777777"/>
          <w:sz w:val="16"/>
        </w:rPr>
        <w:t xml:space="preserve">p117 · att1 p.12  </w:t>
      </w:r>
      <w:r>
        <w:t>Calendar-based reassessment is poorly matched to a technology whose performance changes discontinuously at the moment of a change rather than continuously with time. I recommend triggering events include, at minimum: any change to the underlying model version or weights, whether initiated by the manufacturer or the model provider; any change to system prompts, instructions, or output templates; any change to a retrieval corpus or knowledge source; any measured shift in the input distribution beyond prespecified bounds; any change in the deployed sampling configuration; and any accumulation of complaints or adjudicated errors exceeding a prespecified threshold. A calendar floor — annual, or more frequent for higher-risk devices — should catch slow drift that trips no discrete trigger.</w:t>
      </w:r>
    </w:p>
    <w:p>
      <w:r>
        <w:rPr>
          <w:color w:val="777777"/>
          <w:sz w:val="16"/>
        </w:rPr>
        <w:t xml:space="preserve">p118 · att1 p.12  </w:t>
      </w:r>
      <w:r>
        <w:t>From a quality-system perspective these should be defined as change-control triggers within the manufacturer’s QMS, so that the postmarket monitoring obligation is integrated with existing design-change procedures rather than maintained as a separate process. Parallel processes diverge.</w:t>
      </w:r>
    </w:p>
    <w:p>
      <w:r>
        <w:rPr>
          <w:color w:val="777777"/>
          <w:sz w:val="16"/>
        </w:rPr>
        <w:t xml:space="preserve">p119 · att1 p.12  </w:t>
      </w:r>
      <w:r>
        <w:t>Question 20 — Machine-based supervisory agents — Automated supervision is probably unavoidable at the volumes involved — human review of every output is not feasible for a high-throughput device — so the question is how to make it trustworthy rather than whether to permit it.</w:t>
      </w:r>
    </w:p>
    <w:p>
      <w:r>
        <w:rPr>
          <w:color w:val="777777"/>
          <w:sz w:val="16"/>
        </w:rPr>
        <w:t xml:space="preserve">p120 · att1 p.13  </w:t>
      </w:r>
      <w:r>
        <w:t>The dominant risk is correlated failure. A supervisory agent built on the same foundation model as the device it monitors shares that model’s blind spots. It will approve exactly the outputs that are wrong for reasons the model family does not represent, and its agreement will be misread as independent confirmation.</w:t>
      </w:r>
    </w:p>
    <w:p>
      <w:r>
        <w:rPr>
          <w:color w:val="777777"/>
          <w:sz w:val="16"/>
        </w:rPr>
        <w:t xml:space="preserve">p121 · att1 p.13  </w:t>
      </w:r>
      <w:r>
        <w:t>This is not a hypothetical: it is the direct consequence of shared training data and architecture, and it means a same-model supervisor’s clean report carries close to zero information about the failures that matter most.</w:t>
      </w:r>
    </w:p>
    <w:p>
      <w:r>
        <w:rPr>
          <w:color w:val="777777"/>
          <w:sz w:val="16"/>
        </w:rPr>
        <w:t xml:space="preserve">p122 · att1 p.13  </w:t>
      </w:r>
      <w:r>
        <w:t>I recommend: • — Architectural independence as a condition of evidentiary use. A supervisory agent offered as postmarket evidence should be built on a model of a different family and provider than the supervised device. Where full independence is impractical, the sponsor should characterize and report the correlation in failure modes between supervisor and device on a held-out error set, and the monitoring program’s credit should scale with the demonstrated independence.</w:t>
      </w:r>
    </w:p>
    <w:p>
      <w:r>
        <w:rPr>
          <w:color w:val="777777"/>
          <w:sz w:val="16"/>
        </w:rPr>
        <w:t xml:space="preserve">p123 · att1 p.13  </w:t>
      </w:r>
      <w:r>
        <w:t>• — The supervisor is itself a measuring instrument and must be validated as one. Report its sensitivity for the specific harms of interest against human adjudication on a sampled basis — not aggregate agreement, which is dominated by the easy majority of correct outputs and can be high while sensitivity for serious errors is near zero. Sensitivity must be re-measured over time, since the supervisor’s own performance drifts.</w:t>
      </w:r>
    </w:p>
    <w:p>
      <w:r>
        <w:rPr>
          <w:color w:val="777777"/>
          <w:sz w:val="16"/>
        </w:rPr>
        <w:t xml:space="preserve">p124 · att1 p.13  </w:t>
      </w:r>
      <w:r>
        <w:t>• — The supervisor triages; it does not conclude. Its appropriate role is prioritizing outputs for human review and enabling broader sampling than humans could achieve unaided. The adjudicated endpoint should remain human. A monitoring program whose terminal judgment is machine-made has no independent check anywhere in the loop.</w:t>
      </w:r>
    </w:p>
    <w:p>
      <w:r>
        <w:rPr>
          <w:color w:val="777777"/>
          <w:sz w:val="16"/>
        </w:rPr>
        <w:t xml:space="preserve">p125 · att1 p.13  </w:t>
      </w:r>
      <w:r>
        <w:t>• — The supervisor is part of the device system for change-control purposes. A change to the supervisory agent changes the device’s monitoring properties and should trigger reassessment on the same terms as a change to the device.</w:t>
      </w:r>
    </w:p>
    <w:p>
      <w:r>
        <w:rPr>
          <w:color w:val="777777"/>
          <w:sz w:val="16"/>
        </w:rPr>
        <w:t xml:space="preserve">p126 · att1 p.13  </w:t>
      </w:r>
      <w:r>
        <w:t>Question 21 — Ecosystem roles and manufacturer accountability — The accountability principle can be stated simply, and I recommend CDRH state it: information may come from anywhere; the duty to investigate and act remains with the manufacturer. Clinicians, institutions, and societies can be valuable sources of signal, and health systems in particular hold the outcome data manufacturers lack. But a manufacturer that has arranged to receive signal from third parties has not thereby delegated any portion of its complaint-handling, investigation, or reporting obligations, and the paper should say so directly to prevent the shared-ecosystem framing from being read as shared responsibility.</w:t>
      </w:r>
    </w:p>
    <w:p>
      <w:r>
        <w:rPr>
          <w:color w:val="777777"/>
          <w:sz w:val="16"/>
        </w:rPr>
        <w:t xml:space="preserve">p127 · att1 p.13  </w:t>
      </w:r>
      <w:r>
        <w:t>I recommend building on the existing complaint-handling and MDR architecture rather than creating a parallel structure. That said, I want to flag a gap that I believe requires attention before postmarket monitoring can function at all for these devices:</w:t>
      </w:r>
    </w:p>
    <w:p>
      <w:r>
        <w:rPr>
          <w:color w:val="777777"/>
          <w:sz w:val="16"/>
        </w:rPr>
        <w:t xml:space="preserve">p128 · att1 p.13  </w:t>
      </w:r>
      <w:r>
        <w:t>It is currently unclear what constitutes a reportable event for a generative output. If a device produces a clinically incorrect recommendation and the clinician recognizes and disregards it, has a device malfunction occurred? Under a conventional reading, the device did not perform as intended, and a malfunction that could cause or contribute to serious injury if it recurred is reportable — which would imply that hallucinations caught by users are reportable events. I do not believe manufacturers are currently operating on that reading, and I do not believe the volume would be manageable if they did. But the alternative reading — that only outputs resulting in actual harm are reportable — discards precisely the near-miss data that would make postmarket monitoring effective, and near-miss data is the most valuable signal any surveillance system collects.</w:t>
      </w:r>
    </w:p>
    <w:p>
      <w:r>
        <w:rPr>
          <w:color w:val="777777"/>
          <w:sz w:val="16"/>
        </w:rPr>
        <w:t xml:space="preserve">p129 · att1 p.14  </w:t>
      </w:r>
      <w:r>
        <w:t>This ambiguity is consequential and unresolved, and every element of Section VI depends on how it is settled. I recommend CDRH address it directly, and would suggest that the workable answer likely involves a distinct, aggregate reporting channel for caught errors — reported as rates rather than as individual MDRs — so that the signal is preserved without generating unmanageable individual-event volume.</w:t>
      </w:r>
    </w:p>
    <w:p>
      <w:r>
        <w:rPr>
          <w:color w:val="777777"/>
          <w:sz w:val="16"/>
        </w:rPr>
        <w:t xml:space="preserve">p130 · att1 p.14  </w:t>
      </w:r>
      <w:r>
        <w:t>Question 22 — Scaling re-evaluation to modifications — I support using the premarket competency assessment as a locked baseline. The organizing principle I would propose for categorizing changes is this: the question is not how large the change is, but whether the locked evaluation instrument remains valid for the changed device. A small change that invalidates the benchmark suite requires more scrutiny than a large change that does not.</w:t>
      </w:r>
    </w:p>
    <w:p>
      <w:r>
        <w:rPr>
          <w:color w:val="777777"/>
          <w:sz w:val="16"/>
        </w:rPr>
        <w:t xml:space="preserve">p131 · att1 p.14  </w:t>
      </w:r>
      <w:r>
        <w:t>Applying that principle, a tiered structure might look like: Tier 1 — no re-benchmarking. Changes that cannot affect device outputs: user interface presentation, logging, analytics instrumentation, infrastructure changes with no path to the output. Documented under normal change control.</w:t>
      </w:r>
    </w:p>
    <w:p>
      <w:r>
        <w:rPr>
          <w:color w:val="777777"/>
          <w:sz w:val="16"/>
        </w:rPr>
        <w:t xml:space="preserve">p132 · att1 p.14  </w:t>
      </w:r>
      <w:r>
        <w:t>Tier 2 — full re-benchmarking against the locked suite, managed within the QMS, no premarket submission. Model version updates within the same family and provider; prompt or template modifications within a validated structure; retrieval corpus refreshes drawing on a validated source list; sampling configuration changes within a validated range. The condition is that the device passes the complete locked benchmark suite at a prespecified non-inferiority margin, with results documented and available on inspection. Failure at any element converts the change to Tier 3.</w:t>
      </w:r>
    </w:p>
    <w:p>
      <w:r>
        <w:rPr>
          <w:color w:val="777777"/>
          <w:sz w:val="16"/>
        </w:rPr>
        <w:t xml:space="preserve">p133 · att1 p.14  </w:t>
      </w:r>
      <w:r>
        <w:t>Tier 3 — premarket submission. Change of foundation model family or provider; expansion of intended use, intended user, or clinical scope; addition of a new input or output modality; any change to agentic tool access or action scope; and any change for which the locked benchmark suite is no longer a valid instrument</w:t>
      </w:r>
    </w:p>
    <w:p>
      <w:r>
        <w:rPr>
          <w:color w:val="777777"/>
          <w:sz w:val="16"/>
        </w:rPr>
        <w:t xml:space="preserve">p134 · att1 p.14  </w:t>
      </w:r>
      <w:r>
        <w:t>— for example, a change that introduces capabilities the suite does not probe.</w:t>
      </w:r>
    </w:p>
    <w:p>
      <w:r>
        <w:rPr>
          <w:color w:val="777777"/>
          <w:sz w:val="16"/>
        </w:rPr>
        <w:t xml:space="preserve">p135 · att1 p.14  </w:t>
      </w:r>
      <w:r>
        <w:t>The essential safeguard is that the benchmark suite itself cannot be modified within Tier 2. If the sponsor can revise the instrument and the device together, non-inferiority against the revised instrument is meaningless. Modification of the locked suite should always be a Tier 3 event.</w:t>
      </w:r>
    </w:p>
    <w:p>
      <w:r>
        <w:rPr>
          <w:color w:val="777777"/>
          <w:sz w:val="16"/>
        </w:rPr>
        <w:t xml:space="preserve">p136 · att1 p.14  </w:t>
      </w:r>
      <w:r>
        <w:t>Question 23 — PCCPs when modifications cannot be prespecified — This is the right question and I think it admits a clean answer, which is the most useful thing I can offer in this comment.</w:t>
      </w:r>
    </w:p>
    <w:p>
      <w:r>
        <w:rPr>
          <w:color w:val="777777"/>
          <w:sz w:val="16"/>
        </w:rPr>
        <w:t xml:space="preserve">p137 · att1 p.15  </w:t>
      </w:r>
      <w:r>
        <w:t>The current PCCP construct prespecifies what will change — the modification, the methods to implement and validate it, the impact assessment. For generative devices this fails, not because sponsors are unwilling but because the change space is genuinely open: a sponsor cannot enumerate in advance the model versions a provider will release or the prompt refinements that experience will suggest.</w:t>
      </w:r>
    </w:p>
    <w:p>
      <w:r>
        <w:rPr>
          <w:color w:val="777777"/>
          <w:sz w:val="16"/>
        </w:rPr>
        <w:t xml:space="preserve">p138 · att1 p.15  </w:t>
      </w:r>
      <w:r>
        <w:t>The adaptation is to invert what is locked. An invariant-based PCCP prespecifies not the change but what must remain true after any change:</w:t>
      </w:r>
    </w:p>
    <w:p>
      <w:r>
        <w:rPr>
          <w:color w:val="777777"/>
          <w:sz w:val="16"/>
        </w:rPr>
        <w:t xml:space="preserve">p139 · att1 p.15  </w:t>
      </w:r>
      <w:r>
        <w:t>• — The evaluation instrument — the complete benchmark suite, escrowed and immutable.</w:t>
      </w:r>
    </w:p>
    <w:p>
      <w:r>
        <w:rPr>
          <w:color w:val="777777"/>
          <w:sz w:val="16"/>
        </w:rPr>
        <w:t xml:space="preserve">p140 · att1 p.15  </w:t>
      </w:r>
      <w:r>
        <w:t>• — The acceptance thresholds, including subgroup-level thresholds and the non-inferiority margin.</w:t>
      </w:r>
    </w:p>
    <w:p>
      <w:r>
        <w:rPr>
          <w:color w:val="777777"/>
          <w:sz w:val="16"/>
        </w:rPr>
        <w:t xml:space="preserve">p141 · att1 p.15  </w:t>
      </w:r>
      <w:r>
        <w:t>• — The verification protocol — what is run, in what order, by whom, with what independence, before any change reaches users.</w:t>
      </w:r>
    </w:p>
    <w:p>
      <w:r>
        <w:rPr>
          <w:color w:val="777777"/>
          <w:sz w:val="16"/>
        </w:rPr>
        <w:t xml:space="preserve">p142 · att1 p.15  </w:t>
      </w:r>
      <w:r>
        <w:t>• — The rollback criteria and mechanism, including maximum time-to-rollback and the technical demonstration that rollback is achievable.</w:t>
      </w:r>
    </w:p>
    <w:p>
      <w:r>
        <w:rPr>
          <w:color w:val="777777"/>
          <w:sz w:val="16"/>
        </w:rPr>
        <w:t xml:space="preserve">p143 · att1 p.15  </w:t>
      </w:r>
      <w:r>
        <w:t>• — The change categories in scope, defined by the Tier 2 boundary above rather than by enumeration of specific changes.</w:t>
      </w:r>
    </w:p>
    <w:p>
      <w:r>
        <w:rPr>
          <w:color w:val="777777"/>
          <w:sz w:val="16"/>
        </w:rPr>
        <w:t xml:space="preserve">p144 · att1 p.15  </w:t>
      </w:r>
      <w:r>
        <w:t>• — The documentation and notification obligations attaching to each change.</w:t>
      </w:r>
    </w:p>
    <w:p>
      <w:r>
        <w:rPr>
          <w:color w:val="777777"/>
          <w:sz w:val="16"/>
        </w:rPr>
        <w:t xml:space="preserve">p145 · att1 p.15  </w:t>
      </w:r>
      <w:r>
        <w:t>Under this structure a sponsor may make any change falling within the scoped categories, provided the changed device passes the locked evaluation at the locked thresholds under the locked protocol, with everything documented and inspectable. The sponsor gains the operational flexibility the technology requires.</w:t>
      </w:r>
    </w:p>
    <w:p>
      <w:r>
        <w:rPr>
          <w:color w:val="777777"/>
          <w:sz w:val="16"/>
        </w:rPr>
        <w:t xml:space="preserve">p146 · att1 p.15  </w:t>
      </w:r>
      <w:r>
        <w:t>CDRH retains a fixed, auditable gate that does not move.</w:t>
      </w:r>
    </w:p>
    <w:p>
      <w:r>
        <w:rPr>
          <w:color w:val="777777"/>
          <w:sz w:val="16"/>
        </w:rPr>
        <w:t xml:space="preserve">p147 · att1 p.15  </w:t>
      </w:r>
      <w:r>
        <w:t>The construct depends entirely on the integrity of the locked instrument. If the sponsor can modify the benchmark suite while modifying the device, the whole thing is circular and provides no assurance at all.</w:t>
      </w:r>
    </w:p>
    <w:p>
      <w:r>
        <w:rPr>
          <w:color w:val="777777"/>
          <w:sz w:val="16"/>
        </w:rPr>
        <w:t xml:space="preserve">p148 · att1 p.15  </w:t>
      </w:r>
      <w:r>
        <w:t>Escrow of the suite, and Tier 3 treatment of any change to it, are not optional features of this proposal — they are the proposal.</w:t>
      </w:r>
    </w:p>
    <w:p>
      <w:r>
        <w:rPr>
          <w:color w:val="777777"/>
          <w:sz w:val="16"/>
        </w:rPr>
        <w:t xml:space="preserve">p149 · att1 p.15  </w:t>
      </w:r>
      <w:r>
        <w:t>Question 24 — Third-party model changes initiated by the model developer — In my assessment this is the most significant unaddressed gap in the current regulatory picture, and I am glad the paper names it.</w:t>
      </w:r>
    </w:p>
    <w:p>
      <w:r>
        <w:rPr>
          <w:color w:val="777777"/>
          <w:sz w:val="16"/>
        </w:rPr>
        <w:t xml:space="preserve">p150 · att1 p.15  </w:t>
      </w:r>
      <w:r>
        <w:t>My understanding of prevailing commercial practice — which I would encourage CDRH to verify directly with model providers, as it varies by provider and is changing quickly — is that hosted model endpoints are frequently updated without individualized customer notice; that version pinning is offered inconsistently and often with limited-duration guarantees; and that pinned versions are deprecated on provider-determined timelines that may be shorter than a device lifecycle. If that characterization is broadly accurate, then a device manufacturer relying on a hosted third-party endpoint may have its device’s behavior changed without its knowledge and without any mechanism to detect the change, which is not a condition any quality system can accommodate.</w:t>
      </w:r>
    </w:p>
    <w:p>
      <w:r>
        <w:rPr>
          <w:color w:val="777777"/>
          <w:sz w:val="16"/>
        </w:rPr>
        <w:t xml:space="preserve">p151 · att1 p.15  </w:t>
      </w:r>
      <w:r>
        <w:t>I recommend: Treat version pinning as a design control expectation. CDRH should state that a GenAI-enabled device relying on a third-party model is expected to execute against a pinned, version-identified model endpoint, and that the inability to pin — or reliance on a provider that does not offer pinning with change notice — is a design deficiency to be addressed, not a residual risk to be accepted. This is the single highest-leverage statement CDRH could make in this area, and it would immediately reshape provider offerings in the medical device segment.</w:t>
      </w:r>
    </w:p>
    <w:p>
      <w:r>
        <w:rPr>
          <w:color w:val="777777"/>
          <w:sz w:val="16"/>
        </w:rPr>
        <w:t xml:space="preserve">p152 · att1 p.16  </w:t>
      </w:r>
      <w:r>
        <w:t>Require contractual change notice with a defined minimum period, sufficient to complete the Tier 2 re- benchmarking described above before a change takes effect, together with a minimum deprecation window for pinned versions.</w:t>
      </w:r>
    </w:p>
    <w:p>
      <w:r>
        <w:rPr>
          <w:color w:val="777777"/>
          <w:sz w:val="16"/>
        </w:rPr>
        <w:t xml:space="preserve">p153 · att1 p.16  </w:t>
      </w:r>
      <w:r>
        <w:t>Require continuous canary monitoring, because contracts cannot be verified in real time. A small, fixed probe suite — a set of inputs with known expected outputs — executed against the live endpoint at high frequency provides direct detection of silent upstream change. This is inexpensive, technically straightforward, and the only mechanism I am aware of that verifies rather than assumes endpoint stability. I recommend CDRH describe it as an expected element of postmarket monitoring for any device on a third- party hosted model.</w:t>
      </w:r>
    </w:p>
    <w:p>
      <w:r>
        <w:rPr>
          <w:color w:val="777777"/>
          <w:sz w:val="16"/>
        </w:rPr>
        <w:t xml:space="preserve">p154 · att1 p.16  </w:t>
      </w:r>
      <w:r>
        <w:t>Treat provider-forced migration as a Tier 3 change. When a provider deprecates a pinned version and the manufacturer must migrate, the resulting device is running on a different model. That it was involuntary does not change what it is, and the paper should foreclose the argument that forced migrations warrant lighter treatment. Manufacturers should be expected to plan for this contingency — including maintaining a validated fallback — as part of design planning rather than handling it as an emergency.</w:t>
      </w:r>
    </w:p>
    <w:p>
      <w:r>
        <w:rPr>
          <w:color w:val="777777"/>
          <w:sz w:val="16"/>
        </w:rPr>
        <w:t xml:space="preserve">p155 · att1 p.16  </w:t>
      </w:r>
      <w:r>
        <w:t>I would also note that this is where a Foundation Model MAF (Question 25) would deliver the most value: a standing, current record of a model’s versioning, deprecation, and change-notification practices would let</w:t>
      </w:r>
    </w:p>
    <w:p>
      <w:r>
        <w:rPr>
          <w:color w:val="777777"/>
          <w:sz w:val="16"/>
        </w:rPr>
        <w:t xml:space="preserve">p156 · att1 p.16  </w:t>
      </w:r>
      <w:r>
        <w:t>CDRH and manufacturers assess dependency risk directly rather than by inference.</w:t>
      </w:r>
    </w:p>
    <w:p>
      <w:r>
        <w:rPr>
          <w:color w:val="777777"/>
          <w:sz w:val="16"/>
        </w:rPr>
        <w:t xml:space="preserve">p157 · att1 p.16  </w:t>
      </w:r>
      <w:r>
        <w:t>IV. Other topics (Section VII; Questions 25–26) — Question 25 — Voluntary Foundation Model Master Files</w:t>
      </w:r>
    </w:p>
    <w:p>
      <w:r>
        <w:rPr>
          <w:color w:val="777777"/>
          <w:sz w:val="16"/>
        </w:rPr>
        <w:t xml:space="preserve">p158 · att1 p.16  </w:t>
      </w:r>
      <w:r>
        <w:t>The paper’s candor about the incentive problem is warranted. Foundation model developers serve markets in which medical devices are a small fraction of revenue; disclosure of safety-relevant limitations carries competitive and litigation exposure; and a voluntary program asking them to document weaknesses for a regulator overseeing someone else’s product is unlikely to attract broad participation on its own merits.</w:t>
      </w:r>
    </w:p>
    <w:p>
      <w:r>
        <w:rPr>
          <w:color w:val="777777"/>
          <w:sz w:val="16"/>
        </w:rPr>
        <w:t xml:space="preserve">p159 · att1 p.16  </w:t>
      </w:r>
      <w:r>
        <w:t>I nonetheless recommend CDRH create it, because the mechanism that makes it work is not the model developer’s incentive — it is the device manufacturer’s.</w:t>
      </w:r>
    </w:p>
    <w:p>
      <w:r>
        <w:rPr>
          <w:color w:val="777777"/>
          <w:sz w:val="16"/>
        </w:rPr>
        <w:t xml:space="preserve">p160 · att1 p.16  </w:t>
      </w:r>
      <w:r>
        <w:t>Pair the voluntary MAF with a manufacturer-side default: where an MAF is absent, the device manufacturer bears the full characterization burden for the underlying model. Training data provenance to the extent determinable, contamination assessment, known failure modes, version and deprecation practices, subgroup performance characterization — all of it, generated independently at the manufacturer’s cost, or the submission is incomplete.</w:t>
      </w:r>
    </w:p>
    <w:p>
      <w:r>
        <w:rPr>
          <w:color w:val="777777"/>
          <w:sz w:val="16"/>
        </w:rPr>
        <w:t xml:space="preserve">p161 · att1 p.17  </w:t>
      </w:r>
      <w:r>
        <w:t>That default creates a procurement preference. Device manufacturers will strongly prefer model providers that maintain a current MAF, because the alternative is expensive and often technically impossible. Providers will then face a commercial reason to participate that has nothing to do with regulatory goodwill. This is how a voluntary program acquires teeth without new authority: it does not compel the model developer, it makes the device manufacturer want to compel them, and the device manufacturer is the party with the contract.</w:t>
      </w:r>
    </w:p>
    <w:p>
      <w:r>
        <w:rPr>
          <w:color w:val="777777"/>
          <w:sz w:val="16"/>
        </w:rPr>
        <w:t xml:space="preserve">p162 · att1 p.17  </w:t>
      </w:r>
      <w:r>
        <w:t>Suggested MAF content: model identity and version lineage; training data cutoff date (essential for the contamination analysis under Question 10); versioning, change notification, and deprecation policy (essential for Question 24); known limitations and documented failure modes; safety training and refusal behavior;</w:t>
      </w:r>
    </w:p>
    <w:p>
      <w:r>
        <w:rPr>
          <w:color w:val="777777"/>
          <w:sz w:val="16"/>
        </w:rPr>
        <w:t xml:space="preserve">p163 · att1 p.17  </w:t>
      </w:r>
      <w:r>
        <w:t>evaluation results the developer has generated; and any medical-domain-specific training or fine-tuning. A currency requirement — the MAF must be updated within a defined period of any model change — is what makes it useful rather than a snapshot.</w:t>
      </w:r>
    </w:p>
    <w:p>
      <w:r>
        <w:rPr>
          <w:color w:val="777777"/>
          <w:sz w:val="16"/>
        </w:rPr>
        <w:t xml:space="preserve">p164 · att1 p.17  </w:t>
      </w:r>
      <w:r>
        <w:t>I would add one caution: an MAF should never be treated as establishing the safety or effectiveness of any device built on the model. The paper’s statement that the unit of evaluation is the final user-facing device as configured for deployment is correct and important, and the MAF should be framed as context for that evaluation, not as a partial substitute for it.</w:t>
      </w:r>
    </w:p>
    <w:p>
      <w:r>
        <w:rPr>
          <w:color w:val="777777"/>
          <w:sz w:val="16"/>
        </w:rPr>
        <w:t xml:space="preserve">p165 · att1 p.17  </w:t>
      </w:r>
      <w:r>
        <w:t>Question 26 — Agentic AI systems — Agentic systems present at least four considerations that do not arise, or arise much less acutely, for non- agentic generative devices.</w:t>
      </w:r>
    </w:p>
    <w:p>
      <w:r>
        <w:rPr>
          <w:color w:val="777777"/>
          <w:sz w:val="16"/>
        </w:rPr>
        <w:t xml:space="preserve">p166 · att1 p.17  </w:t>
      </w:r>
      <w:r>
        <w:t>Trajectory-level acceptance criteria. Per-step performance is a misleading summary of end-to-end reliability. A device that completes each step correctly 95% of the time completes a ten-step task correctly about 60% of the time, and that arithmetic is unforgiving as sequences lengthen. Acceptance criteria must be stated at the level of the completed task, and evaluation must measure task completion rather than step accuracy. I recommend CDRH state this explicitly, because step-level metrics are far easier to generate and will otherwise be offered.</w:t>
      </w:r>
    </w:p>
    <w:p>
      <w:r>
        <w:rPr>
          <w:color w:val="777777"/>
          <w:sz w:val="16"/>
        </w:rPr>
        <w:t xml:space="preserve">p167 · att1 p.17  </w:t>
      </w:r>
      <w:r>
        <w:t>Action inventory with irreversibility classification. I recommend sponsors submit an enumerated inventory of every action the system can take — every tool, every write operation, every external system it can affect</w:t>
      </w:r>
    </w:p>
    <w:p>
      <w:r>
        <w:rPr>
          <w:color w:val="777777"/>
          <w:sz w:val="16"/>
        </w:rPr>
        <w:t xml:space="preserve">p168 · att1 p.17  </w:t>
      </w:r>
      <w:r>
        <w:t>— each classified by reversibility and by the consequence of erroneous execution. Irreversible actions should require explicit confirmation by a qualified user, and the inventory should be treated as a locked specification whose expansion is a Tier 3 change under the framework in Question 22. Uncontrolled expansion of an agent’s action scope is the most likely path from a low-risk deployment to a high-risk one without any regulatory event marking the transition.</w:t>
      </w:r>
    </w:p>
    <w:p>
      <w:r>
        <w:rPr>
          <w:color w:val="777777"/>
          <w:sz w:val="16"/>
        </w:rPr>
        <w:t xml:space="preserve">p169 · att1 p.17  </w:t>
      </w:r>
      <w:r>
        <w:t>Least-privilege tool access. Agentic systems should hold the narrowest permissions sufficient for the intended use, scoped per deployment. This is standard security practice and maps directly onto CDRH’s existing cybersecurity expectations; I recommend the paper cross-reference them rather than developing a parallel treatment.</w:t>
      </w:r>
    </w:p>
    <w:p>
      <w:r>
        <w:rPr>
          <w:color w:val="777777"/>
          <w:sz w:val="16"/>
        </w:rPr>
        <w:t xml:space="preserve">p170 · att1 p.18  </w:t>
      </w:r>
      <w:r>
        <w:t>Audit logging sufficient for post-hoc reconstruction. When an agentic system produces a harmful outcome, the investigation must be able to reconstruct the full trajectory — inputs, intermediate reasoning artifacts where available, tool calls, returned values, actions taken, and the model version and configuration in effect.</w:t>
      </w:r>
    </w:p>
    <w:p>
      <w:r>
        <w:rPr>
          <w:color w:val="777777"/>
          <w:sz w:val="16"/>
        </w:rPr>
        <w:t xml:space="preserve">p171 · att1 p.18  </w:t>
      </w:r>
      <w:r>
        <w:t>Without this, root cause analysis is not possible, corrective action is guesswork, and the complaint-handling obligations under Question 21 cannot be discharged. I recommend audit logging adequacy be an explicit premarket review element for agentic devices rather than a postmarket assumption.</w:t>
      </w:r>
    </w:p>
    <w:p>
      <w:r>
        <w:rPr>
          <w:color w:val="777777"/>
          <w:sz w:val="16"/>
        </w:rPr>
        <w:t xml:space="preserve">p172 · att1 p.18  </w:t>
      </w:r>
      <w:r>
        <w:t>I would also note that the compounding-error arithmetic above interacts badly with the premarket-uncertainty trade proposed in Question 18. Agentic devices are where end-to-end performance is hardest to establish premarket, and simultaneously where errors propagate fastest and are least reversible postmarket. I recommend CDRH treat agentic devices as presumptively outside the reduced-premarket-evidence pathway.</w:t>
      </w:r>
    </w:p>
    <w:p>
      <w:r>
        <w:rPr>
          <w:color w:val="777777"/>
          <w:sz w:val="16"/>
        </w:rPr>
        <w:t xml:space="preserve">p173 · att1 p.18  </w:t>
      </w:r>
      <w:r>
        <w:t>V. Cross-cutting recommendations — 1.</w:t>
      </w:r>
    </w:p>
    <w:p>
      <w:r>
        <w:rPr>
          <w:color w:val="777777"/>
          <w:sz w:val="16"/>
        </w:rPr>
        <w:t xml:space="preserve">p174 · att1 p.18  </w:t>
      </w:r>
      <w:r>
        <w:t>Publish the risk-tier-to-evidence mapping. Predictability is the mechanism by which risk-based frameworks reduce burden. Without it, “competency-based” and “least burdensome” will not describe the same thing.</w:t>
      </w:r>
    </w:p>
    <w:p>
      <w:r>
        <w:rPr>
          <w:color w:val="777777"/>
          <w:sz w:val="16"/>
        </w:rPr>
        <w:t xml:space="preserve">p175 · att1 p.18  </w:t>
      </w:r>
      <w:r>
        <w:t>2.</w:t>
      </w:r>
    </w:p>
    <w:p>
      <w:r>
        <w:rPr>
          <w:color w:val="777777"/>
          <w:sz w:val="16"/>
        </w:rPr>
        <w:t xml:space="preserve">p176 · att1 p.18  </w:t>
      </w:r>
      <w:r>
        <w:t>Integrate with existing quality system and risk management infrastructure. Manufacturers maintain — ISO 14971 risk files, design controls, and change control procedures under the QMSR. The framework should draw on these rather than establishing parallel artifacts, and the paper should state how the pieces relate.</w:t>
      </w:r>
    </w:p>
    <w:p>
      <w:r>
        <w:rPr>
          <w:color w:val="777777"/>
          <w:sz w:val="16"/>
        </w:rPr>
        <w:t xml:space="preserve">p177 · att1 p.18  </w:t>
      </w:r>
      <w:r>
        <w:t>3.</w:t>
      </w:r>
    </w:p>
    <w:p>
      <w:r>
        <w:rPr>
          <w:color w:val="777777"/>
          <w:sz w:val="16"/>
        </w:rPr>
        <w:t xml:space="preserve">p178 · att1 p.18  </w:t>
      </w:r>
      <w:r>
        <w:t>Resolve MDR reportability for generative outputs. Every element of the postmarket program depends on it, and it is currently ambiguous in a way that produces both under-reporting and unmanageable exposure depending on how a manufacturer reads it.</w:t>
      </w:r>
    </w:p>
    <w:p>
      <w:r>
        <w:rPr>
          <w:color w:val="777777"/>
          <w:sz w:val="16"/>
        </w:rPr>
        <w:t xml:space="preserve">p179 · att1 p.18  </w:t>
      </w:r>
      <w:r>
        <w:t>4.</w:t>
      </w:r>
    </w:p>
    <w:p>
      <w:r>
        <w:rPr>
          <w:color w:val="777777"/>
          <w:sz w:val="16"/>
        </w:rPr>
        <w:t xml:space="preserve">p180 · att1 p.18  </w:t>
      </w:r>
      <w:r>
        <w:t>State a design control expectation for model version pinning. This is achievable now, addresses the largest structural gap in the framework, and would immediately improve provider practices in the medical device segment.</w:t>
      </w:r>
    </w:p>
    <w:p>
      <w:r>
        <w:rPr>
          <w:color w:val="777777"/>
          <w:sz w:val="16"/>
        </w:rPr>
        <w:t xml:space="preserve">p181 · att1 p.18  </w:t>
      </w:r>
      <w:r>
        <w:t>5.</w:t>
      </w:r>
    </w:p>
    <w:p>
      <w:r>
        <w:rPr>
          <w:color w:val="777777"/>
          <w:sz w:val="16"/>
        </w:rPr>
        <w:t xml:space="preserve">p182 · att1 p.18  </w:t>
      </w:r>
      <w:r>
        <w:t>Identify which elements require new legal authority. The paper expressly defers this question. I understand why, but I would encourage CDRH to return to it, because several proposals — enforceable postmarket conditions with automatic consequences, third-party recognition regimes, obligations touching foundation model developers who are not device manufacturers — appear to sit at or beyond the edge of existing authorities. Stakeholders assessing which parts of this framework to build toward would benefit from knowing which parts CDRH can implement and which would require Congress.</w:t>
      </w:r>
    </w:p>
    <w:p>
      <w:r>
        <w:rPr>
          <w:color w:val="777777"/>
          <w:sz w:val="16"/>
        </w:rPr>
        <w:t xml:space="preserve">p183 · att1 p.18  </w:t>
      </w:r>
      <w:r>
        <w:t>6.</w:t>
      </w:r>
    </w:p>
    <w:p>
      <w:r>
        <w:rPr>
          <w:color w:val="777777"/>
          <w:sz w:val="16"/>
        </w:rPr>
        <w:t xml:space="preserve">p184 · att1 p.18  </w:t>
      </w:r>
      <w:r>
        <w:t>Preserve the option to say no. The paper’s framing is oriented toward enabling market entry, appropriately so given its purpose. But a competency-based framework should also be capable of concluding that a given intended use is not currently supportable by available evidence. I would encourage CDRH to state that the framework contemplates that outcome, so that it is understood as an evaluation framework rather than an authorization pathway.</w:t>
      </w:r>
    </w:p>
    <w:p>
      <w:r>
        <w:rPr>
          <w:color w:val="777777"/>
          <w:sz w:val="16"/>
        </w:rPr>
        <w:t xml:space="preserve">p185 · att1 p.19  </w:t>
      </w:r>
      <w:r>
        <w:t>Closing — I appreciate CDRH’s willingness to publish preliminary thinking and invite criticism of it before positions harden. The competency-based framing is a real contribution, and the paper’s questions are, in several places, sharper than the field’s current answers.</w:t>
      </w:r>
    </w:p>
    <w:p>
      <w:r>
        <w:rPr>
          <w:color w:val="777777"/>
          <w:sz w:val="16"/>
        </w:rPr>
        <w:t xml:space="preserve">p186 · att1 p.19  </w:t>
      </w:r>
      <w:r>
        <w:t>My central concern is that the framework’s flexibility currently outruns the infrastructure needed to make flexibility safe: benchmarks that cannot yet be trusted, postmarket monitoring whose reportability rules are unsettled, third-party model dependencies that manufacturers cannot presently control, and third-party assessment capacity that does not yet exist. Each of these is addressable, and several are addressable now. But the flexibility and the infrastructure should arrive in that order — infrastructure first — rather than the reverse.</w:t>
      </w:r>
    </w:p>
    <w:p>
      <w:r>
        <w:rPr>
          <w:color w:val="777777"/>
          <w:sz w:val="16"/>
        </w:rPr>
        <w:t xml:space="preserve">p187 · att1 p.19  </w:t>
      </w:r>
      <w:r>
        <w:t>I would be glad to provide further detail on any point, and I thank the Agency for its consideration.</w:t>
      </w:r>
    </w:p>
    <w:p>
      <w:r>
        <w:rPr>
          <w:color w:val="777777"/>
          <w:sz w:val="16"/>
        </w:rPr>
        <w:t xml:space="preserve">p188 · att1 p.19  </w:t>
      </w:r>
      <w:r>
        <w:t>Respectfully submitted,</w:t>
      </w:r>
    </w:p>
    <w:p>
      <w:r>
        <w:rPr>
          <w:color w:val="777777"/>
          <w:sz w:val="16"/>
        </w:rPr>
        <w:t xml:space="preserve">p189 · att1 p.19  </w:t>
      </w:r>
      <w:r>
        <w:t>Hari [Last Name] [Title] [Affiliation, if any] [City, State] [Email] — Submitted in an individual capacity. The views expressed are my own and do not represent those of any employer, client, or organization.</w:t>
      </w:r>
    </w:p>
    <w:p>
      <w:pPr>
        <w:pStyle w:val="Heading1"/>
        <w:pageBreakBefore/>
      </w:pPr>
      <w:r>
        <w:t>FDA-2026-N-7874-0011</w:t>
      </w:r>
    </w:p>
    <w:p>
      <w:r>
        <w:t>Comment from Edward Flynn</w:t>
      </w:r>
    </w:p>
    <w:p>
      <w:r>
        <w:rPr>
          <w:color w:val="777777"/>
          <w:sz w:val="18"/>
        </w:rPr>
        <w:t>Device Industry - C0012 · received 2026-08-18</w:t>
      </w:r>
    </w:p>
    <w:p>
      <w:r>
        <w:rPr>
          <w:color w:val="777777"/>
          <w:sz w:val="16"/>
        </w:rPr>
        <w:t xml:space="preserve">p001 · body  </w:t>
      </w:r>
      <w:r>
        <w:t>Generative AI-enabled Medical Device are hugely problematic. They can have systemic bias stemming from non-representative data. For example the data used to configure their algorithms could be source from flawed studies where the data sets weren't broad enough to consider all the complications that can arise in the health of human. These data sets could be flawed by understudying race, age, or other demographics that weren't taken into account, or were sourced from a study that had a narrow or small study group.</w:t>
      </w:r>
    </w:p>
    <w:p>
      <w:r>
        <w:rPr>
          <w:color w:val="777777"/>
          <w:sz w:val="16"/>
        </w:rPr>
        <w:t xml:space="preserve">p002 · body  </w:t>
      </w:r>
      <w:r>
        <w:t>There is also the question of whether generative AI-enabled medical devices present any unresolved legal liabilities. There could be IP-theft in their designs or they could be so improperly designed that they lack sufficient privacy protections which don't meet HIPAA standards. Their use could open the government up to huge lawsuits and liabilities. Also who would be held accountable were there any of these risks? Would it be the AI manufacturer or the US Government? This needs thorough congressional oversight before going public.</w:t>
      </w:r>
    </w:p>
    <w:p>
      <w:r>
        <w:rPr>
          <w:color w:val="777777"/>
          <w:sz w:val="16"/>
        </w:rPr>
        <w:t xml:space="preserve">p003 · body  </w:t>
      </w:r>
      <w:r>
        <w:t>Finally, the “black box” nature of complex models where the actually workings of the AI remain unknown to most of the developers and users presents an issue where, if there were data breeches or inaccurate information used in health practices which results in harm, there currently is no-one who stands to be accountable for such things. The AI manufacturers need to be held financially and legally accountable for ALL screw ups, data issues, or harm that these devices may do.</w:t>
      </w:r>
    </w:p>
    <w:p>
      <w:r>
        <w:rPr>
          <w:color w:val="777777"/>
          <w:sz w:val="16"/>
        </w:rPr>
        <w:t xml:space="preserve">p004 · body  </w:t>
      </w:r>
      <w:r>
        <w:t>Until those questions are resolved and settled, Generative AI-enabled Medical Device shouldn't be allowed into use.</w:t>
      </w:r>
    </w:p>
    <w:p>
      <w:pPr>
        <w:pStyle w:val="Heading1"/>
        <w:pageBreakBefore/>
      </w:pPr>
      <w:r>
        <w:t>FDA-2026-N-7874-0012</w:t>
      </w:r>
    </w:p>
    <w:p>
      <w:r>
        <w:t>Comment from Anonymous</w:t>
      </w:r>
    </w:p>
    <w:p>
      <w:r>
        <w:rPr>
          <w:color w:val="777777"/>
          <w:sz w:val="18"/>
        </w:rPr>
        <w:t>received 2026-08-18</w:t>
      </w:r>
    </w:p>
    <w:p>
      <w:r>
        <w:rPr>
          <w:color w:val="777777"/>
          <w:sz w:val="16"/>
        </w:rPr>
        <w:t xml:space="preserve">p001 · body  </w:t>
      </w:r>
      <w:r>
        <w:t>I. Statement of Support — This comment strongly supports CDRH’s proactive, lifecycle-based regulatory framework for Generative Artificial Intelligence (GenAI)-enabled medical devices.</w:t>
      </w:r>
    </w:p>
    <w:p>
      <w:r>
        <w:rPr>
          <w:color w:val="777777"/>
          <w:sz w:val="16"/>
        </w:rPr>
        <w:t xml:space="preserve">p002 · body  </w:t>
      </w:r>
      <w:r>
        <w:t>Artificial intelligence in healthcare is the defining frontier of modern clinical medicine. When paired with robust oversight and safeguards, GenAI has the transformative potential to save millions of lives annually, alleviate severe clinician burnout, eradicate diagnostic blind spots, and democratize clinical access.</w:t>
      </w:r>
    </w:p>
    <w:p>
      <w:r>
        <w:rPr>
          <w:color w:val="777777"/>
          <w:sz w:val="16"/>
        </w:rPr>
        <w:t xml:space="preserve">p003 · body  </w:t>
      </w:r>
      <w:r>
        <w:t>We strongly support CDRH’s competency-based evaluation model (integrating standardized benchmarking with risk-tiered clinical confirmation) and urge the Agency to ensure clear, streamlined pathways for high-impact use cases:</w:t>
      </w:r>
    </w:p>
    <w:p>
      <w:r>
        <w:rPr>
          <w:color w:val="777777"/>
          <w:sz w:val="16"/>
        </w:rPr>
        <w:t xml:space="preserve">p004 · body  </w:t>
      </w:r>
      <w:r>
        <w:t>Radiology Second-Reads: Double-checking imaging scans alongside radiologists to catch missed malignancies, subtle fractures, and early-stage disease before final sign-off.</w:t>
      </w:r>
    </w:p>
    <w:p>
      <w:r>
        <w:rPr>
          <w:color w:val="777777"/>
          <w:sz w:val="16"/>
        </w:rPr>
        <w:t xml:space="preserve">p005 · body  </w:t>
      </w:r>
      <w:r>
        <w:t>Primary Care Ambient Scribing: Generating structured clinical notes during consultations so physicians can eliminate clerical burdens and focus entirely on face-to-face patient care.</w:t>
      </w:r>
    </w:p>
    <w:p>
      <w:r>
        <w:rPr>
          <w:color w:val="777777"/>
          <w:sz w:val="16"/>
        </w:rPr>
        <w:t xml:space="preserve">p006 · body  </w:t>
      </w:r>
      <w:r>
        <w:t>Longitudinal EHR Surveillance: Analyzing electronic health records to detect hidden patterns, deteriorating trends, and unflagged diagnoses before they become acute emergencies.</w:t>
      </w:r>
    </w:p>
    <w:p>
      <w:r>
        <w:rPr>
          <w:color w:val="777777"/>
          <w:sz w:val="16"/>
        </w:rPr>
        <w:t xml:space="preserve">p007 · body  </w:t>
      </w:r>
      <w:r>
        <w:t>Blood Laboratory &amp; IVD Analysis: Evaluating multi-analyte blood lab panels to identify systemic shifts, acute organ damage, and early sepsis that static alerts miss.</w:t>
      </w:r>
    </w:p>
    <w:p>
      <w:r>
        <w:rPr>
          <w:color w:val="777777"/>
          <w:sz w:val="16"/>
        </w:rPr>
        <w:t xml:space="preserve">p008 · body  </w:t>
      </w:r>
      <w:r>
        <w:t>II. Implementation Recommendations — Two-Axis Risk Calibration (Questions 1–6): Anchor ambient scribing, EHR screening, and HCP-supervised imaging second-reads firmly in lower-risk categories, reserving high-intensity premarket scrutiny for unmonitored autonomous execution.</w:t>
      </w:r>
    </w:p>
    <w:p>
      <w:r>
        <w:rPr>
          <w:color w:val="777777"/>
          <w:sz w:val="16"/>
        </w:rPr>
        <w:t xml:space="preserve">p009 · body  </w:t>
      </w:r>
      <w:r>
        <w:t>Competency Benchmarking (Questions 7–10): Prioritize Safety Escalation (S.1) and Quantitative Analysis (E.3) to guarantee numerical precision and prevent confabulations in blood lab analysis.</w:t>
      </w:r>
    </w:p>
    <w:p>
      <w:r>
        <w:rPr>
          <w:color w:val="777777"/>
          <w:sz w:val="16"/>
        </w:rPr>
        <w:t xml:space="preserve">p010 · body  </w:t>
      </w:r>
      <w:r>
        <w:t>Voluntary Master Files (Question 25): Fully operationalize Foundation Model Device Master Files (MAFs) so downstream developers can leverage upstream model cards without exposing proprietary weights.</w:t>
      </w:r>
    </w:p>
    <w:p>
      <w:r>
        <w:rPr>
          <w:color w:val="777777"/>
          <w:sz w:val="16"/>
        </w:rPr>
        <w:t xml:space="preserve">p011 · body  </w:t>
      </w:r>
      <w:r>
        <w:t>Postmarket Monitoring (Questions 18–24): Enable machine-based supervisory agents and flexible Predetermined Change Control Plans (PCCPs) under FD&amp;C Act § 515C to govern model drift without requiring burdensome supplemental clearances.</w:t>
      </w:r>
    </w:p>
    <w:p>
      <w:r>
        <w:rPr>
          <w:color w:val="777777"/>
          <w:sz w:val="16"/>
        </w:rPr>
        <w:t xml:space="preserve">p012 · body  </w:t>
      </w:r>
      <w:r>
        <w:t>III. Requested Action — FDA should advance this discussion paper into formal Draft Guidance, establishing streamlined clearance pathways for HCP-supervised AI tools while operationalizing the Foundation Model MAF program to accelerate safe, life-saving healthcare innovation.</w:t>
      </w:r>
    </w:p>
    <w:p>
      <w:pPr>
        <w:pStyle w:val="Heading1"/>
        <w:pageBreakBefore/>
      </w:pPr>
      <w:r>
        <w:t>FDA-2026-N-7874-0013</w:t>
      </w:r>
    </w:p>
    <w:p>
      <w:r>
        <w:t>Comment from Hari Prakash Chanumolu</w:t>
      </w:r>
    </w:p>
    <w:p>
      <w:r>
        <w:rPr>
          <w:color w:val="777777"/>
          <w:sz w:val="18"/>
        </w:rPr>
        <w:t>received 2026-08-18 · attachments: attachment_1.pdf (19 pp)</w:t>
      </w:r>
    </w:p>
    <w:p>
      <w:r>
        <w:rPr>
          <w:color w:val="777777"/>
          <w:sz w:val="16"/>
        </w:rPr>
        <w:t xml:space="preserve">p001 · body  </w:t>
      </w:r>
      <w:r>
        <w:t>See attached file(s)</w:t>
      </w:r>
    </w:p>
    <w:p>
      <w:r>
        <w:rPr>
          <w:color w:val="777777"/>
          <w:sz w:val="16"/>
        </w:rPr>
        <w:t xml:space="preserve">p002 · att1 p.1  </w:t>
      </w:r>
      <w:r>
        <w:t>Public Comment — Docket No. FDA-2026-N-7874 — Re: Considerations for the Regulation of Generative AI-Enabled Medical Devices: Discussion Paper and</w:t>
      </w:r>
    </w:p>
    <w:p>
      <w:r>
        <w:rPr>
          <w:color w:val="777777"/>
          <w:sz w:val="16"/>
        </w:rPr>
        <w:t xml:space="preserve">p003 · att1 p.1  </w:t>
      </w:r>
      <w:r>
        <w:t>Request for Feedback — Submitted to: Division of Dockets Management, U.S. Food and Drug Administration, via Regulations.gov</w:t>
      </w:r>
    </w:p>
    <w:p>
      <w:r>
        <w:rPr>
          <w:color w:val="777777"/>
          <w:sz w:val="16"/>
        </w:rPr>
        <w:t xml:space="preserve">p004 · att1 p.1  </w:t>
      </w:r>
      <w:r>
        <w:t>Submitted by: Hari Prakash Chanumolu — submitted in an individual capacity — Date: August 18, 2026</w:t>
      </w:r>
    </w:p>
    <w:p>
      <w:r>
        <w:rPr>
          <w:color w:val="777777"/>
          <w:sz w:val="16"/>
        </w:rPr>
        <w:t xml:space="preserve">p005 · att1 p.1  </w:t>
      </w:r>
      <w:r>
        <w:t>Introduction and summary of position — I appreciate the opportunity to comment on CDRH’s discussion paper. I write in an individual capacity, from a regulatory and quality-affairs perspective, based on work with software-as-a-medical-device submissions, quality management systems, and change control. The views here are my own and do not represent any employer or client.</w:t>
      </w:r>
    </w:p>
    <w:p>
      <w:r>
        <w:rPr>
          <w:color w:val="777777"/>
          <w:sz w:val="16"/>
        </w:rPr>
        <w:t xml:space="preserve">p006 · att1 p.1  </w:t>
      </w:r>
      <w:r>
        <w:t>The discussion paper is a serious and unusually candid document. Several of its questions — particularly</w:t>
      </w:r>
    </w:p>
    <w:p>
      <w:r>
        <w:rPr>
          <w:color w:val="777777"/>
          <w:sz w:val="16"/>
        </w:rPr>
        <w:t xml:space="preserve">p007 · att1 p.1  </w:t>
      </w:r>
      <w:r>
        <w:t>Questions 10, 13, 20, 23, and 24 — name problems that the field has been avoiding, and CDRH deserves credit for putting them on the record rather than deferring them. My comments are offered in that spirit: I support the general architecture the paper describes, and my criticisms are directed at the places where I believe the framework, as currently sketched, would not survive contact with a real submission or a real postmarket failure.</w:t>
      </w:r>
    </w:p>
    <w:p>
      <w:r>
        <w:rPr>
          <w:color w:val="777777"/>
          <w:sz w:val="16"/>
        </w:rPr>
        <w:t xml:space="preserve">p008 · att1 p.1  </w:t>
      </w:r>
      <w:r>
        <w:t>My principal recommendations: 1.</w:t>
      </w:r>
    </w:p>
    <w:p>
      <w:r>
        <w:rPr>
          <w:color w:val="777777"/>
          <w:sz w:val="16"/>
        </w:rPr>
        <w:t xml:space="preserve">p009 · att1 p.1  </w:t>
      </w:r>
      <w:r>
        <w:t>Reconcile the two-axis risk framework with ISO 14971 rather than standing up a parallel taxonomy. As drafted, the two axes omit the probability that an incorrect output escapes detection — the variable that, for generative systems, drives most of the residual risk.</w:t>
      </w:r>
    </w:p>
    <w:p>
      <w:r>
        <w:rPr>
          <w:color w:val="777777"/>
          <w:sz w:val="16"/>
        </w:rPr>
        <w:t xml:space="preserve">p010 · att1 p.1  </w:t>
      </w:r>
      <w:r>
        <w:t>2.</w:t>
      </w:r>
    </w:p>
    <w:p>
      <w:r>
        <w:rPr>
          <w:color w:val="777777"/>
          <w:sz w:val="16"/>
        </w:rPr>
        <w:t xml:space="preserve">p011 · att1 p.1  </w:t>
      </w:r>
      <w:r>
        <w:t>Publish an explicit mapping from risk tier to minimum evidence. A “competency-based approach”</w:t>
      </w:r>
    </w:p>
    <w:p>
      <w:r>
        <w:rPr>
          <w:color w:val="777777"/>
          <w:sz w:val="16"/>
        </w:rPr>
        <w:t xml:space="preserve">p012 · att1 p.1  </w:t>
      </w:r>
      <w:r>
        <w:t>without a published evidence map is not a least-burdensome pathway; it is case-by-case review under a new name.</w:t>
      </w:r>
    </w:p>
    <w:p>
      <w:r>
        <w:rPr>
          <w:color w:val="777777"/>
          <w:sz w:val="16"/>
        </w:rPr>
        <w:t xml:space="preserve">p013 · att1 p.1  </w:t>
      </w:r>
      <w:r>
        <w:t>3.</w:t>
      </w:r>
    </w:p>
    <w:p>
      <w:r>
        <w:rPr>
          <w:color w:val="777777"/>
          <w:sz w:val="16"/>
        </w:rPr>
        <w:t xml:space="preserve">p014 · att1 p.1  </w:t>
      </w:r>
      <w:r>
        <w:t>Do not permit synthetic data to establish performance rates. Synthetic data is a valid tool for finding failures and covering rare events. It cannot supply a valid denominator, and when generated by a model of the same family as the device under test it is structurally incapable of detecting shared blind spots.</w:t>
      </w:r>
    </w:p>
    <w:p>
      <w:r>
        <w:rPr>
          <w:color w:val="777777"/>
          <w:sz w:val="16"/>
        </w:rPr>
        <w:t xml:space="preserve">p015 · att1 p.1  </w:t>
      </w:r>
      <w:r>
        <w:t>4.</w:t>
      </w:r>
    </w:p>
    <w:p>
      <w:r>
        <w:rPr>
          <w:color w:val="777777"/>
          <w:sz w:val="16"/>
        </w:rPr>
        <w:t xml:space="preserve">p016 · att1 p.1  </w:t>
      </w:r>
      <w:r>
        <w:t>Reject “median clinician in practice” as the primary performance standard. Prespecified clinical acceptance criteria derived from the consequence of the decision are the better anchor; clinician panels should serve as adjudication instruments, and should themselves be validated and reported like instruments.</w:t>
      </w:r>
    </w:p>
    <w:p>
      <w:r>
        <w:rPr>
          <w:color w:val="777777"/>
          <w:sz w:val="16"/>
        </w:rPr>
        <w:t xml:space="preserve">p017 · att1 p.2  </w:t>
      </w:r>
      <w:r>
        <w:t>5.</w:t>
      </w:r>
    </w:p>
    <w:p>
      <w:r>
        <w:rPr>
          <w:color w:val="777777"/>
          <w:sz w:val="16"/>
        </w:rPr>
        <w:t xml:space="preserve">p018 · att1 p.2  </w:t>
      </w:r>
      <w:r>
        <w:t>Require independence for any supervisory agent offered as postmarket evidence. A monitoring agent built on the same foundation model as the device it monitors has correlated failure modes and will be blind to precisely the errors that matter.</w:t>
      </w:r>
    </w:p>
    <w:p>
      <w:r>
        <w:rPr>
          <w:color w:val="777777"/>
          <w:sz w:val="16"/>
        </w:rPr>
        <w:t xml:space="preserve">p019 · att1 p.2  </w:t>
      </w:r>
      <w:r>
        <w:t>6.</w:t>
      </w:r>
    </w:p>
    <w:p>
      <w:r>
        <w:rPr>
          <w:color w:val="777777"/>
          <w:sz w:val="16"/>
        </w:rPr>
        <w:t xml:space="preserve">p020 · att1 p.2  </w:t>
      </w:r>
      <w:r>
        <w:t>Treat model version pinning as a design control expectation. For devices built on third-party foundation models, the inability to pin a version-identified endpoint, with contractual change notice, should be treated as a design deficiency rather than an accepted risk. This is the single largest unaddressed gap in the paper.</w:t>
      </w:r>
    </w:p>
    <w:p>
      <w:r>
        <w:rPr>
          <w:color w:val="777777"/>
          <w:sz w:val="16"/>
        </w:rPr>
        <w:t xml:space="preserve">p021 · att1 p.2  </w:t>
      </w:r>
      <w:r>
        <w:t>7.</w:t>
      </w:r>
    </w:p>
    <w:p>
      <w:r>
        <w:rPr>
          <w:color w:val="777777"/>
          <w:sz w:val="16"/>
        </w:rPr>
        <w:t xml:space="preserve">p022 · att1 p.2  </w:t>
      </w:r>
      <w:r>
        <w:t>Reframe the PCCP for generative systems around invariants rather than change lists. A PCCP that prespecifies what must remain true — a locked evaluation instrument, locked thresholds, a locked verification protocol — is workable where a PCCP that prespecifies what will change is not.</w:t>
      </w:r>
    </w:p>
    <w:p>
      <w:r>
        <w:rPr>
          <w:color w:val="777777"/>
          <w:sz w:val="16"/>
        </w:rPr>
        <w:t xml:space="preserve">p023 · att1 p.2  </w:t>
      </w:r>
      <w:r>
        <w:t>I. Assessment of risk (Section IV; Questions 1–6) — Question 1 — Dimensions of the risk framework</w:t>
      </w:r>
    </w:p>
    <w:p>
      <w:r>
        <w:rPr>
          <w:color w:val="777777"/>
          <w:sz w:val="16"/>
        </w:rPr>
        <w:t xml:space="preserve">p024 · att1 p.2  </w:t>
      </w:r>
      <w:r>
        <w:t>The two axes — device activity and the consequence of relying on an incorrect output — are necessary but not sufficient. Together they describe severity and a proxy for autonomy. They do not describe the probability that an incorrect output is acted upon, which is where generative systems differ most sharply from the software CDRH has regulated to date.</w:t>
      </w:r>
    </w:p>
    <w:p>
      <w:r>
        <w:rPr>
          <w:color w:val="777777"/>
          <w:sz w:val="16"/>
        </w:rPr>
        <w:t xml:space="preserve">p025 · att1 p.2  </w:t>
      </w:r>
      <w:r>
        <w:t>This matters because ISO 14971, which manufacturers already apply and document, defines risk as the combination of the probability of occurrence of harm and the severity of that harm. The paper’s framework captures severity well and probability not at all. A device whose errors are obvious on inspection and a device whose errors are fluent, confident, and internally consistent may occupy the same cell of the proposed grid while presenting materially different risk. Fluency is precisely the property generative models optimize for, and it is an anti-correlate of detectability.</w:t>
      </w:r>
    </w:p>
    <w:p>
      <w:r>
        <w:rPr>
          <w:color w:val="777777"/>
          <w:sz w:val="16"/>
        </w:rPr>
        <w:t xml:space="preserve">p026 · att1 p.2  </w:t>
      </w:r>
      <w:r>
        <w:t>I recommend CDRH add detectability — the likelihood that an incorrect output is recognized as incorrect before it is relied upon — as an explicit dimension, and treat reversibility, downstream safeguards, time pressure, and output traceability as determinants of detectability rather than as independent axes. This preserves a two-dimensional grid that remains usable in practice while giving the omitted variable a defined home.</w:t>
      </w:r>
    </w:p>
    <w:p>
      <w:r>
        <w:rPr>
          <w:color w:val="777777"/>
          <w:sz w:val="16"/>
        </w:rPr>
        <w:t xml:space="preserve">p027 · att1 p.2  </w:t>
      </w:r>
      <w:r>
        <w:t>I further recommend that CDRH state explicitly how this framework relates to a manufacturer’s existing ISO</w:t>
      </w:r>
    </w:p>
    <w:p>
      <w:r>
        <w:rPr>
          <w:color w:val="777777"/>
          <w:sz w:val="16"/>
        </w:rPr>
        <w:t xml:space="preserve">p028 · att1 p.2  </w:t>
      </w:r>
      <w:r>
        <w:t>14971 risk management file. If the answer is that the grid is a communication and triage device that draws on the 14971 file rather than a separate analysis, that should be said. Absent such a statement, manufacturers will reasonably assume they must maintain a second, FDA-specific risk taxonomy alongside the first, which produces documentation burden without a corresponding safety gain.</w:t>
      </w:r>
    </w:p>
    <w:p>
      <w:r>
        <w:rPr>
          <w:color w:val="777777"/>
          <w:sz w:val="16"/>
        </w:rPr>
        <w:t xml:space="preserve">p029 · att1 p.3  </w:t>
      </w:r>
      <w:r>
        <w:t>Question 2 — Directiveness as a continuum — I want to raise a practical objection to using directiveness as a determinant of risk classification, notwithstanding that it is clearly relevant to risk.</w:t>
      </w:r>
    </w:p>
    <w:p>
      <w:r>
        <w:rPr>
          <w:color w:val="777777"/>
          <w:sz w:val="16"/>
        </w:rPr>
        <w:t xml:space="preserve">p030 · att1 p.3  </w:t>
      </w:r>
      <w:r>
        <w:t>Directiveness of a generative output is an emergent property of the output, not a design input the manufacturer controls or can verify at design time. A manufacturer can constrain it — through system prompts, output templates, refusal training, post-generation filtering — but cannot guarantee it. If regulatory classification turns on whether a function is “non-directive,” sponsors will be asked to attest to something no sponsor can honestly attest to, and the predictable result is either attestations that are not meaningful or an evidentiary standard that cannot be met.</w:t>
      </w:r>
    </w:p>
    <w:p>
      <w:r>
        <w:rPr>
          <w:color w:val="777777"/>
          <w:sz w:val="16"/>
        </w:rPr>
        <w:t xml:space="preserve">p031 · att1 p.3  </w:t>
      </w:r>
      <w:r>
        <w:t>The more workable construction treats directiveness as a constrained and monitored property. A sponsor would specify a directiveness ceiling for the intended use, describe the technical controls enforcing it, and — critically — report a measured escape rate: the rate at which outputs exceeded the specified ceiling across an adversarial and representative evaluation set. Classification would then be based on the specified ceiling, conditioned on the escape rate meeting a prespecified bound, with escape rate becoming a postmarket monitoring endpoint. This gives manufacturers something they can actually design toward and CDRH something it can actually verify.</w:t>
      </w:r>
    </w:p>
    <w:p>
      <w:r>
        <w:rPr>
          <w:color w:val="777777"/>
          <w:sz w:val="16"/>
        </w:rPr>
        <w:t xml:space="preserve">p032 · att1 p.3  </w:t>
      </w:r>
      <w:r>
        <w:t>Question 3 — Patient-facing functions — I would caution against a categorical elevation of risk for patient-facing functions. The paper is right to flag the tension, and right to warn against underestimating patient capability.</w:t>
      </w:r>
    </w:p>
    <w:p>
      <w:r>
        <w:rPr>
          <w:color w:val="777777"/>
          <w:sz w:val="16"/>
        </w:rPr>
        <w:t xml:space="preserve">p033 · att1 p.3  </w:t>
      </w:r>
      <w:r>
        <w:t>The variable that actually distinguishes the two cases is not the user’s domain knowledge in the abstract but whether the user has a realistic path to verification at the moment of reliance. A clinician who lacks specialty knowledge but can order a confirmatory test, consult a colleague, or check a reference is better protected than a patient at home at 2 a.m. — but a patient reading a clearly sourced output with an explicit instruction to call their clinician before acting is better protected than a clinician under time pressure accepting a plausible output without checking.</w:t>
      </w:r>
    </w:p>
    <w:p>
      <w:r>
        <w:rPr>
          <w:color w:val="777777"/>
          <w:sz w:val="16"/>
        </w:rPr>
        <w:t xml:space="preserve">p034 · att1 p.3  </w:t>
      </w:r>
      <w:r>
        <w:t>I recommend the framework attend to the verification path — its availability, its latency, and whether the output’s design supports or discourages it — rather than to the user’s category. Safeguards that meaningfully change the analysis include traceable citation to primary sources with verifiable links, explicit uncertainty communication, and a designed prompt to seek confirmation that scales with the consequence of the specific output rather than appearing as static boilerplate.</w:t>
      </w:r>
    </w:p>
    <w:p>
      <w:r>
        <w:rPr>
          <w:color w:val="777777"/>
          <w:sz w:val="16"/>
        </w:rPr>
        <w:t xml:space="preserve">p035 · att1 p.3  </w:t>
      </w:r>
      <w:r>
        <w:t>Question 4 — Generalist versus specialist users — This distinction is analytically real but creates an enforcement problem CDRH should confront directly. A manufacturer can label an intended user; it cannot control which clinician opens the application. Once a device is deployed in an institution, use by clinicians outside the labeled specialty is foreseeable, and in some settings it is the norm.</w:t>
      </w:r>
    </w:p>
    <w:p>
      <w:r>
        <w:rPr>
          <w:color w:val="777777"/>
          <w:sz w:val="16"/>
        </w:rPr>
        <w:t xml:space="preserve">p036 · att1 p.4  </w:t>
      </w:r>
      <w:r>
        <w:t>If CDRH intends specialty scope to bear regulatory weight, the paper should distinguish between (a) labeled intended user, (b) technical enforcement of user scope, and (c) foreseeable off-label user, and should state which of the three drives the risk assessment. My recommendation is that risk be assessed against foreseeable use, with credit given for demonstrated technical enforcement — role-based access controls tied to institutional credentialing, for example — rather than for labeling alone. Labeling-only mitigations have a poor track record in software and should not be treated as risk-reducing here.</w:t>
      </w:r>
    </w:p>
    <w:p>
      <w:r>
        <w:rPr>
          <w:color w:val="777777"/>
          <w:sz w:val="16"/>
        </w:rPr>
        <w:t xml:space="preserve">p037 · att1 p.4  </w:t>
      </w:r>
      <w:r>
        <w:t>Question 5 — Multi-turn conversational devices — The paper identifies the correct problem: intended use cannot be meaningfully characterized at the level of a single turn when behavior is emergent across a conversation.</w:t>
      </w:r>
    </w:p>
    <w:p>
      <w:r>
        <w:rPr>
          <w:color w:val="777777"/>
          <w:sz w:val="16"/>
        </w:rPr>
        <w:t xml:space="preserve">p038 · att1 p.4  </w:t>
      </w:r>
      <w:r>
        <w:t>I recommend CDRH state that for multi-turn devices, the session, not the turn, is the unit of analysis for both intended use and evaluation. Intended use should be defined at the conversational level, in terms of the range of trajectories the device is designed to support and the boundaries it is designed to hold. Evaluation should then be trajectory-based: multi-turn adversarial evaluation in which evaluators actively attempt to walk the device from non-directive information toward action-directing output, with the escape rate measured and bounded as described under Question 2.</w:t>
      </w:r>
    </w:p>
    <w:p>
      <w:r>
        <w:rPr>
          <w:color w:val="777777"/>
          <w:sz w:val="16"/>
        </w:rPr>
        <w:t xml:space="preserve">p039 · att1 p.4  </w:t>
      </w:r>
      <w:r>
        <w:t>Single-turn benchmarking of a multi-turn device measures something that does not correspond to how the device is used, and I would encourage CDRH to say so plainly. Turn-level evaluation of conversational devices should be treated as insufficient on its own regardless of how thorough it is.</w:t>
      </w:r>
    </w:p>
    <w:p>
      <w:r>
        <w:rPr>
          <w:color w:val="777777"/>
          <w:sz w:val="16"/>
        </w:rPr>
        <w:t xml:space="preserve">p040 · att1 p.4  </w:t>
      </w:r>
      <w:r>
        <w:t>Question 6 — Under- and over-escalation — The paper correctly observes that these two error directions may not be commensurable. My recommendation is procedural: rather than asking manufacturers to reconcile them, require that the trade-off be prespecified rather than discovered.</w:t>
      </w:r>
    </w:p>
    <w:p>
      <w:r>
        <w:rPr>
          <w:color w:val="777777"/>
          <w:sz w:val="16"/>
        </w:rPr>
        <w:t xml:space="preserve">p041 · att1 p.4  </w:t>
      </w:r>
      <w:r>
        <w:t>A sponsor should state, before evaluation, an explicit asymmetric acceptance criterion — for example, a minimum sensitivity for the escalation-warranted condition together with a maximum acceptable over- escalation rate — accompanied by a clinical justification for the chosen ratio that references the specific deployment context and the capacity of the receiving system. The justification, not just the numbers, should be part of the submission and should be assessed. Post hoc reporting of both rates without a prespecified trade-off allows the sponsor to characterize whichever result is more favorable as the primary endpoint, and</w:t>
      </w:r>
    </w:p>
    <w:p>
      <w:r>
        <w:rPr>
          <w:color w:val="777777"/>
          <w:sz w:val="16"/>
        </w:rPr>
        <w:t xml:space="preserve">p042 · att1 p.4  </w:t>
      </w:r>
      <w:r>
        <w:t>CDRH should foreclose that.</w:t>
      </w:r>
    </w:p>
    <w:p>
      <w:r>
        <w:rPr>
          <w:color w:val="777777"/>
          <w:sz w:val="16"/>
        </w:rPr>
        <w:t xml:space="preserve">p043 · att1 p.4  </w:t>
      </w:r>
      <w:r>
        <w:t>Over-escalation deserves more attention than it typically receives. Its harms — alert fatigue, resource diversion, downstream harm to patients who did need the capacity consumed — are diffuse, delayed, and rarely attributed to the device. They are therefore systematically under-detected by exactly the postmarket mechanisms Section VI describes.</w:t>
      </w:r>
    </w:p>
    <w:p>
      <w:r>
        <w:rPr>
          <w:color w:val="777777"/>
          <w:sz w:val="16"/>
        </w:rPr>
        <w:t xml:space="preserve">p044 · att1 p.5  </w:t>
      </w:r>
      <w:r>
        <w:t>II. Premarket evaluation and the competency-based approach (Section V; Questions 7– — 17)</w:t>
      </w:r>
    </w:p>
    <w:p>
      <w:r>
        <w:rPr>
          <w:color w:val="777777"/>
          <w:sz w:val="16"/>
        </w:rPr>
        <w:t xml:space="preserve">p045 · att1 p.5  </w:t>
      </w:r>
      <w:r>
        <w:t>Question 7 — Is the competency-based approach appropriate?</w:t>
      </w:r>
    </w:p>
    <w:p>
      <w:r>
        <w:rPr>
          <w:color w:val="777777"/>
          <w:sz w:val="16"/>
        </w:rPr>
        <w:t xml:space="preserve">p046 · att1 p.5  </w:t>
      </w:r>
      <w:r>
        <w:t>Broadly, yes, and the paper’s framing is a genuine contribution. But the analogy carries an assumption that should be made explicit before it is relied upon, because I believe the analogy is doing more argumentative work than it can support.</w:t>
      </w:r>
    </w:p>
    <w:p>
      <w:r>
        <w:rPr>
          <w:color w:val="777777"/>
          <w:sz w:val="16"/>
        </w:rPr>
        <w:t xml:space="preserve">p047 · att1 p.5  </w:t>
      </w:r>
      <w:r>
        <w:t>Physician credentialing is evidentiarily permissive — no exhaustive testing of every scenario — because it is embedded in a system of continuous individual accountability: ongoing licensure with revocation authority, institutional privileging and peer review, malpractice liability, professional norms, and a career-long incentive to notice and correct one’s own errors. The credentialing exam is not the safety mechanism. It is the entry gate to a system whose safety mechanisms operate continuously thereafter.</w:t>
      </w:r>
    </w:p>
    <w:p>
      <w:r>
        <w:rPr>
          <w:color w:val="777777"/>
          <w:sz w:val="16"/>
        </w:rPr>
        <w:t xml:space="preserve">p048 · att1 p.5  </w:t>
      </w:r>
      <w:r>
        <w:t>A device inherits none of this. There is no analogue to license revocation for a deployed model, no peer review of its individual decisions, no professional identity that responds to being wrong. The manufacturer’s quality system is the closest analogue, and it is a genuine one, but it is a different mechanism with different failure modes.</w:t>
      </w:r>
    </w:p>
    <w:p>
      <w:r>
        <w:rPr>
          <w:color w:val="777777"/>
          <w:sz w:val="16"/>
        </w:rPr>
        <w:t xml:space="preserve">p049 · att1 p.5  </w:t>
      </w:r>
      <w:r>
        <w:t>There is a second disanalogy worth stating. Physicians generalize from training in ways whose failure modes are broadly legible to other physicians — we have vocabulary for the kinds of errors a tired resident makes.</w:t>
      </w:r>
    </w:p>
    <w:p>
      <w:r>
        <w:rPr>
          <w:color w:val="777777"/>
          <w:sz w:val="16"/>
        </w:rPr>
        <w:t xml:space="preserve">p050 · att1 p.5  </w:t>
      </w:r>
      <w:r>
        <w:t>Generative model failures are not legible in the same way. They can be sharp, input-specific, and invisible to any amount of aggregate performance measurement.</w:t>
      </w:r>
    </w:p>
    <w:p>
      <w:r>
        <w:rPr>
          <w:color w:val="777777"/>
          <w:sz w:val="16"/>
        </w:rPr>
        <w:t xml:space="preserve">p051 · att1 p.5  </w:t>
      </w:r>
      <w:r>
        <w:t>My recommendation is that CDRH retain the competency framing as an organizing structure — it maps cleanly onto benchmarking, confirmation, and monitoring — while explicitly declining to import its evidentiary permissiveness. The paper should state that the licensure analogy justifies the shape of the evidence, not the quantity, and that the reduced-testing feature of physician credentialing is a consequence of accountability structures the device context does not reproduce.</w:t>
      </w:r>
    </w:p>
    <w:p>
      <w:r>
        <w:rPr>
          <w:color w:val="777777"/>
          <w:sz w:val="16"/>
        </w:rPr>
        <w:t xml:space="preserve">p052 · att1 p.5  </w:t>
      </w:r>
      <w:r>
        <w:t>Question 8 — Relating the risk framework to evidence requirements — This is, in my view, the most consequential question in the paper for whether the framework succeeds in practice.</w:t>
      </w:r>
    </w:p>
    <w:p>
      <w:r>
        <w:rPr>
          <w:color w:val="777777"/>
          <w:sz w:val="16"/>
        </w:rPr>
        <w:t xml:space="preserve">p053 · att1 p.5  </w:t>
      </w:r>
      <w:r>
        <w:t>A competency-based approach without a published risk-tier-to-evidence mapping is not a least-burdensome pathway. It is discretionary, case-by-case review with a new vocabulary. Sponsors cannot plan submissions against it, cannot budget against it, and cannot know in advance whether their evidence is adequate — which in practice means either over-generating evidence defensively or under-generating it and absorbing review cycles. Both outcomes are costly, and the second is worse for patients because it delays devices that would have qualified.</w:t>
      </w:r>
    </w:p>
    <w:p>
      <w:r>
        <w:rPr>
          <w:color w:val="777777"/>
          <w:sz w:val="16"/>
        </w:rPr>
        <w:t xml:space="preserve">p054 · att1 p.5  </w:t>
      </w:r>
      <w:r>
        <w:t>I recommend CDRH publish a mapping table specifying, for each cell or band of the risk grid: the minimum benchmarking elements required; the minimum acceptable clinical confirmation tier from the Section V.C ladder; whether third-party involvement is expected; and the minimum postmarket monitoring configuration.</w:t>
      </w:r>
    </w:p>
    <w:p>
      <w:r>
        <w:rPr>
          <w:color w:val="777777"/>
          <w:sz w:val="16"/>
        </w:rPr>
        <w:t xml:space="preserve">p055 · att1 p.6  </w:t>
      </w:r>
      <w:r>
        <w:t>The mapping need not be rigid — a documented, justified deviation pathway should exist — but the default must be published and stable. Predictability is the mechanism by which a risk-based framework actually reduces burden.</w:t>
      </w:r>
    </w:p>
    <w:p>
      <w:r>
        <w:rPr>
          <w:color w:val="777777"/>
          <w:sz w:val="16"/>
        </w:rPr>
        <w:t xml:space="preserve">p056 · att1 p.6  </w:t>
      </w:r>
      <w:r>
        <w:t>Question 9 — Adequacy of the benchmarking structure — The categories described appear substantially complete. I note three gaps.</w:t>
      </w:r>
    </w:p>
    <w:p>
      <w:r>
        <w:rPr>
          <w:color w:val="777777"/>
          <w:sz w:val="16"/>
        </w:rPr>
        <w:t xml:space="preserve">p057 · att1 p.6  </w:t>
      </w:r>
      <w:r>
        <w:t>Adversarial and hostile input. Robustness and reliability, as described, appear oriented toward natural variation in input — phrasing, formatting, incomplete data. Generative devices additionally face adversarial input: prompt injection through retrieved documents or patient-supplied text, instruction override, and jailbreak techniques that defeat scope constraints. This is a security property, not a robustness property, and it should be a distinct benchmarking element cross-referenced to CDRH’s premarket cybersecurity expectations. A device whose scope boundaries hold under natural input and fail under a prompt embedded in an uploaded document has not demonstrated boundary adherence.</w:t>
      </w:r>
    </w:p>
    <w:p>
      <w:r>
        <w:rPr>
          <w:color w:val="777777"/>
          <w:sz w:val="16"/>
        </w:rPr>
        <w:t xml:space="preserve">p058 · att1 p.6  </w:t>
      </w:r>
      <w:r>
        <w:t>Provenance and citation fidelity. Where a device cites sources, the correctness of the citation is a distinct failure mode from the correctness of the claim. A fabricated but plausible citation actively defeats the user’s verification path — it converts a safeguard into a hazard, because the user who checks is reassured by the presence of a reference. Citation fidelity should be measured separately and should not be assumed to track content accuracy.</w:t>
      </w:r>
    </w:p>
    <w:p>
      <w:r>
        <w:rPr>
          <w:color w:val="777777"/>
          <w:sz w:val="16"/>
        </w:rPr>
        <w:t xml:space="preserve">p059 · att1 p.6  </w:t>
      </w:r>
      <w:r>
        <w:t>Behavior at the edge of scope. Scope maintenance measures whether the device stays in scope. Equally important is what it does at the boundary: whether performance degrades gracefully with visible uncertainty, or falls off sharply while confidence remains high. The latter is far more dangerous and is invisible to aggregate accuracy metrics.</w:t>
      </w:r>
    </w:p>
    <w:p>
      <w:r>
        <w:rPr>
          <w:color w:val="777777"/>
          <w:sz w:val="16"/>
        </w:rPr>
        <w:t xml:space="preserve">p060 · att1 p.6  </w:t>
      </w:r>
      <w:r>
        <w:t>On external standards: I am aware of ongoing work in AI evaluation and risk management standards that may be relevant here, but I do not have current verified information on which specific standards have reached a maturity appropriate for regulatory recognition, and I would not want to cite one incorrectly. I recommend</w:t>
      </w:r>
    </w:p>
    <w:p>
      <w:r>
        <w:rPr>
          <w:color w:val="777777"/>
          <w:sz w:val="16"/>
        </w:rPr>
        <w:t xml:space="preserve">p061 · att1 p.6  </w:t>
      </w:r>
      <w:r>
        <w:t>CDRH survey this landscape directly and state which standards it considers suitable for leveraging.</w:t>
      </w:r>
    </w:p>
    <w:p>
      <w:r>
        <w:rPr>
          <w:color w:val="777777"/>
          <w:sz w:val="16"/>
        </w:rPr>
        <w:t xml:space="preserve">p062 · att1 p.6  </w:t>
      </w:r>
      <w:r>
        <w:t>Question 10 — Benchmark validity, contamination, and sponsor-developed benchmarks — This question deserves the most attention of any in the paper, because benchmarking is load-bearing for the entire premarket structure and the assets currently available cannot bear that load.</w:t>
      </w:r>
    </w:p>
    <w:p>
      <w:r>
        <w:rPr>
          <w:color w:val="777777"/>
          <w:sz w:val="16"/>
        </w:rPr>
        <w:t xml:space="preserve">p063 · att1 p.6  </w:t>
      </w:r>
      <w:r>
        <w:t>Contamination is not testable without a training-data cutoff attestation. A sponsor cannot demonstrate that a public benchmark was absent from a third-party model’s training corpus without information the sponsor does not possess. I recommend CDRH state that where a device relies on a third-party model, benchmarking evidence based on publicly available assets is not interpretable absent a dated training-data cutoff attestation from the model provider, and that temporally held-out evaluation data — constructed from material post-dating the attested cutoff — is the preferred mitigation. This also creates the market pull discussed under Question 25.</w:t>
      </w:r>
    </w:p>
    <w:p>
      <w:r>
        <w:rPr>
          <w:color w:val="777777"/>
          <w:sz w:val="16"/>
        </w:rPr>
        <w:t xml:space="preserve">p064 · att1 p.7  </w:t>
      </w:r>
      <w:r>
        <w:t>Construct validity must be argued, not assumed. I recommend CDRH require a sponsor to state, for each benchmark used, the specific real-world behavior it is intended to predict, the reasoning connecting them, and the known limitations of that connection. This is a familiar requirement in a different vocabulary: it is analytical validation, and it should be documented to the same standard.</w:t>
      </w:r>
    </w:p>
    <w:p>
      <w:r>
        <w:rPr>
          <w:color w:val="777777"/>
          <w:sz w:val="16"/>
        </w:rPr>
        <w:t xml:space="preserve">p065 · att1 p.7  </w:t>
      </w:r>
      <w:r>
        <w:t>Sponsor-developed benchmarks should be permitted but structurally separated. They are often unavoidable — for a novel intended use, no external benchmark exists. The controlling concern is not that the sponsor built the benchmark but that the sponsor may have optimized against it. I recommend three safeguards: (a) the benchmark and its acceptance thresholds are locked and submitted before evaluation, not after; (b) the sponsor attests, subject to audit, that the gating set was not used for model selection, prompt engineering, fine-tuning, or any iteration on the device — the separation between development and gating sets must be demonstrable from development records, not merely asserted; (c) a held-out portion is escrowed with FDA or a recognized third party and never returned to the sponsor.</w:t>
      </w:r>
    </w:p>
    <w:p>
      <w:r>
        <w:rPr>
          <w:color w:val="777777"/>
          <w:sz w:val="16"/>
        </w:rPr>
        <w:t xml:space="preserve">p066 · att1 p.7  </w:t>
      </w:r>
      <w:r>
        <w:t>Public benchmarks should be characterized as screening, not evidence. Given contamination and saturation, strong performance on a public benchmark establishes little; weak performance establishes a great deal. I recommend CDRH treat public benchmarks as necessary-but-not-sufficient screens and state explicitly that they do not constitute evidence of effectiveness.</w:t>
      </w:r>
    </w:p>
    <w:p>
      <w:r>
        <w:rPr>
          <w:color w:val="777777"/>
          <w:sz w:val="16"/>
        </w:rPr>
        <w:t xml:space="preserve">p067 · att1 p.7  </w:t>
      </w:r>
      <w:r>
        <w:t>A rotating non-public evaluation resource is worth serious consideration. The contamination problem is structurally unsolvable by sponsors acting individually, since any benchmark that becomes valuable becomes public and then becomes training data. A periodically refreshed evaluation set, maintained by FDA or a recognized body and never published, is one of the few mechanisms that addresses the root cause. I recognize this carries substantial resource and governance implications, and I raise it as a direction worth evaluating rather than as a costed proposal.</w:t>
      </w:r>
    </w:p>
    <w:p>
      <w:r>
        <w:rPr>
          <w:color w:val="777777"/>
          <w:sz w:val="16"/>
        </w:rPr>
        <w:t xml:space="preserve">p068 · att1 p.7  </w:t>
      </w:r>
      <w:r>
        <w:t>Question 11 — Selecting a clinical confirmation approach — I support the graduated ladder. Two recommendations.</w:t>
      </w:r>
    </w:p>
    <w:p>
      <w:r>
        <w:rPr>
          <w:color w:val="777777"/>
          <w:sz w:val="16"/>
        </w:rPr>
        <w:t xml:space="preserve">p069 · att1 p.7  </w:t>
      </w:r>
      <w:r>
        <w:t>First, the selection should be driven by the risk mapping recommended under Question 8, not left to sponsor justification. Sponsor discretion in selecting one’s own evidentiary bar, even with a justification requirement, produces predictable downward pressure and inconsistent review.</w:t>
      </w:r>
    </w:p>
    <w:p>
      <w:r>
        <w:rPr>
          <w:color w:val="777777"/>
          <w:sz w:val="16"/>
        </w:rPr>
        <w:t xml:space="preserve">p070 · att1 p.7  </w:t>
      </w:r>
      <w:r>
        <w:t>Second, shadow deployment deserves to be the presumptive default at intermediate risk. It is the only rung that produces genuine real-world input distributions at zero patient exposure, and the divergence between benchmark input distributions and real clinical input distributions is, in my experience, where software devices most often disappoint. Retrospective evaluation on curated real inputs does not substitute, because curation removes exactly the malformed, incomplete, and atypical inputs that drive real-world failure.</w:t>
      </w:r>
    </w:p>
    <w:p>
      <w:r>
        <w:rPr>
          <w:color w:val="777777"/>
          <w:sz w:val="16"/>
        </w:rPr>
        <w:t xml:space="preserve">p071 · att1 p.7  </w:t>
      </w:r>
      <w:r>
        <w:t>On input distributions: I recommend CDRH require prospective characterization of the anticipated real-world input distribution, and that confirmation evidence be labeled with the population and setting in which it was obtained. A device confirmed at three academic centers has not been confirmed for a rural critical-access hospital with different documentation practices, and the labeling should make the scope of the evidence visible to the adopting institution.</w:t>
      </w:r>
    </w:p>
    <w:p>
      <w:r>
        <w:rPr>
          <w:color w:val="777777"/>
          <w:sz w:val="16"/>
        </w:rPr>
        <w:t xml:space="preserve">p072 · att1 p.8  </w:t>
      </w:r>
      <w:r>
        <w:t>Question 12 — Statistically meaningful performance measurement — There is a measurement problem here that classical device statistics do not address and that the paper does not raise: generative devices are non-deterministic at fixed input. The same input can produce different outputs across runs, and in some cases outputs that differ in clinical direction. Conventional performance estimation assumes a fixed input-output mapping and therefore attributes all observed variance to case mix.</w:t>
      </w:r>
    </w:p>
    <w:p>
      <w:r>
        <w:rPr>
          <w:color w:val="777777"/>
          <w:sz w:val="16"/>
        </w:rPr>
        <w:t xml:space="preserve">p073 · att1 p.8  </w:t>
      </w:r>
      <w:r>
        <w:t>I recommend CDRH require: • — Repeated-sampling variance reporting. Performance must be characterized across repeated runs at fixed input under the deployed sampling configuration, with within-input variance reported separately from between-input variance.</w:t>
      </w:r>
    </w:p>
    <w:p>
      <w:r>
        <w:rPr>
          <w:color w:val="777777"/>
          <w:sz w:val="16"/>
        </w:rPr>
        <w:t xml:space="preserve">p074 · att1 p.8  </w:t>
      </w:r>
      <w:r>
        <w:t>• — Acceptance criteria stated on a lower confidence bound. For a non-deterministic device, a point estimate meeting a threshold does not establish that the device meets the threshold. The bound, not the estimate, should be the criterion.</w:t>
      </w:r>
    </w:p>
    <w:p>
      <w:r>
        <w:rPr>
          <w:color w:val="777777"/>
          <w:sz w:val="16"/>
        </w:rPr>
        <w:t xml:space="preserve">p075 · att1 p.8  </w:t>
      </w:r>
      <w:r>
        <w:t>• — Sampling configuration treated as a specified device parameter subject to change control.</w:t>
      </w:r>
    </w:p>
    <w:p>
      <w:r>
        <w:rPr>
          <w:color w:val="777777"/>
          <w:sz w:val="16"/>
        </w:rPr>
        <w:t xml:space="preserve">p076 · att1 p.8  </w:t>
      </w:r>
      <w:r>
        <w:t>Temperature, top-p, and equivalent settings materially change the performance distribution, and a device evaluated at one configuration and deployed at another has not been evaluated.</w:t>
      </w:r>
    </w:p>
    <w:p>
      <w:r>
        <w:rPr>
          <w:color w:val="777777"/>
          <w:sz w:val="16"/>
        </w:rPr>
        <w:t xml:space="preserve">p077 · att1 p.8  </w:t>
      </w:r>
      <w:r>
        <w:t>On combining benchmarking and confirmation evidence into a single estimate: I recommend against permitting it. The two arise from different sampling frames and support different inferences — benchmarking establishes capability under constructed conditions, confirmation establishes performance under real ones. Pooling them produces an estimate that describes no actual population, and it allows large volumes of cheap benchmark data to dominate small volumes of expensive confirmation data, diluting precisely the evidence that matters most. They should be reported separately, with the confirmation estimate governing the acceptance decision and the benchmarking estimate serving as supporting evidence and as the locked postmarket baseline.</w:t>
      </w:r>
    </w:p>
    <w:p>
      <w:r>
        <w:rPr>
          <w:color w:val="777777"/>
          <w:sz w:val="16"/>
        </w:rPr>
        <w:t xml:space="preserve">p078 · att1 p.8  </w:t>
      </w:r>
      <w:r>
        <w:t>Question 13 — Synthetic data — The paper’s framing of this question — the risk that synthetic data generated by models of the same class as the device reproduces the very gaps evaluation should detect — is exactly right, and I want to press on the implication.</w:t>
      </w:r>
    </w:p>
    <w:p>
      <w:r>
        <w:rPr>
          <w:color w:val="777777"/>
          <w:sz w:val="16"/>
        </w:rPr>
        <w:t xml:space="preserve">p079 · att1 p.8  </w:t>
      </w:r>
      <w:r>
        <w:t>The concern is not bias in the usual sense; it is correlated failure. A generator sharing training data, architecture, or lineage with the device under test shares its blind spots. Where the device misunderstands a rare presentation, a same-family generator will produce synthetic cases embodying the same misunderstanding. The evaluation then returns a clean result on a population that does not exist, and the failure is invisible because the evidence looks complete. This is worse than having no synthetic data, because it manufactures unwarranted confidence.</w:t>
      </w:r>
    </w:p>
    <w:p>
      <w:r>
        <w:rPr>
          <w:color w:val="777777"/>
          <w:sz w:val="16"/>
        </w:rPr>
        <w:t xml:space="preserve">p080 · att1 p.9  </w:t>
      </w:r>
      <w:r>
        <w:t>I recommend CDRH draw a bright line by purpose rather than by domain:</w:t>
      </w:r>
    </w:p>
    <w:p>
      <w:r>
        <w:rPr>
          <w:color w:val="777777"/>
          <w:sz w:val="16"/>
        </w:rPr>
        <w:t xml:space="preserve">p081 · att1 p.9  </w:t>
      </w:r>
      <w:r>
        <w:t>• — Synthetic data is appropriate for finding failures. Stress testing, adversarial probing, coverage of rare and dangerous scenarios that cannot be ethically or practically collected. Here a failure discovered is informative regardless of whether the input was real, and the correlated-blind-spot problem biases toward under-detection — a conservative direction.</w:t>
      </w:r>
    </w:p>
    <w:p>
      <w:r>
        <w:rPr>
          <w:color w:val="777777"/>
          <w:sz w:val="16"/>
        </w:rPr>
        <w:t xml:space="preserve">p082 · att1 p.9  </w:t>
      </w:r>
      <w:r>
        <w:t>• — Synthetic data is not appropriate for establishing performance rates. Any rate requires a denominator representing a real population. Synthetic data cannot supply one, because the generator’s distribution is unvalidated against the deployment distribution and unvalidatable except by reference to the real data one is trying to avoid collecting.</w:t>
      </w:r>
    </w:p>
    <w:p>
      <w:r>
        <w:rPr>
          <w:color w:val="777777"/>
          <w:sz w:val="16"/>
        </w:rPr>
        <w:t xml:space="preserve">p083 · att1 p.9  </w:t>
      </w:r>
      <w:r>
        <w:t>I further recommend that same-family generation be prohibited for subgroup performance claims specifically. Subgroup performance is where correlated blind spots do the most damage — underrepresented subgroups are underrepresented in the generator’s training data for the same reasons they are underrepresented in the device’s — and it is where a false negative has the clearest equity consequence.</w:t>
      </w:r>
    </w:p>
    <w:p>
      <w:r>
        <w:rPr>
          <w:color w:val="777777"/>
          <w:sz w:val="16"/>
        </w:rPr>
        <w:t xml:space="preserve">p084 · att1 p.9  </w:t>
      </w:r>
      <w:r>
        <w:t>Where synthetic data is used at all, the generator’s identity, provenance, and training lineage should be disclosed, and its relationship to the device’s underlying model stated explicitly.</w:t>
      </w:r>
    </w:p>
    <w:p>
      <w:r>
        <w:rPr>
          <w:color w:val="777777"/>
          <w:sz w:val="16"/>
        </w:rPr>
        <w:t xml:space="preserve">p085 · att1 p.9  </w:t>
      </w:r>
      <w:r>
        <w:t>I am not aware of a validated method for establishing that a synthetic clinical population is distributionally adequate to a real one for regulatory purposes, and would be interested to see any that commenters can point to. I would rather CDRH proceed as though none exists than adopt a permissive posture on the assumption that one will emerge.</w:t>
      </w:r>
    </w:p>
    <w:p>
      <w:r>
        <w:rPr>
          <w:color w:val="777777"/>
          <w:sz w:val="16"/>
        </w:rPr>
        <w:t xml:space="preserve">p086 · att1 p.9  </w:t>
      </w:r>
      <w:r>
        <w:t>Question 14 — Comparators and acceptance criteria — I recommend against “the median clinician in practice” as a primary performance standard, for several reasons.</w:t>
      </w:r>
    </w:p>
    <w:p>
      <w:r>
        <w:rPr>
          <w:color w:val="777777"/>
          <w:sz w:val="16"/>
        </w:rPr>
        <w:t xml:space="preserve">p087 · att1 p.9  </w:t>
      </w:r>
      <w:r>
        <w:t>It is unmeasured — there is no reliable characterization of median clinician performance for most tasks a</w:t>
      </w:r>
    </w:p>
    <w:p>
      <w:r>
        <w:rPr>
          <w:color w:val="777777"/>
          <w:sz w:val="16"/>
        </w:rPr>
        <w:t xml:space="preserve">p088 · att1 p.9  </w:t>
      </w:r>
      <w:r>
        <w:t>GenAI device would perform, so the comparator would in practice be a convenience sample presented as a population parameter. It is a moving target, and one that a widely adopted device would itself move. Most importantly, it anchors the acceptable bar to observed practice variation rather than to patient benefit: where median practice is poor, the standard licenses a device that is also poor, and the patient in front of that device receives no protection from the fact that the alternative was equally bad.</w:t>
      </w:r>
    </w:p>
    <w:p>
      <w:r>
        <w:rPr>
          <w:color w:val="777777"/>
          <w:sz w:val="16"/>
        </w:rPr>
        <w:t xml:space="preserve">p089 · att1 p.9  </w:t>
      </w:r>
      <w:r>
        <w:t>The better construction, in my view, has two parts: 1.</w:t>
      </w:r>
    </w:p>
    <w:p>
      <w:r>
        <w:rPr>
          <w:color w:val="777777"/>
          <w:sz w:val="16"/>
        </w:rPr>
        <w:t xml:space="preserve">p090 · att1 p.9  </w:t>
      </w:r>
      <w:r>
        <w:t>Prespecified clinical acceptance criteria derived from the consequence of the decision. What performance is required for this device, in this use, to be safe and effective, given what happens when it is wrong? This is a clinical and normative judgment, it should be made in advance and defended, and it is the judgment the acceptance decision actually turns on.</w:t>
      </w:r>
    </w:p>
    <w:p>
      <w:r>
        <w:rPr>
          <w:color w:val="777777"/>
          <w:sz w:val="16"/>
        </w:rPr>
        <w:t xml:space="preserve">p091 · att1 p.9  </w:t>
      </w:r>
      <w:r>
        <w:t>2.</w:t>
      </w:r>
    </w:p>
    <w:p>
      <w:r>
        <w:rPr>
          <w:color w:val="777777"/>
          <w:sz w:val="16"/>
        </w:rPr>
        <w:t xml:space="preserve">p092 · att1 p.9  </w:t>
      </w:r>
      <w:r>
        <w:t>A clinician panel as an adjudication instrument, not as the bar. Panels are essential for open-ended outputs, where automated scoring is inadequate. But a panel is a measurement instrument, and it should be validated and reported as one: prespecified composition and qualifications, prespecified size with justification, a written adjudication protocol, blinding to output source where feasible, measured and reported inter-rater reliability, and a prespecified procedure for resolving disagreement. A panel with unreported inter-rater reliability is an uncharacterized instrument, and evidence generated by an uncharacterized instrument should not gate a marketing decision. This is standard practice in reader studies and should carry over without modification.</w:t>
      </w:r>
    </w:p>
    <w:p>
      <w:r>
        <w:rPr>
          <w:color w:val="777777"/>
          <w:sz w:val="16"/>
        </w:rPr>
        <w:t xml:space="preserve">p093 · att1 p.10  </w:t>
      </w:r>
      <w:r>
        <w:t>On generalist versus specialist: the comparator should match the labeled intended user, subject to my comment under Question 4 regarding foreseeable use. A device labeled for primary care benchmarked against subspecialists is being measured against a standard its users do not represent — which may overstate or understate the device’s contribution depending on direction, and in either case measures the wrong thing.</w:t>
      </w:r>
    </w:p>
    <w:p>
      <w:r>
        <w:rPr>
          <w:color w:val="777777"/>
          <w:sz w:val="16"/>
        </w:rPr>
        <w:t xml:space="preserve">p094 · att1 p.10  </w:t>
      </w:r>
      <w:r>
        <w:t>On human-AI team performance: where the labeling requires human review, team performance should be the primary basis of evaluation, and standalone device performance should be supporting evidence only.</w:t>
      </w:r>
    </w:p>
    <w:p>
      <w:r>
        <w:rPr>
          <w:color w:val="777777"/>
          <w:sz w:val="16"/>
        </w:rPr>
        <w:t xml:space="preserve">p095 · att1 p.10  </w:t>
      </w:r>
      <w:r>
        <w:t>Evaluating the device in isolation when it will never be used in isolation measures a configuration that does not exist. I would add that team evaluation must be designed to detect automation bias — the tendency of reviewers to defer to a confident output — which is a principal mechanism by which human-in-the-loop safeguards fail. A team evaluation that does not include cases where the device is confidently wrong will systematically overstate the safeguard’s value.</w:t>
      </w:r>
    </w:p>
    <w:p>
      <w:r>
        <w:rPr>
          <w:color w:val="777777"/>
          <w:sz w:val="16"/>
        </w:rPr>
        <w:t xml:space="preserve">p096 · att1 p.10  </w:t>
      </w:r>
      <w:r>
        <w:t>Question 15 — Counterfactual comparators — I support permitting comparison to the care that would occur absent the device, and I think the paper is right that this is often the clinically meaningful question. For access-expanding devices, the true alternative is frequently no assessment at all, delayed assessment, or assessment by a less qualified party, and holding such a device to a specialist standard can foreclose a real benefit.</w:t>
      </w:r>
    </w:p>
    <w:p>
      <w:r>
        <w:rPr>
          <w:color w:val="777777"/>
          <w:sz w:val="16"/>
        </w:rPr>
        <w:t xml:space="preserve">p097 · att1 p.10  </w:t>
      </w:r>
      <w:r>
        <w:t>Two safeguards should accompany it. First, the counterfactual must be empirically characterized for the specific deployment setting, not assumed — the claim that “nothing would otherwise happen” is an evidentiary claim about a care pathway and should be supported. Second, and more importantly, the comparator must travel with the labeling. A device authorized against a no-intervention counterfactual in a resource-limited setting has not been shown safe and effective as a substitute for specialist review in a resource-rich one, and the authorization should say so in terms an adopting institution can act on. Without this, counterfactual comparators become a low-bar entry route followed by scope creep that no one has evaluated.</w:t>
      </w:r>
    </w:p>
    <w:p>
      <w:r>
        <w:rPr>
          <w:color w:val="777777"/>
          <w:sz w:val="16"/>
        </w:rPr>
        <w:t xml:space="preserve">p098 · att1 p.10  </w:t>
      </w:r>
      <w:r>
        <w:t>Question 16 — Independent third parties — Third-party involvement is well suited to benchmark administration, escrow of held-out evaluation sets, and clinical adjudication — activities where independence from the sponsor is the substantive point.</w:t>
      </w:r>
    </w:p>
    <w:p>
      <w:r>
        <w:rPr>
          <w:color w:val="777777"/>
          <w:sz w:val="16"/>
        </w:rPr>
        <w:t xml:space="preserve">p099 · att1 p.10  </w:t>
      </w:r>
      <w:r>
        <w:t>The design risks are real and familiar from other accreditation regimes. I recommend:</w:t>
      </w:r>
    </w:p>
    <w:p>
      <w:r>
        <w:rPr>
          <w:color w:val="777777"/>
          <w:sz w:val="16"/>
        </w:rPr>
        <w:t xml:space="preserve">p100 · att1 p.10  </w:t>
      </w:r>
      <w:r>
        <w:t>• — Published recognition criteria for qualifying bodies, so recognition is not discretionary and entry is contestable.</w:t>
      </w:r>
    </w:p>
    <w:p>
      <w:r>
        <w:rPr>
          <w:color w:val="777777"/>
          <w:sz w:val="16"/>
        </w:rPr>
        <w:t xml:space="preserve">p101 · att1 p.11  </w:t>
      </w:r>
      <w:r>
        <w:t>• — Strict separation of advisory and assessment roles. An entity that advised a sponsor on device development, benchmark design, or submission strategy must not assess that device. This is elementary quality-system independence and should be stated as a disqualification, not a disclosure.</w:t>
      </w:r>
    </w:p>
    <w:p>
      <w:r>
        <w:rPr>
          <w:color w:val="777777"/>
          <w:sz w:val="16"/>
        </w:rPr>
        <w:t xml:space="preserve">p102 · att1 p.11  </w:t>
      </w:r>
      <w:r>
        <w:t>• — Public disclosure of financial relationships between assessing bodies and sponsors, including aggregate revenue concentration — a body deriving most of its revenue from a small number of sponsors is not independent in any meaningful sense regardless of per-engagement firewalls.</w:t>
      </w:r>
    </w:p>
    <w:p>
      <w:r>
        <w:rPr>
          <w:color w:val="777777"/>
          <w:sz w:val="16"/>
        </w:rPr>
        <w:t xml:space="preserve">p103 · att1 p.11  </w:t>
      </w:r>
      <w:r>
        <w:t>• — A preserved first-party pathway. Third-party assessment should be an option that reduces review friction, never a mandatory gate. Making it mandatory converts recognized bodies into rent-collecting chokepoints and disproportionately burdens smaller developers, which is a competition harm and, over time, a safety harm through reduced diversity of approaches.</w:t>
      </w:r>
    </w:p>
    <w:p>
      <w:r>
        <w:rPr>
          <w:color w:val="777777"/>
          <w:sz w:val="16"/>
        </w:rPr>
        <w:t xml:space="preserve">p104 · att1 p.11  </w:t>
      </w:r>
      <w:r>
        <w:t>I would also flag that third-party assessment capacity for generative medical devices does not currently exist at scale in any form I am aware of. If CDRH intends third parties to play a significant role, the paper should acknowledge the capacity-building timeline, because a framework that depends on institutions that do not yet exist will not be operable on the timeline the technology is moving.</w:t>
      </w:r>
    </w:p>
    <w:p>
      <w:r>
        <w:rPr>
          <w:color w:val="777777"/>
          <w:sz w:val="16"/>
        </w:rPr>
        <w:t xml:space="preserve">p105 · att1 p.11  </w:t>
      </w:r>
      <w:r>
        <w:t>Question 17 — Other model architectures — I would encourage caution in extending the framework by analogy. The competency-based approach is workable for language-centric devices in part because a meaningful, if flawed, ecosystem of language benchmarks exists. For multimodal vision-language models and generative or predictive world models, the benchmarking assets are substantially thinner, and I do not have verified information on what is currently available for clinical use cases in these modalities.</w:t>
      </w:r>
    </w:p>
    <w:p>
      <w:r>
        <w:rPr>
          <w:color w:val="777777"/>
          <w:sz w:val="16"/>
        </w:rPr>
        <w:t xml:space="preserve">p106 · att1 p.11  </w:t>
      </w:r>
      <w:r>
        <w:t>The structural implication is that where benchmarking assets are immature, clinical confirmation must carry proportionally more weight. I recommend CDRH state this scaling principle explicitly rather than allowing a uniform framework to imply that a thin benchmarking record is as informative as a rich one.</w:t>
      </w:r>
    </w:p>
    <w:p>
      <w:r>
        <w:rPr>
          <w:color w:val="777777"/>
          <w:sz w:val="16"/>
        </w:rPr>
        <w:t xml:space="preserve">p107 · att1 p.11  </w:t>
      </w:r>
      <w:r>
        <w:t>Otherwise the framework’s evidentiary flexibility will be claimed most aggressively exactly where the underlying evidence base is weakest.</w:t>
      </w:r>
    </w:p>
    <w:p>
      <w:r>
        <w:rPr>
          <w:color w:val="777777"/>
          <w:sz w:val="16"/>
        </w:rPr>
        <w:t xml:space="preserve">p108 · att1 p.11  </w:t>
      </w:r>
      <w:r>
        <w:t>III. Postmarket monitoring (Section VI; Questions 18–24) — Question 18 — Trading premarket evidence for postmarket monitoring</w:t>
      </w:r>
    </w:p>
    <w:p>
      <w:r>
        <w:rPr>
          <w:color w:val="777777"/>
          <w:sz w:val="16"/>
        </w:rPr>
        <w:t xml:space="preserve">p109 · att1 p.11  </w:t>
      </w:r>
      <w:r>
        <w:t>This is an appealing proposition and it may be the right direction, but I want to register a concern grounded in how postmarket commitments have historically performed.</w:t>
      </w:r>
    </w:p>
    <w:p>
      <w:r>
        <w:rPr>
          <w:color w:val="777777"/>
          <w:sz w:val="16"/>
        </w:rPr>
        <w:t xml:space="preserve">p110 · att1 p.11  </w:t>
      </w:r>
      <w:r>
        <w:t>The general pattern across regulated products is that postmarket obligations are less reliably fulfilled than premarket ones — completion is slower, enforcement is resource-intensive, and passive surveillance systems depend on reporting behavior that is uneven. I do not have current verified figures on postmarket study completion rates or software-related adverse event reporting rates, and I would encourage CDRH to publish its own data on this before relying on postmarket monitoring as a substitute for premarket evidence. If the data show that postmarket obligations for software devices are reliably met, that materially strengthens the case; if they do not, the paper’s proposal transfers risk to patients in exchange for an obligation that may not be discharged.</w:t>
      </w:r>
    </w:p>
    <w:p>
      <w:r>
        <w:rPr>
          <w:color w:val="777777"/>
          <w:sz w:val="16"/>
        </w:rPr>
        <w:t xml:space="preserve">p111 · att1 p.12  </w:t>
      </w:r>
      <w:r>
        <w:t>Conditions I would consider necessary: • — The monitoring program must be an enforceable condition of authorization, with prespecified triggers and prespecified consequences — including suspension of marketing — that attach automatically rather than through a discretionary enforcement decision. A commitment is not a control.</w:t>
      </w:r>
    </w:p>
    <w:p>
      <w:r>
        <w:rPr>
          <w:color w:val="777777"/>
          <w:sz w:val="16"/>
        </w:rPr>
        <w:t xml:space="preserve">p112 · att1 p.12  </w:t>
      </w:r>
      <w:r>
        <w:t>• — The sponsor must demonstrate technical capability to observe the endpoint. Many GenAI devices have no linkage between an output and any recorded clinical outcome. Where the sponsor cannot show a data pathway from output to observable consequence, the monitoring program is aspirational and cannot justify reduced premarket evidence. This should be an explicit gating question.</w:t>
      </w:r>
    </w:p>
    <w:p>
      <w:r>
        <w:rPr>
          <w:color w:val="777777"/>
          <w:sz w:val="16"/>
        </w:rPr>
        <w:t xml:space="preserve">p113 · att1 p.12  </w:t>
      </w:r>
      <w:r>
        <w:t>• — Detection latency must be shorter than harm accumulation. Where a degradation would produce harm faster than the monitoring cadence could detect it, the trade is unavailable regardless of program quality.</w:t>
      </w:r>
    </w:p>
    <w:p>
      <w:r>
        <w:rPr>
          <w:color w:val="777777"/>
          <w:sz w:val="16"/>
        </w:rPr>
        <w:t xml:space="preserve">p114 · att1 p.12  </w:t>
      </w:r>
      <w:r>
        <w:t>• — Irreversibility forecloses the trade. Where the harm from an incorrect output cannot be undone, postmarket detection is not a mitigation — it is an audit of damage already done.</w:t>
      </w:r>
    </w:p>
    <w:p>
      <w:r>
        <w:rPr>
          <w:color w:val="777777"/>
          <w:sz w:val="16"/>
        </w:rPr>
        <w:t xml:space="preserve">p115 · att1 p.12  </w:t>
      </w:r>
      <w:r>
        <w:t>I recommend CDRH state affirmatively that reduced premarket evidence is not available for devices in the high-consequence, high-activity region of the risk grid, so that the flexibility is bounded on its face.</w:t>
      </w:r>
    </w:p>
    <w:p>
      <w:r>
        <w:rPr>
          <w:color w:val="777777"/>
          <w:sz w:val="16"/>
        </w:rPr>
        <w:t xml:space="preserve">p116 · att1 p.12  </w:t>
      </w:r>
      <w:r>
        <w:t>Question 19 — Approaches and cadence — The three approaches described are sensible and complementary. My substantive recommendation concerns cadence: it should be event-driven with a calendar floor, not calendar-driven.</w:t>
      </w:r>
    </w:p>
    <w:p>
      <w:r>
        <w:rPr>
          <w:color w:val="777777"/>
          <w:sz w:val="16"/>
        </w:rPr>
        <w:t xml:space="preserve">p117 · att1 p.12  </w:t>
      </w:r>
      <w:r>
        <w:t>Calendar-based reassessment is poorly matched to a technology whose performance changes discontinuously at the moment of a change rather than continuously with time. I recommend triggering events include, at minimum: any change to the underlying model version or weights, whether initiated by the manufacturer or the model provider; any change to system prompts, instructions, or output templates; any change to a retrieval corpus or knowledge source; any measured shift in the input distribution beyond prespecified bounds; any change in the deployed sampling configuration; and any accumulation of complaints or adjudicated errors exceeding a prespecified threshold. A calendar floor — annual, or more frequent for higher-risk devices — should catch slow drift that trips no discrete trigger.</w:t>
      </w:r>
    </w:p>
    <w:p>
      <w:r>
        <w:rPr>
          <w:color w:val="777777"/>
          <w:sz w:val="16"/>
        </w:rPr>
        <w:t xml:space="preserve">p118 · att1 p.12  </w:t>
      </w:r>
      <w:r>
        <w:t>From a quality-system perspective these should be defined as change-control triggers within the manufacturer’s QMS, so that the postmarket monitoring obligation is integrated with existing design-change procedures rather than maintained as a separate process. Parallel processes diverge.</w:t>
      </w:r>
    </w:p>
    <w:p>
      <w:r>
        <w:rPr>
          <w:color w:val="777777"/>
          <w:sz w:val="16"/>
        </w:rPr>
        <w:t xml:space="preserve">p119 · att1 p.12  </w:t>
      </w:r>
      <w:r>
        <w:t>Question 20 — Machine-based supervisory agents — Automated supervision is probably unavoidable at the volumes involved — human review of every output is not feasible for a high-throughput device — so the question is how to make it trustworthy rather than whether to permit it.</w:t>
      </w:r>
    </w:p>
    <w:p>
      <w:r>
        <w:rPr>
          <w:color w:val="777777"/>
          <w:sz w:val="16"/>
        </w:rPr>
        <w:t xml:space="preserve">p120 · att1 p.13  </w:t>
      </w:r>
      <w:r>
        <w:t>The dominant risk is correlated failure. A supervisory agent built on the same foundation model as the device it monitors shares that model’s blind spots. It will approve exactly the outputs that are wrong for reasons the model family does not represent, and its agreement will be misread as independent confirmation.</w:t>
      </w:r>
    </w:p>
    <w:p>
      <w:r>
        <w:rPr>
          <w:color w:val="777777"/>
          <w:sz w:val="16"/>
        </w:rPr>
        <w:t xml:space="preserve">p121 · att1 p.13  </w:t>
      </w:r>
      <w:r>
        <w:t>This is not a hypothetical: it is the direct consequence of shared training data and architecture, and it means a same-model supervisor’s clean report carries close to zero information about the failures that matter most.</w:t>
      </w:r>
    </w:p>
    <w:p>
      <w:r>
        <w:rPr>
          <w:color w:val="777777"/>
          <w:sz w:val="16"/>
        </w:rPr>
        <w:t xml:space="preserve">p122 · att1 p.13  </w:t>
      </w:r>
      <w:r>
        <w:t>I recommend: • — Architectural independence as a condition of evidentiary use. A supervisory agent offered as postmarket evidence should be built on a model of a different family and provider than the supervised device. Where full independence is impractical, the sponsor should characterize and report the correlation in failure modes between supervisor and device on a held-out error set, and the monitoring program’s credit should scale with the demonstrated independence.</w:t>
      </w:r>
    </w:p>
    <w:p>
      <w:r>
        <w:rPr>
          <w:color w:val="777777"/>
          <w:sz w:val="16"/>
        </w:rPr>
        <w:t xml:space="preserve">p123 · att1 p.13  </w:t>
      </w:r>
      <w:r>
        <w:t>• — The supervisor is itself a measuring instrument and must be validated as one. Report its sensitivity for the specific harms of interest against human adjudication on a sampled basis — not aggregate agreement, which is dominated by the easy majority of correct outputs and can be high while sensitivity for serious errors is near zero. Sensitivity must be re-measured over time, since the supervisor’s own performance drifts.</w:t>
      </w:r>
    </w:p>
    <w:p>
      <w:r>
        <w:rPr>
          <w:color w:val="777777"/>
          <w:sz w:val="16"/>
        </w:rPr>
        <w:t xml:space="preserve">p124 · att1 p.13  </w:t>
      </w:r>
      <w:r>
        <w:t>• — The supervisor triages; it does not conclude. Its appropriate role is prioritizing outputs for human review and enabling broader sampling than humans could achieve unaided. The adjudicated endpoint should remain human. A monitoring program whose terminal judgment is machine-made has no independent check anywhere in the loop.</w:t>
      </w:r>
    </w:p>
    <w:p>
      <w:r>
        <w:rPr>
          <w:color w:val="777777"/>
          <w:sz w:val="16"/>
        </w:rPr>
        <w:t xml:space="preserve">p125 · att1 p.13  </w:t>
      </w:r>
      <w:r>
        <w:t>• — The supervisor is part of the device system for change-control purposes. A change to the supervisory agent changes the device’s monitoring properties and should trigger reassessment on the same terms as a change to the device.</w:t>
      </w:r>
    </w:p>
    <w:p>
      <w:r>
        <w:rPr>
          <w:color w:val="777777"/>
          <w:sz w:val="16"/>
        </w:rPr>
        <w:t xml:space="preserve">p126 · att1 p.13  </w:t>
      </w:r>
      <w:r>
        <w:t>Question 21 — Ecosystem roles and manufacturer accountability — The accountability principle can be stated simply, and I recommend CDRH state it: information may come from anywhere; the duty to investigate and act remains with the manufacturer. Clinicians, institutions, and societies can be valuable sources of signal, and health systems in particular hold the outcome data manufacturers lack. But a manufacturer that has arranged to receive signal from third parties has not thereby delegated any portion of its complaint-handling, investigation, or reporting obligations, and the paper should say so directly to prevent the shared-ecosystem framing from being read as shared responsibility.</w:t>
      </w:r>
    </w:p>
    <w:p>
      <w:r>
        <w:rPr>
          <w:color w:val="777777"/>
          <w:sz w:val="16"/>
        </w:rPr>
        <w:t xml:space="preserve">p127 · att1 p.13  </w:t>
      </w:r>
      <w:r>
        <w:t>I recommend building on the existing complaint-handling and MDR architecture rather than creating a parallel structure. That said, I want to flag a gap that I believe requires attention before postmarket monitoring can function at all for these devices:</w:t>
      </w:r>
    </w:p>
    <w:p>
      <w:r>
        <w:rPr>
          <w:color w:val="777777"/>
          <w:sz w:val="16"/>
        </w:rPr>
        <w:t xml:space="preserve">p128 · att1 p.13  </w:t>
      </w:r>
      <w:r>
        <w:t>It is currently unclear what constitutes a reportable event for a generative output. If a device produces a clinically incorrect recommendation and the clinician recognizes and disregards it, has a device malfunction occurred? Under a conventional reading, the device did not perform as intended, and a malfunction that could cause or contribute to serious injury if it recurred is reportable — which would imply that hallucinations caught by users are reportable events. I do not believe manufacturers are currently operating on that reading, and I do not believe the volume would be manageable if they did. But the alternative reading — that only outputs resulting in actual harm are reportable — discards precisely the near-miss data that would make postmarket monitoring effective, and near-miss data is the most valuable signal any surveillance system collects.</w:t>
      </w:r>
    </w:p>
    <w:p>
      <w:r>
        <w:rPr>
          <w:color w:val="777777"/>
          <w:sz w:val="16"/>
        </w:rPr>
        <w:t xml:space="preserve">p129 · att1 p.14  </w:t>
      </w:r>
      <w:r>
        <w:t>This ambiguity is consequential and unresolved, and every element of Section VI depends on how it is settled. I recommend CDRH address it directly, and would suggest that the workable answer likely involves a distinct, aggregate reporting channel for caught errors — reported as rates rather than as individual MDRs — so that the signal is preserved without generating unmanageable individual-event volume.</w:t>
      </w:r>
    </w:p>
    <w:p>
      <w:r>
        <w:rPr>
          <w:color w:val="777777"/>
          <w:sz w:val="16"/>
        </w:rPr>
        <w:t xml:space="preserve">p130 · att1 p.14  </w:t>
      </w:r>
      <w:r>
        <w:t>Question 22 — Scaling re-evaluation to modifications — I support using the premarket competency assessment as a locked baseline. The organizing principle I would propose for categorizing changes is this: the question is not how large the change is, but whether the locked evaluation instrument remains valid for the changed device. A small change that invalidates the benchmark suite requires more scrutiny than a large change that does not.</w:t>
      </w:r>
    </w:p>
    <w:p>
      <w:r>
        <w:rPr>
          <w:color w:val="777777"/>
          <w:sz w:val="16"/>
        </w:rPr>
        <w:t xml:space="preserve">p131 · att1 p.14  </w:t>
      </w:r>
      <w:r>
        <w:t>Applying that principle, a tiered structure might look like: Tier 1 — no re-benchmarking. Changes that cannot affect device outputs: user interface presentation, logging, analytics instrumentation, infrastructure changes with no path to the output. Documented under normal change control.</w:t>
      </w:r>
    </w:p>
    <w:p>
      <w:r>
        <w:rPr>
          <w:color w:val="777777"/>
          <w:sz w:val="16"/>
        </w:rPr>
        <w:t xml:space="preserve">p132 · att1 p.14  </w:t>
      </w:r>
      <w:r>
        <w:t>Tier 2 — full re-benchmarking against the locked suite, managed within the QMS, no premarket submission. Model version updates within the same family and provider; prompt or template modifications within a validated structure; retrieval corpus refreshes drawing on a validated source list; sampling configuration changes within a validated range. The condition is that the device passes the complete locked benchmark suite at a prespecified non-inferiority margin, with results documented and available on inspection. Failure at any element converts the change to Tier 3.</w:t>
      </w:r>
    </w:p>
    <w:p>
      <w:r>
        <w:rPr>
          <w:color w:val="777777"/>
          <w:sz w:val="16"/>
        </w:rPr>
        <w:t xml:space="preserve">p133 · att1 p.14  </w:t>
      </w:r>
      <w:r>
        <w:t>Tier 3 — premarket submission. Change of foundation model family or provider; expansion of intended use, intended user, or clinical scope; addition of a new input or output modality; any change to agentic tool access or action scope; and any change for which the locked benchmark suite is no longer a valid instrument</w:t>
      </w:r>
    </w:p>
    <w:p>
      <w:r>
        <w:rPr>
          <w:color w:val="777777"/>
          <w:sz w:val="16"/>
        </w:rPr>
        <w:t xml:space="preserve">p134 · att1 p.14  </w:t>
      </w:r>
      <w:r>
        <w:t>— for example, a change that introduces capabilities the suite does not probe.</w:t>
      </w:r>
    </w:p>
    <w:p>
      <w:r>
        <w:rPr>
          <w:color w:val="777777"/>
          <w:sz w:val="16"/>
        </w:rPr>
        <w:t xml:space="preserve">p135 · att1 p.14  </w:t>
      </w:r>
      <w:r>
        <w:t>The essential safeguard is that the benchmark suite itself cannot be modified within Tier 2. If the sponsor can revise the instrument and the device together, non-inferiority against the revised instrument is meaningless. Modification of the locked suite should always be a Tier 3 event.</w:t>
      </w:r>
    </w:p>
    <w:p>
      <w:r>
        <w:rPr>
          <w:color w:val="777777"/>
          <w:sz w:val="16"/>
        </w:rPr>
        <w:t xml:space="preserve">p136 · att1 p.14  </w:t>
      </w:r>
      <w:r>
        <w:t>Question 23 — PCCPs when modifications cannot be prespecified — This is the right question and I think it admits a clean answer, which is the most useful thing I can offer in this comment.</w:t>
      </w:r>
    </w:p>
    <w:p>
      <w:r>
        <w:rPr>
          <w:color w:val="777777"/>
          <w:sz w:val="16"/>
        </w:rPr>
        <w:t xml:space="preserve">p137 · att1 p.15  </w:t>
      </w:r>
      <w:r>
        <w:t>The current PCCP construct prespecifies what will change — the modification, the methods to implement and validate it, the impact assessment. For generative devices this fails, not because sponsors are unwilling but because the change space is genuinely open: a sponsor cannot enumerate in advance the model versions a provider will release or the prompt refinements that experience will suggest.</w:t>
      </w:r>
    </w:p>
    <w:p>
      <w:r>
        <w:rPr>
          <w:color w:val="777777"/>
          <w:sz w:val="16"/>
        </w:rPr>
        <w:t xml:space="preserve">p138 · att1 p.15  </w:t>
      </w:r>
      <w:r>
        <w:t>The adaptation is to invert what is locked. An invariant-based PCCP prespecifies not the change but what must remain true after any change:</w:t>
      </w:r>
    </w:p>
    <w:p>
      <w:r>
        <w:rPr>
          <w:color w:val="777777"/>
          <w:sz w:val="16"/>
        </w:rPr>
        <w:t xml:space="preserve">p139 · att1 p.15  </w:t>
      </w:r>
      <w:r>
        <w:t>• — The evaluation instrument — the complete benchmark suite, escrowed and immutable.</w:t>
      </w:r>
    </w:p>
    <w:p>
      <w:r>
        <w:rPr>
          <w:color w:val="777777"/>
          <w:sz w:val="16"/>
        </w:rPr>
        <w:t xml:space="preserve">p140 · att1 p.15  </w:t>
      </w:r>
      <w:r>
        <w:t>• — The acceptance thresholds, including subgroup-level thresholds and the non-inferiority margin.</w:t>
      </w:r>
    </w:p>
    <w:p>
      <w:r>
        <w:rPr>
          <w:color w:val="777777"/>
          <w:sz w:val="16"/>
        </w:rPr>
        <w:t xml:space="preserve">p141 · att1 p.15  </w:t>
      </w:r>
      <w:r>
        <w:t>• — The verification protocol — what is run, in what order, by whom, with what independence, before any change reaches users.</w:t>
      </w:r>
    </w:p>
    <w:p>
      <w:r>
        <w:rPr>
          <w:color w:val="777777"/>
          <w:sz w:val="16"/>
        </w:rPr>
        <w:t xml:space="preserve">p142 · att1 p.15  </w:t>
      </w:r>
      <w:r>
        <w:t>• — The rollback criteria and mechanism, including maximum time-to-rollback and the technical demonstration that rollback is achievable.</w:t>
      </w:r>
    </w:p>
    <w:p>
      <w:r>
        <w:rPr>
          <w:color w:val="777777"/>
          <w:sz w:val="16"/>
        </w:rPr>
        <w:t xml:space="preserve">p143 · att1 p.15  </w:t>
      </w:r>
      <w:r>
        <w:t>• — The change categories in scope, defined by the Tier 2 boundary above rather than by enumeration of specific changes.</w:t>
      </w:r>
    </w:p>
    <w:p>
      <w:r>
        <w:rPr>
          <w:color w:val="777777"/>
          <w:sz w:val="16"/>
        </w:rPr>
        <w:t xml:space="preserve">p144 · att1 p.15  </w:t>
      </w:r>
      <w:r>
        <w:t>• — The documentation and notification obligations attaching to each change.</w:t>
      </w:r>
    </w:p>
    <w:p>
      <w:r>
        <w:rPr>
          <w:color w:val="777777"/>
          <w:sz w:val="16"/>
        </w:rPr>
        <w:t xml:space="preserve">p145 · att1 p.15  </w:t>
      </w:r>
      <w:r>
        <w:t>Under this structure a sponsor may make any change falling within the scoped categories, provided the changed device passes the locked evaluation at the locked thresholds under the locked protocol, with everything documented and inspectable. The sponsor gains the operational flexibility the technology requires.</w:t>
      </w:r>
    </w:p>
    <w:p>
      <w:r>
        <w:rPr>
          <w:color w:val="777777"/>
          <w:sz w:val="16"/>
        </w:rPr>
        <w:t xml:space="preserve">p146 · att1 p.15  </w:t>
      </w:r>
      <w:r>
        <w:t>CDRH retains a fixed, auditable gate that does not move.</w:t>
      </w:r>
    </w:p>
    <w:p>
      <w:r>
        <w:rPr>
          <w:color w:val="777777"/>
          <w:sz w:val="16"/>
        </w:rPr>
        <w:t xml:space="preserve">p147 · att1 p.15  </w:t>
      </w:r>
      <w:r>
        <w:t>The construct depends entirely on the integrity of the locked instrument. If the sponsor can modify the benchmark suite while modifying the device, the whole thing is circular and provides no assurance at all.</w:t>
      </w:r>
    </w:p>
    <w:p>
      <w:r>
        <w:rPr>
          <w:color w:val="777777"/>
          <w:sz w:val="16"/>
        </w:rPr>
        <w:t xml:space="preserve">p148 · att1 p.15  </w:t>
      </w:r>
      <w:r>
        <w:t>Escrow of the suite, and Tier 3 treatment of any change to it, are not optional features of this proposal — they are the proposal.</w:t>
      </w:r>
    </w:p>
    <w:p>
      <w:r>
        <w:rPr>
          <w:color w:val="777777"/>
          <w:sz w:val="16"/>
        </w:rPr>
        <w:t xml:space="preserve">p149 · att1 p.15  </w:t>
      </w:r>
      <w:r>
        <w:t>Question 24 — Third-party model changes initiated by the model developer — In my assessment this is the most significant unaddressed gap in the current regulatory picture, and I am glad the paper names it.</w:t>
      </w:r>
    </w:p>
    <w:p>
      <w:r>
        <w:rPr>
          <w:color w:val="777777"/>
          <w:sz w:val="16"/>
        </w:rPr>
        <w:t xml:space="preserve">p150 · att1 p.15  </w:t>
      </w:r>
      <w:r>
        <w:t>My understanding of prevailing commercial practice — which I would encourage CDRH to verify directly with model providers, as it varies by provider and is changing quickly — is that hosted model endpoints are frequently updated without individualized customer notice; that version pinning is offered inconsistently and often with limited-duration guarantees; and that pinned versions are deprecated on provider-determined timelines that may be shorter than a device lifecycle. If that characterization is broadly accurate, then a device manufacturer relying on a hosted third-party endpoint may have its device’s behavior changed without its knowledge and without any mechanism to detect the change, which is not a condition any quality system can accommodate.</w:t>
      </w:r>
    </w:p>
    <w:p>
      <w:r>
        <w:rPr>
          <w:color w:val="777777"/>
          <w:sz w:val="16"/>
        </w:rPr>
        <w:t xml:space="preserve">p151 · att1 p.15  </w:t>
      </w:r>
      <w:r>
        <w:t>I recommend: Treat version pinning as a design control expectation. CDRH should state that a GenAI-enabled device relying on a third-party model is expected to execute against a pinned, version-identified model endpoint, and that the inability to pin — or reliance on a provider that does not offer pinning with change notice — is a design deficiency to be addressed, not a residual risk to be accepted. This is the single highest-leverage statement CDRH could make in this area, and it would immediately reshape provider offerings in the medical device segment.</w:t>
      </w:r>
    </w:p>
    <w:p>
      <w:r>
        <w:rPr>
          <w:color w:val="777777"/>
          <w:sz w:val="16"/>
        </w:rPr>
        <w:t xml:space="preserve">p152 · att1 p.16  </w:t>
      </w:r>
      <w:r>
        <w:t>Require contractual change notice with a defined minimum period, sufficient to complete the Tier 2 re- benchmarking described above before a change takes effect, together with a minimum deprecation window for pinned versions.</w:t>
      </w:r>
    </w:p>
    <w:p>
      <w:r>
        <w:rPr>
          <w:color w:val="777777"/>
          <w:sz w:val="16"/>
        </w:rPr>
        <w:t xml:space="preserve">p153 · att1 p.16  </w:t>
      </w:r>
      <w:r>
        <w:t>Require continuous canary monitoring, because contracts cannot be verified in real time. A small, fixed probe suite — a set of inputs with known expected outputs — executed against the live endpoint at high frequency provides direct detection of silent upstream change. This is inexpensive, technically straightforward, and the only mechanism I am aware of that verifies rather than assumes endpoint stability. I recommend CDRH describe it as an expected element of postmarket monitoring for any device on a third- party hosted model.</w:t>
      </w:r>
    </w:p>
    <w:p>
      <w:r>
        <w:rPr>
          <w:color w:val="777777"/>
          <w:sz w:val="16"/>
        </w:rPr>
        <w:t xml:space="preserve">p154 · att1 p.16  </w:t>
      </w:r>
      <w:r>
        <w:t>Treat provider-forced migration as a Tier 3 change. When a provider deprecates a pinned version and the manufacturer must migrate, the resulting device is running on a different model. That it was involuntary does not change what it is, and the paper should foreclose the argument that forced migrations warrant lighter treatment. Manufacturers should be expected to plan for this contingency — including maintaining a validated fallback — as part of design planning rather than handling it as an emergency.</w:t>
      </w:r>
    </w:p>
    <w:p>
      <w:r>
        <w:rPr>
          <w:color w:val="777777"/>
          <w:sz w:val="16"/>
        </w:rPr>
        <w:t xml:space="preserve">p155 · att1 p.16  </w:t>
      </w:r>
      <w:r>
        <w:t>I would also note that this is where a Foundation Model MAF (Question 25) would deliver the most value: a standing, current record of a model’s versioning, deprecation, and change-notification practices would let</w:t>
      </w:r>
    </w:p>
    <w:p>
      <w:r>
        <w:rPr>
          <w:color w:val="777777"/>
          <w:sz w:val="16"/>
        </w:rPr>
        <w:t xml:space="preserve">p156 · att1 p.16  </w:t>
      </w:r>
      <w:r>
        <w:t>CDRH and manufacturers assess dependency risk directly rather than by inference.</w:t>
      </w:r>
    </w:p>
    <w:p>
      <w:r>
        <w:rPr>
          <w:color w:val="777777"/>
          <w:sz w:val="16"/>
        </w:rPr>
        <w:t xml:space="preserve">p157 · att1 p.16  </w:t>
      </w:r>
      <w:r>
        <w:t>IV. Other topics (Section VII; Questions 25–26) — Question 25 — Voluntary Foundation Model Master Files</w:t>
      </w:r>
    </w:p>
    <w:p>
      <w:r>
        <w:rPr>
          <w:color w:val="777777"/>
          <w:sz w:val="16"/>
        </w:rPr>
        <w:t xml:space="preserve">p158 · att1 p.16  </w:t>
      </w:r>
      <w:r>
        <w:t>The paper’s candor about the incentive problem is warranted. Foundation model developers serve markets in which medical devices are a small fraction of revenue; disclosure of safety-relevant limitations carries competitive and litigation exposure; and a voluntary program asking them to document weaknesses for a regulator overseeing someone else’s product is unlikely to attract broad participation on its own merits.</w:t>
      </w:r>
    </w:p>
    <w:p>
      <w:r>
        <w:rPr>
          <w:color w:val="777777"/>
          <w:sz w:val="16"/>
        </w:rPr>
        <w:t xml:space="preserve">p159 · att1 p.16  </w:t>
      </w:r>
      <w:r>
        <w:t>I nonetheless recommend CDRH create it, because the mechanism that makes it work is not the model developer’s incentive — it is the device manufacturer’s.</w:t>
      </w:r>
    </w:p>
    <w:p>
      <w:r>
        <w:rPr>
          <w:color w:val="777777"/>
          <w:sz w:val="16"/>
        </w:rPr>
        <w:t xml:space="preserve">p160 · att1 p.16  </w:t>
      </w:r>
      <w:r>
        <w:t>Pair the voluntary MAF with a manufacturer-side default: where an MAF is absent, the device manufacturer bears the full characterization burden for the underlying model. Training data provenance to the extent determinable, contamination assessment, known failure modes, version and deprecation practices, subgroup performance characterization — all of it, generated independently at the manufacturer’s cost, or the submission is incomplete.</w:t>
      </w:r>
    </w:p>
    <w:p>
      <w:r>
        <w:rPr>
          <w:color w:val="777777"/>
          <w:sz w:val="16"/>
        </w:rPr>
        <w:t xml:space="preserve">p161 · att1 p.17  </w:t>
      </w:r>
      <w:r>
        <w:t>That default creates a procurement preference. Device manufacturers will strongly prefer model providers that maintain a current MAF, because the alternative is expensive and often technically impossible. Providers will then face a commercial reason to participate that has nothing to do with regulatory goodwill. This is how a voluntary program acquires teeth without new authority: it does not compel the model developer, it makes the device manufacturer want to compel them, and the device manufacturer is the party with the contract.</w:t>
      </w:r>
    </w:p>
    <w:p>
      <w:r>
        <w:rPr>
          <w:color w:val="777777"/>
          <w:sz w:val="16"/>
        </w:rPr>
        <w:t xml:space="preserve">p162 · att1 p.17  </w:t>
      </w:r>
      <w:r>
        <w:t>Suggested MAF content: model identity and version lineage; training data cutoff date (essential for the contamination analysis under Question 10); versioning, change notification, and deprecation policy (essential for Question 24); known limitations and documented failure modes; safety training and refusal behavior;</w:t>
      </w:r>
    </w:p>
    <w:p>
      <w:r>
        <w:rPr>
          <w:color w:val="777777"/>
          <w:sz w:val="16"/>
        </w:rPr>
        <w:t xml:space="preserve">p163 · att1 p.17  </w:t>
      </w:r>
      <w:r>
        <w:t>evaluation results the developer has generated; and any medical-domain-specific training or fine-tuning. A currency requirement — the MAF must be updated within a defined period of any model change — is what makes it useful rather than a snapshot.</w:t>
      </w:r>
    </w:p>
    <w:p>
      <w:r>
        <w:rPr>
          <w:color w:val="777777"/>
          <w:sz w:val="16"/>
        </w:rPr>
        <w:t xml:space="preserve">p164 · att1 p.17  </w:t>
      </w:r>
      <w:r>
        <w:t>I would add one caution: an MAF should never be treated as establishing the safety or effectiveness of any device built on the model. The paper’s statement that the unit of evaluation is the final user-facing device as configured for deployment is correct and important, and the MAF should be framed as context for that evaluation, not as a partial substitute for it.</w:t>
      </w:r>
    </w:p>
    <w:p>
      <w:r>
        <w:rPr>
          <w:color w:val="777777"/>
          <w:sz w:val="16"/>
        </w:rPr>
        <w:t xml:space="preserve">p165 · att1 p.17  </w:t>
      </w:r>
      <w:r>
        <w:t>Question 26 — Agentic AI systems — Agentic systems present at least four considerations that do not arise, or arise much less acutely, for non- agentic generative devices.</w:t>
      </w:r>
    </w:p>
    <w:p>
      <w:r>
        <w:rPr>
          <w:color w:val="777777"/>
          <w:sz w:val="16"/>
        </w:rPr>
        <w:t xml:space="preserve">p166 · att1 p.17  </w:t>
      </w:r>
      <w:r>
        <w:t>Trajectory-level acceptance criteria. Per-step performance is a misleading summary of end-to-end reliability. A device that completes each step correctly 95% of the time completes a ten-step task correctly about 60% of the time, and that arithmetic is unforgiving as sequences lengthen. Acceptance criteria must be stated at the level of the completed task, and evaluation must measure task completion rather than step accuracy. I recommend CDRH state this explicitly, because step-level metrics are far easier to generate and will otherwise be offered.</w:t>
      </w:r>
    </w:p>
    <w:p>
      <w:r>
        <w:rPr>
          <w:color w:val="777777"/>
          <w:sz w:val="16"/>
        </w:rPr>
        <w:t xml:space="preserve">p167 · att1 p.17  </w:t>
      </w:r>
      <w:r>
        <w:t>Action inventory with irreversibility classification. I recommend sponsors submit an enumerated inventory of every action the system can take — every tool, every write operation, every external system it can affect</w:t>
      </w:r>
    </w:p>
    <w:p>
      <w:r>
        <w:rPr>
          <w:color w:val="777777"/>
          <w:sz w:val="16"/>
        </w:rPr>
        <w:t xml:space="preserve">p168 · att1 p.17  </w:t>
      </w:r>
      <w:r>
        <w:t>— each classified by reversibility and by the consequence of erroneous execution. Irreversible actions should require explicit confirmation by a qualified user, and the inventory should be treated as a locked specification whose expansion is a Tier 3 change under the framework in Question 22. Uncontrolled expansion of an agent’s action scope is the most likely path from a low-risk deployment to a high-risk one without any regulatory event marking the transition.</w:t>
      </w:r>
    </w:p>
    <w:p>
      <w:r>
        <w:rPr>
          <w:color w:val="777777"/>
          <w:sz w:val="16"/>
        </w:rPr>
        <w:t xml:space="preserve">p169 · att1 p.17  </w:t>
      </w:r>
      <w:r>
        <w:t>Least-privilege tool access. Agentic systems should hold the narrowest permissions sufficient for the intended use, scoped per deployment. This is standard security practice and maps directly onto CDRH’s existing cybersecurity expectations; I recommend the paper cross-reference them rather than developing a parallel treatment.</w:t>
      </w:r>
    </w:p>
    <w:p>
      <w:r>
        <w:rPr>
          <w:color w:val="777777"/>
          <w:sz w:val="16"/>
        </w:rPr>
        <w:t xml:space="preserve">p170 · att1 p.18  </w:t>
      </w:r>
      <w:r>
        <w:t>Audit logging sufficient for post-hoc reconstruction. When an agentic system produces a harmful outcome, the investigation must be able to reconstruct the full trajectory — inputs, intermediate reasoning artifacts where available, tool calls, returned values, actions taken, and the model version and configuration in effect.</w:t>
      </w:r>
    </w:p>
    <w:p>
      <w:r>
        <w:rPr>
          <w:color w:val="777777"/>
          <w:sz w:val="16"/>
        </w:rPr>
        <w:t xml:space="preserve">p171 · att1 p.18  </w:t>
      </w:r>
      <w:r>
        <w:t>Without this, root cause analysis is not possible, corrective action is guesswork, and the complaint-handling obligations under Question 21 cannot be discharged. I recommend audit logging adequacy be an explicit premarket review element for agentic devices rather than a postmarket assumption.</w:t>
      </w:r>
    </w:p>
    <w:p>
      <w:r>
        <w:rPr>
          <w:color w:val="777777"/>
          <w:sz w:val="16"/>
        </w:rPr>
        <w:t xml:space="preserve">p172 · att1 p.18  </w:t>
      </w:r>
      <w:r>
        <w:t>I would also note that the compounding-error arithmetic above interacts badly with the premarket-uncertainty trade proposed in Question 18. Agentic devices are where end-to-end performance is hardest to establish premarket, and simultaneously where errors propagate fastest and are least reversible postmarket. I recommend CDRH treat agentic devices as presumptively outside the reduced-premarket-evidence pathway.</w:t>
      </w:r>
    </w:p>
    <w:p>
      <w:r>
        <w:rPr>
          <w:color w:val="777777"/>
          <w:sz w:val="16"/>
        </w:rPr>
        <w:t xml:space="preserve">p173 · att1 p.18  </w:t>
      </w:r>
      <w:r>
        <w:t>V. Cross-cutting recommendations — 1.</w:t>
      </w:r>
    </w:p>
    <w:p>
      <w:r>
        <w:rPr>
          <w:color w:val="777777"/>
          <w:sz w:val="16"/>
        </w:rPr>
        <w:t xml:space="preserve">p174 · att1 p.18  </w:t>
      </w:r>
      <w:r>
        <w:t>Publish the risk-tier-to-evidence mapping. Predictability is the mechanism by which risk-based frameworks reduce burden. Without it, “competency-based” and “least burdensome” will not describe the same thing.</w:t>
      </w:r>
    </w:p>
    <w:p>
      <w:r>
        <w:rPr>
          <w:color w:val="777777"/>
          <w:sz w:val="16"/>
        </w:rPr>
        <w:t xml:space="preserve">p175 · att1 p.18  </w:t>
      </w:r>
      <w:r>
        <w:t>2.</w:t>
      </w:r>
    </w:p>
    <w:p>
      <w:r>
        <w:rPr>
          <w:color w:val="777777"/>
          <w:sz w:val="16"/>
        </w:rPr>
        <w:t xml:space="preserve">p176 · att1 p.18  </w:t>
      </w:r>
      <w:r>
        <w:t>Integrate with existing quality system and risk management infrastructure. Manufacturers maintain — ISO 14971 risk files, design controls, and change control procedures under the QMSR. The framework should draw on these rather than establishing parallel artifacts, and the paper should state how the pieces relate.</w:t>
      </w:r>
    </w:p>
    <w:p>
      <w:r>
        <w:rPr>
          <w:color w:val="777777"/>
          <w:sz w:val="16"/>
        </w:rPr>
        <w:t xml:space="preserve">p177 · att1 p.18  </w:t>
      </w:r>
      <w:r>
        <w:t>3.</w:t>
      </w:r>
    </w:p>
    <w:p>
      <w:r>
        <w:rPr>
          <w:color w:val="777777"/>
          <w:sz w:val="16"/>
        </w:rPr>
        <w:t xml:space="preserve">p178 · att1 p.18  </w:t>
      </w:r>
      <w:r>
        <w:t>Resolve MDR reportability for generative outputs. Every element of the postmarket program depends on it, and it is currently ambiguous in a way that produces both under-reporting and unmanageable exposure depending on how a manufacturer reads it.</w:t>
      </w:r>
    </w:p>
    <w:p>
      <w:r>
        <w:rPr>
          <w:color w:val="777777"/>
          <w:sz w:val="16"/>
        </w:rPr>
        <w:t xml:space="preserve">p179 · att1 p.18  </w:t>
      </w:r>
      <w:r>
        <w:t>4.</w:t>
      </w:r>
    </w:p>
    <w:p>
      <w:r>
        <w:rPr>
          <w:color w:val="777777"/>
          <w:sz w:val="16"/>
        </w:rPr>
        <w:t xml:space="preserve">p180 · att1 p.18  </w:t>
      </w:r>
      <w:r>
        <w:t>State a design control expectation for model version pinning. This is achievable now, addresses the largest structural gap in the framework, and would immediately improve provider practices in the medical device segment.</w:t>
      </w:r>
    </w:p>
    <w:p>
      <w:r>
        <w:rPr>
          <w:color w:val="777777"/>
          <w:sz w:val="16"/>
        </w:rPr>
        <w:t xml:space="preserve">p181 · att1 p.18  </w:t>
      </w:r>
      <w:r>
        <w:t>5.</w:t>
      </w:r>
    </w:p>
    <w:p>
      <w:r>
        <w:rPr>
          <w:color w:val="777777"/>
          <w:sz w:val="16"/>
        </w:rPr>
        <w:t xml:space="preserve">p182 · att1 p.18  </w:t>
      </w:r>
      <w:r>
        <w:t>Identify which elements require new legal authority. The paper expressly defers this question. I understand why, but I would encourage CDRH to return to it, because several proposals — enforceable postmarket conditions with automatic consequences, third-party recognition regimes, obligations touching foundation model developers who are not device manufacturers — appear to sit at or beyond the edge of existing authorities. Stakeholders assessing which parts of this framework to build toward would benefit from knowing which parts CDRH can implement and which would require Congress.</w:t>
      </w:r>
    </w:p>
    <w:p>
      <w:r>
        <w:rPr>
          <w:color w:val="777777"/>
          <w:sz w:val="16"/>
        </w:rPr>
        <w:t xml:space="preserve">p183 · att1 p.18  </w:t>
      </w:r>
      <w:r>
        <w:t>6.</w:t>
      </w:r>
    </w:p>
    <w:p>
      <w:r>
        <w:rPr>
          <w:color w:val="777777"/>
          <w:sz w:val="16"/>
        </w:rPr>
        <w:t xml:space="preserve">p184 · att1 p.18  </w:t>
      </w:r>
      <w:r>
        <w:t>Preserve the option to say no. The paper’s framing is oriented toward enabling market entry, appropriately so given its purpose. But a competency-based framework should also be capable of concluding that a given intended use is not currently supportable by available evidence. I would encourage CDRH to state that the framework contemplates that outcome, so that it is understood as an evaluation framework rather than an authorization pathway.</w:t>
      </w:r>
    </w:p>
    <w:p>
      <w:r>
        <w:rPr>
          <w:color w:val="777777"/>
          <w:sz w:val="16"/>
        </w:rPr>
        <w:t xml:space="preserve">p185 · att1 p.19  </w:t>
      </w:r>
      <w:r>
        <w:t>Closing — I appreciate CDRH’s willingness to publish preliminary thinking and invite criticism of it before positions harden. The competency-based framing is a real contribution, and the paper’s questions are, in several places, sharper than the field’s current answers.</w:t>
      </w:r>
    </w:p>
    <w:p>
      <w:r>
        <w:rPr>
          <w:color w:val="777777"/>
          <w:sz w:val="16"/>
        </w:rPr>
        <w:t xml:space="preserve">p186 · att1 p.19  </w:t>
      </w:r>
      <w:r>
        <w:t>My central concern is that the framework’s flexibility currently outruns the infrastructure needed to make flexibility safe: benchmarks that cannot yet be trusted, postmarket monitoring whose reportability rules are unsettled, third-party model dependencies that manufacturers cannot presently control, and third-party assessment capacity that does not yet exist. Each of these is addressable, and several are addressable now. But the flexibility and the infrastructure should arrive in that order — infrastructure first — rather than the reverse.</w:t>
      </w:r>
    </w:p>
    <w:p>
      <w:r>
        <w:rPr>
          <w:color w:val="777777"/>
          <w:sz w:val="16"/>
        </w:rPr>
        <w:t xml:space="preserve">p187 · att1 p.19  </w:t>
      </w:r>
      <w:r>
        <w:t>I would be glad to provide further detail on any point, and I thank the Agency for its consideration.</w:t>
      </w:r>
    </w:p>
    <w:p>
      <w:r>
        <w:rPr>
          <w:color w:val="777777"/>
          <w:sz w:val="16"/>
        </w:rPr>
        <w:t xml:space="preserve">p188 · att1 p.19  </w:t>
      </w:r>
      <w:r>
        <w:t>Respectfully submitted,</w:t>
      </w:r>
    </w:p>
    <w:p>
      <w:r>
        <w:rPr>
          <w:color w:val="777777"/>
          <w:sz w:val="16"/>
        </w:rPr>
        <w:t xml:space="preserve">p189 · att1 p.19  </w:t>
      </w:r>
      <w:r>
        <w:t>Hari Prakash Chanumolu — August 18, 2026 — Submitted in an individual capacity. The views expressed are my own and do not represent those of any employer, client, or organization.</w:t>
      </w:r>
    </w:p>
    <w:p>
      <w:pPr>
        <w:pStyle w:val="Heading1"/>
        <w:pageBreakBefore/>
      </w:pPr>
      <w:r>
        <w:t>FDA-2026-N-7874-0014</w:t>
      </w:r>
    </w:p>
    <w:p>
      <w:r>
        <w:t>Comment from George Armstr</w:t>
      </w:r>
    </w:p>
    <w:p>
      <w:r>
        <w:rPr>
          <w:color w:val="777777"/>
          <w:sz w:val="18"/>
        </w:rPr>
        <w:t>Individual Consumer · received 2026-08-18</w:t>
      </w:r>
    </w:p>
    <w:p>
      <w:r>
        <w:rPr>
          <w:color w:val="777777"/>
          <w:sz w:val="16"/>
        </w:rPr>
        <w:t xml:space="preserve">p001 · body  </w:t>
      </w:r>
      <w:r>
        <w:t>Internet connectivity is an issue for some families.</w:t>
      </w:r>
    </w:p>
    <w:p>
      <w:pPr>
        <w:pStyle w:val="Heading1"/>
        <w:pageBreakBefore/>
      </w:pPr>
      <w:r>
        <w:t>FDA-2026-N-7874-0015</w:t>
      </w:r>
    </w:p>
    <w:p>
      <w:r>
        <w:t>Comment from Nathan Sabich</w:t>
      </w:r>
    </w:p>
    <w:p>
      <w:r>
        <w:rPr>
          <w:color w:val="777777"/>
          <w:sz w:val="18"/>
        </w:rPr>
        <w:t>Device Industry - C0012 · received 2026-08-18</w:t>
      </w:r>
    </w:p>
    <w:p>
      <w:r>
        <w:rPr>
          <w:color w:val="777777"/>
          <w:sz w:val="16"/>
        </w:rPr>
        <w:t xml:space="preserve">p001 · body  </w:t>
      </w:r>
      <w:r>
        <w:t>FDA Question 1: To start, the two-axis framework is a sound starting point but is insufficient for GenAI. It omits three dimensions that are critical for real-world assessment: (a) traceability of the output to source data, (b) the availability and effectiveness of downstream human oversight, and (c) the temporal context of deployment (real-time clinical decision vs. asynchronous review). A GenAI function that generates a patient-facing summary with no clinician intermediary poses fundamentally different risk than one that produces a draft note for clinician review, even if both occupy the same position on the two-axis grid.</w:t>
      </w:r>
    </w:p>
    <w:p>
      <w:r>
        <w:rPr>
          <w:color w:val="777777"/>
          <w:sz w:val="16"/>
        </w:rPr>
        <w:t xml:space="preserve">p002 · body  </w:t>
      </w:r>
      <w:r>
        <w:t>An Architecture to Address This: I have created an architecture that explicitly structures risk mitigation through multiple dimensions beyond device activity and consequence. The HITL Validation Points across the lifecycle define distinct human oversight checkpoints, each with named roles and defined responsibilities. I utilize a transparency and labeling framework that requires documentation of intended use, intended user, known limitations, subgroup performance, model characteristics, output interpretation guidance, and update/version information. I created a multi-gate quality checkpoint system that provides progressive risk assessment at design, data integrity, model metrics, model acceptance, business review, and final live deployment, each with designated KOL reviewers.</w:t>
      </w:r>
    </w:p>
    <w:p>
      <w:r>
        <w:rPr>
          <w:color w:val="777777"/>
          <w:sz w:val="16"/>
        </w:rPr>
        <w:t xml:space="preserve">p003 · body  </w:t>
      </w:r>
      <w:r>
        <w:t>Recommendation to FDA: Expand the framework to a four-axis model: (1) device activity (current Axis 1), (2) consequence of incorrect output (current Axis 2), (3) degree of human oversight available at the point of output delivery (ranging from fully autonomous to mandatory clinician review), and (4) traceability of output to verifiable source data (ranging from fully traceable to opaque/generative). This four-axis model would better capture the actual risk surface of GenAI-enabled devices and align with IMDRF's lifecycle management framework, which emphasizes human oversight as distinct a governance dimension</w:t>
      </w:r>
    </w:p>
    <w:p>
      <w:pPr>
        <w:pStyle w:val="Heading1"/>
        <w:pageBreakBefore/>
      </w:pPr>
      <w:r>
        <w:t>FDA-2026-N-7874-0016</w:t>
      </w:r>
    </w:p>
    <w:p>
      <w:r>
        <w:t>Comment from Nathan Sabich</w:t>
      </w:r>
    </w:p>
    <w:p>
      <w:r>
        <w:rPr>
          <w:color w:val="777777"/>
          <w:sz w:val="18"/>
        </w:rPr>
        <w:t>Device Industry - C0012 · received 2026-08-18</w:t>
      </w:r>
    </w:p>
    <w:p>
      <w:r>
        <w:rPr>
          <w:color w:val="777777"/>
          <w:sz w:val="16"/>
        </w:rPr>
        <w:t xml:space="preserve">p001 · body  </w:t>
      </w:r>
      <w:r>
        <w:t>FDA Question 23: How might PCCP concepts or other change-control approaches be adapted for GenAI-enabled devices when the nature or scope of future modifications cannot be fully prespecified?</w:t>
      </w:r>
    </w:p>
    <w:p>
      <w:r>
        <w:rPr>
          <w:color w:val="777777"/>
          <w:sz w:val="16"/>
        </w:rPr>
        <w:t xml:space="preserve">p002 · body  </w:t>
      </w:r>
      <w:r>
        <w:t>Opinion: The PCCP Framework requires pre-specification of modifications, but GenAI foundation models evolve in ways that cannot be fully predicted. The solution is not to abandon pre-specification but to pre-specify at a higher-level of abstraction. Rather than specifying “the model will be retrained with X additional images,” the PCCP for a GenAI-enabled device should specify that the foundation model may be updated provided the updated model meets the following competency benchmarks, passes the following safety evaluations, and does not exceed the following performance deviation bounds from the authorized baseline.</w:t>
      </w:r>
    </w:p>
    <w:p>
      <w:r>
        <w:rPr>
          <w:color w:val="777777"/>
          <w:sz w:val="16"/>
        </w:rPr>
        <w:t xml:space="preserve">p003 · body  </w:t>
      </w:r>
      <w:r>
        <w:t>Architecture to Address This: I have already created for an architecture's governance framework that operates at exactly this level of abstraction. The AI lifecycle management controls apply across all the steps I created in my architecture in order to provide continuous QMS oversight (design controls, CAPA, change management, documentation), risk management (ISO 14971 aligned), human oversight (HITL throughout with escalation paths), cybersecurity (secure by design, threat monitoring, incident response), and transparency and labeling (intended use, limitations, performance, updates). This governance layer is change-agnostic and it applies regardless of whether the modification is a retraining event, a foundation model version update, or a prompt engineering adjustment. The key is that the governance controls remain constant even as the specific modifications vary.</w:t>
      </w:r>
    </w:p>
    <w:p>
      <w:r>
        <w:rPr>
          <w:color w:val="777777"/>
          <w:sz w:val="16"/>
        </w:rPr>
        <w:t xml:space="preserve">p004 · body  </w:t>
      </w:r>
      <w:r>
        <w:t>Recommendation to FDA: Create a new PCCP category called "Performance-Bounded PCCP" for GenAI-enabled devices. Unlike a traditional PCCP that pre-specifies the exact modifications, a "Performance-Bounded PCCP" would pre-specify: (1) the competency benchmarks the device must continue to meet after any modification, (2) the maximum acceptable performance deviation from the authorized baseline across each benchmark dimension, (3) the monitoring methodology for detecting deviations, (4) the rollback protocol if deviations are detected, and (5) the cumulative impact tracking methodology. Any modification that keeps the device within the performance bounds may be implemented without a new submission. Any modification that causes the device to fall outside the bounds triggers either a rollback or a new submission. This approach accommodates the unpredictability of GenAI evolution while maintaining the principle that FDA authorizes the safety and effectiveness envelope, not the specific technical implementation.</w:t>
      </w:r>
    </w:p>
    <w:p>
      <w:pPr>
        <w:pStyle w:val="Heading1"/>
        <w:pageBreakBefore/>
      </w:pPr>
      <w:r>
        <w:t>FDA-2026-N-7874-0017</w:t>
      </w:r>
    </w:p>
    <w:p>
      <w:r>
        <w:t>Comment from Douglas Stoddard</w:t>
      </w:r>
    </w:p>
    <w:p>
      <w:r>
        <w:rPr>
          <w:color w:val="777777"/>
          <w:sz w:val="18"/>
        </w:rPr>
        <w:t>Health Professional - A0007 · received 2026-08-18 · attachments: attachment_1.pdf (6 pp)</w:t>
      </w:r>
    </w:p>
    <w:p>
      <w:r>
        <w:rPr>
          <w:color w:val="777777"/>
          <w:sz w:val="16"/>
        </w:rPr>
        <w:t xml:space="preserve">p001 · body  </w:t>
      </w:r>
      <w:r>
        <w:t>I am a practicing surgeon and health-system surgical executive submitting these comments in my personal capacity. My attached comment addresses high-consequence procedural and surgical applications of generative artificial intelligence.</w:t>
      </w:r>
    </w:p>
    <w:p>
      <w:r>
        <w:rPr>
          <w:color w:val="777777"/>
          <w:sz w:val="16"/>
        </w:rPr>
        <w:t xml:space="preserve">p002 · body  </w:t>
      </w:r>
      <w:r>
        <w:t>GenAI could improve surgical safety, accelerate learning, reduce unwanted variation, and extend expert support to patients who cannot reach major centers. In an operating room, however, an AI output may influence an immediate, invasive, and irreversible act while the patient is anesthetized, and the clinical team may have only seconds to identify and correct an error.</w:t>
      </w:r>
    </w:p>
    <w:p>
      <w:r>
        <w:rPr>
          <w:color w:val="777777"/>
          <w:sz w:val="16"/>
        </w:rPr>
        <w:t xml:space="preserve">p003 · body  </w:t>
      </w:r>
      <w:r>
        <w:t>I support CDRH’s proposed competency-based approach, with five principal recommendations: 1. Risk assessment should explicitly account for system authority, action irreversibility, time to harm, realistic opportunities for error detection, and the local capacity to rescue the patient. A clinician who is nominally “in the loop” is not an effective safeguard if workload, speed, or interface design prevents meaningful review.</w:t>
      </w:r>
    </w:p>
    <w:p>
      <w:r>
        <w:rPr>
          <w:color w:val="777777"/>
          <w:sz w:val="16"/>
        </w:rPr>
        <w:t xml:space="preserve">p004 · body  </w:t>
      </w:r>
      <w:r>
        <w:t>2. Premarket evaluation should examine the complete human-AI team operating within realistic clinical workflows—not only the model in isolation. Testing should address uncommon events, degraded or missing inputs, workflow interruptions, latency, equipment or network failures, automation bias, abstention, failed handoffs, and takeover.</w:t>
      </w:r>
    </w:p>
    <w:p>
      <w:r>
        <w:rPr>
          <w:color w:val="777777"/>
          <w:sz w:val="16"/>
        </w:rPr>
        <w:t xml:space="preserve">p005 · body  </w:t>
      </w:r>
      <w:r>
        <w:t>3. FDA should not accept reduced premarket evidence in exchange for postmarket monitoring when a function can materially influence or execute an invasive action with immediate or irreversible consequences.</w:t>
      </w:r>
    </w:p>
    <w:p>
      <w:r>
        <w:rPr>
          <w:color w:val="777777"/>
          <w:sz w:val="16"/>
        </w:rPr>
        <w:t xml:space="preserve">p006 · body  </w:t>
      </w:r>
      <w:r>
        <w:t>4. Postmarket surveillance should be specific to the device and model version, clinical setting, and relevant patient and clinician subgroups. It should capture near misses, overrides, disagreements, abstentions, failed takeovers, delayed error recognition, rescue events, connectivity and interface failures, and performance drift.</w:t>
      </w:r>
    </w:p>
    <w:p>
      <w:r>
        <w:rPr>
          <w:color w:val="777777"/>
          <w:sz w:val="16"/>
        </w:rPr>
        <w:t xml:space="preserve">p007 · body  </w:t>
      </w:r>
      <w:r>
        <w:t>5. Transparency and accountability should follow control. Manufacturers, foundation-model providers, deploying institutions, and clinicians should each retain responsibilities proportionate to what they know, control, can prevent, and economically benefit from. Required transparency should address data capture and secondary use, training and validation data provenance, subgroup performance, known limitations, model changes, and third-party dependencies.</w:t>
      </w:r>
    </w:p>
    <w:p>
      <w:r>
        <w:rPr>
          <w:color w:val="777777"/>
          <w:sz w:val="16"/>
        </w:rPr>
        <w:t xml:space="preserve">p008 · body  </w:t>
      </w:r>
      <w:r>
        <w:t>Foundation-model changes should be treated as safety-relevant supply-chain events. Agentic systems also require explicit action and tool boundaries, confirmation requirements, stop conditions, immutable audit logs, safe failure modes, and realistic takeover testing.</w:t>
      </w:r>
    </w:p>
    <w:p>
      <w:r>
        <w:rPr>
          <w:color w:val="777777"/>
          <w:sz w:val="16"/>
        </w:rPr>
        <w:t xml:space="preserve">p009 · body  </w:t>
      </w:r>
      <w:r>
        <w:t>Systems intended to expand access should be evaluated beyond wealthy academic centers. FDA should expect evidence across relevant patient populations, anatomy and disease severity, rural and community settings, resource levels, workflows, and user experience, with meaningful participation by patients, clinicians, operating-room teams, and underrepresented communities.</w:t>
      </w:r>
    </w:p>
    <w:p>
      <w:r>
        <w:rPr>
          <w:color w:val="777777"/>
          <w:sz w:val="16"/>
        </w:rPr>
        <w:t xml:space="preserve">p010 · body  </w:t>
      </w:r>
      <w:r>
        <w:t>GenAI-enabled medical devices could make surgery safer, more consistent, and more accessible. A framework that evaluates the deployed human-AI system and preserves responsibility at every point of control can protect that opportunity while allowing innovation to proceed.</w:t>
      </w:r>
    </w:p>
    <w:p>
      <w:r>
        <w:rPr>
          <w:color w:val="777777"/>
          <w:sz w:val="16"/>
        </w:rPr>
        <w:t xml:space="preserve">p011 · body  </w:t>
      </w:r>
      <w:r>
        <w:t>Please see the attached comment for detailed recommendations and supporting references.</w:t>
      </w:r>
    </w:p>
    <w:p>
      <w:r>
        <w:rPr>
          <w:color w:val="777777"/>
          <w:sz w:val="16"/>
        </w:rPr>
        <w:t xml:space="preserve">p012 · att1 p.1  </w:t>
      </w:r>
      <w:r>
        <w:t>Public Comment on FDA-2026-N-7874 — Considerations for the Regulation of Generative AI-Enabled Medical Devices: High-Consequence Procedural and Surgical Applications</w:t>
      </w:r>
    </w:p>
    <w:p>
      <w:r>
        <w:rPr>
          <w:color w:val="777777"/>
          <w:sz w:val="16"/>
        </w:rPr>
        <w:t xml:space="preserve">p013 · att1 p.1  </w:t>
      </w:r>
      <w:r>
        <w:t>Submitted by: Douglas Stoddard, MD, MBA, FACS Capacity: Practicing surgeon and health-system surgical executive, submitting in his personal capacity</w:t>
      </w:r>
    </w:p>
    <w:p>
      <w:r>
        <w:rPr>
          <w:color w:val="777777"/>
          <w:sz w:val="16"/>
        </w:rPr>
        <w:t xml:space="preserve">p014 · att1 p.1  </w:t>
      </w:r>
      <w:r>
        <w:t>Date: August 2026 — Executive Summary — Generative artificial intelligence could improve surgical safety, accelerate learning, reduce unwanted variation, and extend expert support to patients and clinicians who cannot travel to major academic centers. Its greatest benefit exists when AI is integrated with operative video, robotic platforms, digital operating rooms, telecollaboration, and eventually surgical robotic systems capable of taking or directing physical action through generative AI.</w:t>
      </w:r>
    </w:p>
    <w:p>
      <w:r>
        <w:rPr>
          <w:color w:val="777777"/>
          <w:sz w:val="16"/>
        </w:rPr>
        <w:t xml:space="preserve">p015 · att1 p.1  </w:t>
      </w:r>
      <w:r>
        <w:t>Those same settings reveal limitations in a regulatory model designed primarily around informational outputs rather than physical outputs in an operative procedure. In an operating room, an output may influence an immediate, invasive, and irreversible act while the patient is anesthetized and unable to protect their own interests. The relevant unit of evaluation is therefore not only the model or device in isolation, but the human-AI team operating in a specific clinical workflow, with a defined opportunity to detect error, abstain from or cease AI use, recover, and rescue the patient.</w:t>
      </w:r>
    </w:p>
    <w:p>
      <w:r>
        <w:rPr>
          <w:color w:val="777777"/>
          <w:sz w:val="16"/>
        </w:rPr>
        <w:t xml:space="preserve">p016 · att1 p.1  </w:t>
      </w:r>
      <w:r>
        <w:t>I support CDRH's proposed competency-based approach, with five refinements: 1. Add action irreversibility, time to harm, rescue opportunity, and system authority explicitly to risk assessment. 2. Require human-AI team evaluation in realistic workflows, including rare events, interruptions, degraded inputs, latency, automation bias, and failed handoffs. 3. Do not trade reduced premarket evidence for postmarket monitoring when a system can materially influence or execute an invasive action with immediate or irreversible consequences. 4. Require version-specific, subgroup-specific, and setting-specific postmarket surveillance, including near misses, overrides, failed takeovers, and performance drift. 5. Make accountability and transparency track control: manufacturers, foundation-model providers, deploying institutions, and clinicians should each retain duties proportionate to what they know, control, can prevent, and economically benefit from.</w:t>
      </w:r>
    </w:p>
    <w:p>
      <w:r>
        <w:rPr>
          <w:color w:val="777777"/>
          <w:sz w:val="16"/>
        </w:rPr>
        <w:t xml:space="preserve">p017 · att1 p.1  </w:t>
      </w:r>
      <w:r>
        <w:t>Background and Scope — My comments focus on GenAI-enabled functions used in or around operative care: systems that interpret surgical images or video; provide intraoperative guidance; evaluate technical performance; support training or remote consultation; coordinate instruments or other devices; or perform, direct, or sequence part of an operation. These functions may be embedded in robotic platforms, digital operating rooms, navigation systems, or multimodal foundation models.</w:t>
      </w:r>
    </w:p>
    <w:p>
      <w:r>
        <w:rPr>
          <w:color w:val="777777"/>
          <w:sz w:val="16"/>
        </w:rPr>
        <w:t xml:space="preserve">p018 · att1 p.1  </w:t>
      </w:r>
      <w:r>
        <w:t>Surgery is not ethically separate from the rest of medicine, but it combines several risks in a distinctive way. A GenAI output may produce an immediate physical consequence; the action may be difficult or impossible to reverse; the time available to recognize an error may be seconds; responsibility is distributed across a team; and the same system may simultaneously record the procedure, evaluate the surgeon, train future models, and alter how future surgeons acquire skill. These features justify explicit attention within a general GenAI device framework.</w:t>
      </w:r>
    </w:p>
    <w:p>
      <w:r>
        <w:rPr>
          <w:color w:val="777777"/>
          <w:sz w:val="16"/>
        </w:rPr>
        <w:t xml:space="preserve">p019 · att1 p.2  </w:t>
      </w:r>
      <w:r>
        <w:t>I. Risk Assessment (Questions 1, 2, 5, and 6) — 1. Expand the two-axis framework for high-consequence procedural use</w:t>
      </w:r>
    </w:p>
    <w:p>
      <w:r>
        <w:rPr>
          <w:color w:val="777777"/>
          <w:sz w:val="16"/>
        </w:rPr>
        <w:t xml:space="preserve">p020 · att1 p.2  </w:t>
      </w:r>
      <w:r>
        <w:t>Device activity and the consequence of relying on an incorrect output are necessary but insufficient. CDRH should also account explicitly for:</w:t>
      </w:r>
    </w:p>
    <w:p>
      <w:r>
        <w:rPr>
          <w:color w:val="777777"/>
          <w:sz w:val="16"/>
        </w:rPr>
        <w:t xml:space="preserve">p021 · att1 p.2  </w:t>
      </w:r>
      <w:r>
        <w:t>• Irreversibility: Can the clinical act be stopped or undone without added harm? • Time to harm: How quickly can an incorrect output cause injury? • Opportunity for detection and rescue: Is there a realistic, validated safeguard before harm occurs, and can the local team rescue the patient? • System authority: Does the function observe, recommend, direct, coordinate, or execute an action? • Human review quality: Is review contemporaneous and meaningful, or merely nominal because of workload, speed, interface design, or automation bias? • Environmental dependence: Does performance depend on image quality, connectivity, latency, instruments, local workflow, staffing, or patient anatomy?</w:t>
      </w:r>
    </w:p>
    <w:p>
      <w:r>
        <w:rPr>
          <w:color w:val="777777"/>
          <w:sz w:val="16"/>
        </w:rPr>
        <w:t xml:space="preserve">p022 · att1 p.2  </w:t>
      </w:r>
      <w:r>
        <w:t>A useful procedural continuum is: (1) observe or summarize; (2) recommend; (3) direct an action; (4) conditionally execute a bounded task; and (5) autonomously sequence or perform actions. Evidence and safeguards should escalate with both authority and consequence. A system should not be classified as low risk merely because a clinician is nominally "in the loop" when the design leaves that clinician little time or information to detect and correct an error.</w:t>
      </w:r>
    </w:p>
    <w:p>
      <w:r>
        <w:rPr>
          <w:color w:val="777777"/>
          <w:sz w:val="16"/>
        </w:rPr>
        <w:t xml:space="preserve">p023 · att1 p.2  </w:t>
      </w:r>
      <w:r>
        <w:t>2. Assess realistic trajectories, not isolated outputs — For multi-turn or agentic systems, risk can emerge across a sequence even when no single output appears dangerous. Evaluation should include realistic conversational and action trajectories, cumulative anchoring, repeated overconfidence, premature closure, tool selection, and migration beyond the intended use. Under- and over-escalation should be evaluated separately because their harms are not interchangeable.</w:t>
      </w:r>
    </w:p>
    <w:p>
      <w:r>
        <w:rPr>
          <w:color w:val="777777"/>
          <w:sz w:val="16"/>
        </w:rPr>
        <w:t xml:space="preserve">p024 · att1 p.2  </w:t>
      </w:r>
      <w:r>
        <w:t>II. Competency-Based Premarket Evaluation (Questions 7-17) — 1. Use benchmarking plus clinical confirmation, but evaluate the deployed system</w:t>
      </w:r>
    </w:p>
    <w:p>
      <w:r>
        <w:rPr>
          <w:color w:val="777777"/>
          <w:sz w:val="16"/>
        </w:rPr>
        <w:t xml:space="preserve">p025 · att1 p.2  </w:t>
      </w:r>
      <w:r>
        <w:t>The proposed competency-based model is useful if "competency" refers to the complete device in its intended environment, not a foundation model standing alone. Device benchmarking should evaluate at least:</w:t>
      </w:r>
    </w:p>
    <w:p>
      <w:r>
        <w:rPr>
          <w:color w:val="777777"/>
          <w:sz w:val="16"/>
        </w:rPr>
        <w:t xml:space="preserve">p026 · att1 p.2  </w:t>
      </w:r>
      <w:r>
        <w:t>• clinical and procedural knowledge; • perception and spatial or temporal reasoning; • uncertainty calibration, abstention, and escalation; • robustness to incomplete, corrupted, unfamiliar, or adversarial inputs; • rare but foreseeable anatomy, complications, equipment faults, and workflow interruptions; • subgroup and site generalizability; • communication with the surgeon and operating-room team; • recovery from error and safe degradation when a component or network fails; and • for agentic systems, adherence to explicit authority, tool, and stop boundaries.</w:t>
      </w:r>
    </w:p>
    <w:p>
      <w:r>
        <w:rPr>
          <w:color w:val="777777"/>
          <w:sz w:val="16"/>
        </w:rPr>
        <w:t xml:space="preserve">p027 · att1 p.2  </w:t>
      </w:r>
      <w:r>
        <w:t>Public benchmarks alone are inadequate where training-data contamination, saturation, or weak construct validity is plausible. Sponsors should demonstrate that benchmarks measure the competencies required by the intended use and predict performance in representative workflows. Protected test sets and independent assessment can reduce optimization to the test.</w:t>
      </w:r>
    </w:p>
    <w:p>
      <w:r>
        <w:rPr>
          <w:color w:val="777777"/>
          <w:sz w:val="16"/>
        </w:rPr>
        <w:t xml:space="preserve">p028 · att1 p.3  </w:t>
      </w:r>
      <w:r>
        <w:t>2. Clinical confirmation should match procedural consequence — Retrospective evaluation or silent deployment may be appropriate for bounded observational functions. Systems that direct or execute invasive actions should require prospective evaluation under clinically realistic conditions before routine use. Testing should include both ordinary cases and deliberately constructed stress conditions: degraded visualization, blood or smoke in the field, uncommon anatomy, unexpected motion, device conflict, missing data, delayed communication, and urgent conversion or bailout.</w:t>
      </w:r>
    </w:p>
    <w:p>
      <w:r>
        <w:rPr>
          <w:color w:val="777777"/>
          <w:sz w:val="16"/>
        </w:rPr>
        <w:t xml:space="preserve">p029 · att1 p.3  </w:t>
      </w:r>
      <w:r>
        <w:t>High-risk surgical confirmation should include simulation and cadaveric or preclinical evaluation where appropriate, followed by staged clinical introduction and prospective study. The IDEAL framework for surgical innovation and the IDEAL Robotics recommendations provide useful models for progressive evaluation, human factors, learning curves, and long-term monitoring.</w:t>
      </w:r>
    </w:p>
    <w:p>
      <w:r>
        <w:rPr>
          <w:color w:val="777777"/>
          <w:sz w:val="16"/>
        </w:rPr>
        <w:t xml:space="preserve">p030 · att1 p.3  </w:t>
      </w:r>
      <w:r>
        <w:t>3. Measure the human-AI team when that is the intended use — If the product is intended to support a clinician, safety and effectiveness should be evaluated for the human-AI team as well as for the device alone. Team evaluation should measure:</w:t>
      </w:r>
    </w:p>
    <w:p>
      <w:r>
        <w:rPr>
          <w:color w:val="777777"/>
          <w:sz w:val="16"/>
        </w:rPr>
        <w:t xml:space="preserve">p031 · att1 p.3  </w:t>
      </w:r>
      <w:r>
        <w:t>• whether users recognize erroneous, uncertain, or out-of-scope outputs; • automation bias, complacency, and overreliance; • cognitive workload and distraction; • time and information available for takeover; • skill retention during prolonged use; • communication and task allocation across the operating-room team; and • outcomes when users have different experience levels.</w:t>
      </w:r>
    </w:p>
    <w:p>
      <w:r>
        <w:rPr>
          <w:color w:val="777777"/>
          <w:sz w:val="16"/>
        </w:rPr>
        <w:t xml:space="preserve">p032 · att1 p.3  </w:t>
      </w:r>
      <w:r>
        <w:t>The comparator should reflect the care likely without the device, but a device should not be permitted to institutionalize substandard care merely because the local baseline is poor. For high-risk functions, the evidentiary question should include both comparative benefit and an absolute safety floor.</w:t>
      </w:r>
    </w:p>
    <w:p>
      <w:r>
        <w:rPr>
          <w:color w:val="777777"/>
          <w:sz w:val="16"/>
        </w:rPr>
        <w:t xml:space="preserve">p033 · att1 p.3  </w:t>
      </w:r>
      <w:r>
        <w:t>4. Real patient data remain essential — Synthetic data can supplement testing for rare events and controlled perturbations, but they should not substitute for representative clinical data in high-consequence procedural applications. A generator trained on similar data may reproduce the same omissions and biases that an evaluation is intended to detect. Sponsors should separately report performance on real and synthetic datasets, describe how each was generated or selected, and demonstrate representativeness across relevant patient, clinician, institution, equipment, and resource settings.</w:t>
      </w:r>
    </w:p>
    <w:p>
      <w:r>
        <w:rPr>
          <w:color w:val="777777"/>
          <w:sz w:val="16"/>
        </w:rPr>
        <w:t xml:space="preserve">p034 · att1 p.3  </w:t>
      </w:r>
      <w:r>
        <w:t>Independent third parties should have a role in high-risk benchmarking, clinical confirmation, cybersecurity review, and postmarket audit. Independence criteria should address financial relationships, access to necessary technical information, conflicts of interest, and freedom to publish or report safety findings.</w:t>
      </w:r>
    </w:p>
    <w:p>
      <w:r>
        <w:rPr>
          <w:color w:val="777777"/>
          <w:sz w:val="16"/>
        </w:rPr>
        <w:t xml:space="preserve">p035 · att1 p.3  </w:t>
      </w:r>
      <w:r>
        <w:t>III. Postmarket Monitoring and Change Control (Questions 18-24) — 1. Do not substitute surveillance for adequate premarket evidence where harm is immediate</w:t>
      </w:r>
    </w:p>
    <w:p>
      <w:r>
        <w:rPr>
          <w:color w:val="777777"/>
          <w:sz w:val="16"/>
        </w:rPr>
        <w:t xml:space="preserve">p036 · att1 p.3  </w:t>
      </w:r>
      <w:r>
        <w:t>Greater reliance on postmarket monitoring may be reasonable for low-consequence functions when outputs are readily reviewable, errors are reversible, and robust detection and correction mechanisms exist. It is not an adequate substitute for premarket evidence when a function can direct or execute an invasive action, when harm can occur before meaningful review, or when rescue is uncertain.</w:t>
      </w:r>
    </w:p>
    <w:p>
      <w:r>
        <w:rPr>
          <w:color w:val="777777"/>
          <w:sz w:val="16"/>
        </w:rPr>
        <w:t xml:space="preserve">p037 · att1 p.4  </w:t>
      </w:r>
      <w:r>
        <w:t>2. Require version-specific and setting-specific surveillance — Postmarket monitoring should capture more than adverse outcomes. It should include:</w:t>
      </w:r>
    </w:p>
    <w:p>
      <w:r>
        <w:rPr>
          <w:color w:val="777777"/>
          <w:sz w:val="16"/>
        </w:rPr>
        <w:t xml:space="preserve">p038 · att1 p.4  </w:t>
      </w:r>
      <w:r>
        <w:t>• model and device version, configuration, and update history; • intended-use and out-of-scope use; • subgroup and site-level performance; • overrides, ignored recommendations, abstentions, and disagreements; • near misses, failed takeovers, delayed recognition, and rescue events; • data-quality, instrument, connectivity, latency, and interface failures; • evidence of automation bias, workflow disruption, or skill degradation; and • shifts in case mix, inputs, and clinical practice that may affect performance.</w:t>
      </w:r>
    </w:p>
    <w:p>
      <w:r>
        <w:rPr>
          <w:color w:val="777777"/>
          <w:sz w:val="16"/>
        </w:rPr>
        <w:t xml:space="preserve">p039 · att1 p.4  </w:t>
      </w:r>
      <w:r>
        <w:t>Cadence should be tied to risk and triggered by meaningful model, workflow, hardware, dataset, or foundation-model changes; new clinical settings or populations; unexpected performance signals; and changes in intended user or level of autonomy. Clinicians, institutions, registries, and professional societies can contribute data and domain expertise, but participation must not diffuse manufacturer accountability.</w:t>
      </w:r>
    </w:p>
    <w:p>
      <w:r>
        <w:rPr>
          <w:color w:val="777777"/>
          <w:sz w:val="16"/>
        </w:rPr>
        <w:t xml:space="preserve">p040 · att1 p.4  </w:t>
      </w:r>
      <w:r>
        <w:t>Machine-based supervisory agents may assist monitoring, but should not become an unvalidated AI system policing another AI system. Their sensitivity, specificity, independence, failure modes, and susceptibility to correlated error should be evaluated.</w:t>
      </w:r>
    </w:p>
    <w:p>
      <w:r>
        <w:rPr>
          <w:color w:val="777777"/>
          <w:sz w:val="16"/>
        </w:rPr>
        <w:t xml:space="preserve">p041 · att1 p.4  </w:t>
      </w:r>
      <w:r>
        <w:t>3. Treat foundation-model changes as safety-relevant supply-chain events — A manufacturer must remain responsible for detecting and managing changes in any third-party foundation model on which its device depends. Contracts should require advance notice, version access, change documentation, safety-relevant incident sharing, and the ability to suspend an update. Technical controls should prevent unreviewed model substitution. Predetermined change control plans should define bounded change categories, validation methods, acceptance criteria, rollback procedures, and user notification. Changes that alter authority, clinical scope, refusal behavior, tool use, or performance in vulnerable subgroups should presumptively require FDA review.</w:t>
      </w:r>
    </w:p>
    <w:p>
      <w:r>
        <w:rPr>
          <w:color w:val="777777"/>
          <w:sz w:val="16"/>
        </w:rPr>
        <w:t xml:space="preserve">p042 · att1 p.4  </w:t>
      </w:r>
      <w:r>
        <w:t>IV. Foundation Models, Agentic Systems, Transparency, and Accountability (Questions 25-26) — 1. Foundation Model Master Files would help, but voluntary participation may be insufficient</w:t>
      </w:r>
    </w:p>
    <w:p>
      <w:r>
        <w:rPr>
          <w:color w:val="777777"/>
          <w:sz w:val="16"/>
        </w:rPr>
        <w:t xml:space="preserve">p043 · att1 p.4  </w:t>
      </w:r>
      <w:r>
        <w:t>A Foundation Model Master File could improve review efficiency if it is current, technically meaningful, and available for regulatory reliance. Relevant content includes version history, training and evaluation data provenance, known limitations, cybersecurity, update practices, refusal and content-control behavior, tool-use architecture, subgroup performance, incident reporting, and the contractual allocation of changemanagement duties. Because developers may have weak incentives to disclose safety-relevant information voluntarily, CDRH should consider whether access to an adequate Master File or equivalent documentation should be expected when a sponsor relies materially on a third-party model.</w:t>
      </w:r>
    </w:p>
    <w:p>
      <w:r>
        <w:rPr>
          <w:color w:val="777777"/>
          <w:sz w:val="16"/>
        </w:rPr>
        <w:t xml:space="preserve">p044 · att1 p.4  </w:t>
      </w:r>
      <w:r>
        <w:t>2. Agentic systems require explicit authority boundaries — For agentic devices, CDRH should require:</w:t>
      </w:r>
    </w:p>
    <w:p>
      <w:r>
        <w:rPr>
          <w:color w:val="777777"/>
          <w:sz w:val="16"/>
        </w:rPr>
        <w:t xml:space="preserve">p045 · att1 p.4  </w:t>
      </w:r>
      <w:r>
        <w:t>• a machine-readable and human-understandable definition of permitted actions and tools; • confirmation requirements for consequential actions; • validated stop conditions, abstention, and fail-safe states; • immutable, time-synchronized audit logs of inputs, outputs, tool calls, actions, and overrides; • detection of unauthorized delegation or emergent sub-agents;</w:t>
      </w:r>
    </w:p>
    <w:p>
      <w:r>
        <w:rPr>
          <w:color w:val="777777"/>
          <w:sz w:val="16"/>
        </w:rPr>
        <w:t xml:space="preserve">p046 · att1 p.5  </w:t>
      </w:r>
      <w:r>
        <w:t>• safe behavior during loss of data, instruments, power, or connectivity; • realistic takeover testing, including the time and information needed for recovery; and • clear labeling of what the system can do, may do, and is prohibited from doing.</w:t>
      </w:r>
    </w:p>
    <w:p>
      <w:r>
        <w:rPr>
          <w:color w:val="777777"/>
          <w:sz w:val="16"/>
        </w:rPr>
        <w:t xml:space="preserve">p047 · att1 p.5  </w:t>
      </w:r>
      <w:r>
        <w:t>The presence of a human supervisor should reduce risk only when the supervisor has the training, attention, authority, information, and time required to intervene effectively.</w:t>
      </w:r>
    </w:p>
    <w:p>
      <w:r>
        <w:rPr>
          <w:color w:val="777777"/>
          <w:sz w:val="16"/>
        </w:rPr>
        <w:t xml:space="preserve">p048 · att1 p.5  </w:t>
      </w:r>
      <w:r>
        <w:t>3. Require verifiable transparency without requiring public release of identifiable operative data — Patients, clinicians, institutions, regulators, and independent auditors need different layers of transparency. At minimum, manufacturers and deploying institutions should disclose:</w:t>
      </w:r>
    </w:p>
    <w:p>
      <w:r>
        <w:rPr>
          <w:color w:val="777777"/>
          <w:sz w:val="16"/>
        </w:rPr>
        <w:t xml:space="preserve">p049 · att1 p.5  </w:t>
      </w:r>
      <w:r>
        <w:t>• what data the device captures and retains; • the purpose of collection and any secondary uses, including model training or commercial improvement; • who can access the data and how long it is retained; • the provenance and representativeness of training and validation data; • intended use, known limitations, uncertainty behavior, and foreseeable failure modes; • subgroup, site, and workflow performance; • material model or policy changes; and • the identity and roles of third-party foundation-model and platform providers.</w:t>
      </w:r>
    </w:p>
    <w:p>
      <w:r>
        <w:rPr>
          <w:color w:val="777777"/>
          <w:sz w:val="16"/>
        </w:rPr>
        <w:t xml:space="preserve">p050 · att1 p.5  </w:t>
      </w:r>
      <w:r>
        <w:t>This does not require public disclosure of identifiable surgical video or trade secrets. It requires verifiable traceability and sufficient access for affected patients and clinicians, regulators, and qualified independent auditors. Labeling should make clear when use of a device causes operative video, kinematics, audio, or workflow data to be collected or reused.</w:t>
      </w:r>
    </w:p>
    <w:p>
      <w:r>
        <w:rPr>
          <w:color w:val="777777"/>
          <w:sz w:val="16"/>
        </w:rPr>
        <w:t xml:space="preserve">p051 · att1 p.5  </w:t>
      </w:r>
      <w:r>
        <w:t>4. Accountability should follow control, knowledge, preventability, and benefit — Responsibility should not default to the surgeon standing closest to the patient. The manufacturer should remain responsible for design, validation, labeling, updates, monitoring, and known or knowable defects. A deploying institution should be responsible for local validation, credentialing, workflow integration, maintenance, staffing, data governance, and response to safety signals. Clinicians should remain responsible for reasonable use within their competence and for acting on information that can realistically be evaluated. Foundation-model and infrastructure providers should have duties proportionate to their control over safety-relevant behavior and changes.</w:t>
      </w:r>
    </w:p>
    <w:p>
      <w:r>
        <w:rPr>
          <w:color w:val="777777"/>
          <w:sz w:val="16"/>
        </w:rPr>
        <w:t xml:space="preserve">p052 · att1 p.5  </w:t>
      </w:r>
      <w:r>
        <w:t>FDA cannot resolve every question of privacy, employment, intellectual property, reimbursement, or malpractice. It can, however, require device documentation and labeling that make the distribution of control visible rather than allowing contractual opacity to shift risk downstream.</w:t>
      </w:r>
    </w:p>
    <w:p>
      <w:r>
        <w:rPr>
          <w:color w:val="777777"/>
          <w:sz w:val="16"/>
        </w:rPr>
        <w:t xml:space="preserve">p053 · att1 p.5  </w:t>
      </w:r>
      <w:r>
        <w:t>V. Equity and Participation Across the Total Product Life Cycle — The promise of GenAI-enabled surgery includes expanding access to expertise. That promise will not be realized if systems are developed and validated primarily in wealthy academic hospitals, on a narrow range of patients, devices, procedures, and clinical teams. CDRH should expect evidence across relevant demographic groups, anatomy and disease severity, community and rural settings, resource levels, workflows, and user experience. Performance aggregation should not conceal clinically meaningful subgroup failures.</w:t>
      </w:r>
    </w:p>
    <w:p>
      <w:r>
        <w:rPr>
          <w:color w:val="777777"/>
          <w:sz w:val="16"/>
        </w:rPr>
        <w:t xml:space="preserve">p054 · att1 p.5  </w:t>
      </w:r>
      <w:r>
        <w:t>Practicing clinicians, operating-room professionals, patients, patient advocates, and representatives of rural and lower-resource settings should participate in defining intended use, acceptable tradeoffs, evaluation endpoints, transparency, and postmarket monitoring. Their participation should be documented, compensated where appropriate, and occur early enough to affect design rather than merely validate a completed product.</w:t>
      </w:r>
    </w:p>
    <w:p>
      <w:r>
        <w:rPr>
          <w:color w:val="777777"/>
          <w:sz w:val="16"/>
        </w:rPr>
        <w:t xml:space="preserve">p055 · att1 p.6  </w:t>
      </w:r>
      <w:r>
        <w:t>Conclusion — GenAI-enabled medical devices could make surgery safer, more consistent, and more accessible. Regulation should protect that opportunity, not suppress it. The strongest framework will combine riskproportionate innovation with firm safeguards at the points where software begins to direct or perform physical action.</w:t>
      </w:r>
    </w:p>
    <w:p>
      <w:r>
        <w:rPr>
          <w:color w:val="777777"/>
          <w:sz w:val="16"/>
        </w:rPr>
        <w:t xml:space="preserve">p056 · att1 p.6  </w:t>
      </w:r>
      <w:r>
        <w:t>For procedural and surgical applications, CDRH should evaluate the deployed human-AI system; explicitly account for authority, irreversibility, time to harm, and rescue; require realistic clinical confirmation; preserve manufacturer accountability; and demand versioned, representative, and auditable evidence throughout the product life cycle. If these principles are embedded now, generative AI can democratize and scale surgical intelligence without obscuring responsibility, weakening human capability, or leaving patients and clinicians outside the decisions that determine how their data and care are used.</w:t>
      </w:r>
    </w:p>
    <w:p>
      <w:r>
        <w:rPr>
          <w:color w:val="777777"/>
          <w:sz w:val="16"/>
        </w:rPr>
        <w:t xml:space="preserve">p057 · att1 p.6  </w:t>
      </w:r>
      <w:r>
        <w:t>Disclosures — I am employed by CHRISTUS Health as System Director of Surgery and Robotics for the U.S. and Latin America, and practice as a general and emergency surgeon within the health system. I am a former U.S. Army Emergency Surgeon and Lieutenant Colonel. I submit these comments in my personal capacity; they do not represent the views of my employer. I am a member of Intuitive Surgical's Surgeon Advisory Board and have participated in advisory, educational, and technology-demonstration activities with Intuitive Surgical, including public and international demonstrations of telesurgery capabilities in 2025 and 2026. I have received consulting fees and speaking honoraria for this work. I hold no equity in, and have received no research funding from, any company discussed in this comment.</w:t>
      </w:r>
    </w:p>
    <w:p>
      <w:r>
        <w:rPr>
          <w:color w:val="777777"/>
          <w:sz w:val="16"/>
        </w:rPr>
        <w:t xml:space="preserve">p058 · att1 p.6  </w:t>
      </w:r>
      <w:r>
        <w:t>Selected References — 1. U.S. Food and Drug Administration. Considerations for the Regulation of Generative AI-Enabled Medical Devices: Discussion Paper and Request for Feedback. August 2026. Docket FDA-2026-N- 7874. 2. U.S. Food and Drug Administration, Health Canada, and Medicines and Healthcare products Regulatory Agency. Transparency for Machine Learning-Enabled Medical Devices: Guiding Principles. 2024. 3. International Medical Device Regulators Forum. Good Machine Learning Practice for Medical Device Development: Guiding Principles. 2025. 4. U.S. Food and Drug Administration. Artificial Intelligence-Enabled Device Software Functions: Lifecycle Management and Marketing Submission Recommendations. Draft Guidance. 2025. 5. U.S. Food and Drug Administration. Marketing Submission Recommendations for a Predetermined Change Control Plan for Artificial Intelligence-Enabled Device Software Functions. Final Guidance. 2025. 6. Marcus HJ, et al. The IDEAL framework for surgical robotics: development, comparative evaluation and long-term monitoring. Nature Medicine. 2024;30:61-75. 7. Collins JW, et al. Guidance on AI-enhanced surgical practice: a Delphi consensus. npj Digital Surgery. 2026. 8. World Health Organization. Ethics and Governance of Artificial Intelligence for Health. 2021. 9. Vasey B, et al. DECIDE-AI: reporting guidelines for the early-stage clinical evaluation of decision support systems driven by artificial intelligence. Nature Medicine. 2022;28:924-933. 10. Liu X, et al. Reporting guidelines for clinical trial reports for interventions involving artificial intelligence: the CONSORT-AI extension. Nature Medicine. 2020;26:1364-1374.</w:t>
      </w:r>
    </w:p>
    <w:p>
      <w:pPr>
        <w:pStyle w:val="Heading1"/>
        <w:pageBreakBefore/>
      </w:pPr>
      <w:r>
        <w:t>FDA-2026-N-7874-0018</w:t>
      </w:r>
    </w:p>
    <w:p>
      <w:r>
        <w:t>Comment from JAGADEESHA PAMPAPATHI</w:t>
      </w:r>
    </w:p>
    <w:p>
      <w:r>
        <w:rPr>
          <w:color w:val="777777"/>
          <w:sz w:val="18"/>
        </w:rPr>
        <w:t>Device Industry - C0012 · received 2026-08-19 · attachments: attachment_1.pdf (4 pp)</w:t>
      </w:r>
    </w:p>
    <w:p>
      <w:r>
        <w:rPr>
          <w:color w:val="777777"/>
          <w:sz w:val="16"/>
        </w:rPr>
        <w:t xml:space="preserve">p001 · body  </w:t>
      </w:r>
      <w:r>
        <w:t>I reviewed the FDA discussion paper Discussion Paper Considerations for the Regulation of Generative AI-Enabled Medical Devices. Overall, I think this is one of the most thoughtful FDA discussion papers published to date on GenAI regulation and it aligns well with a Total Product Lifecycle (TPLC) approach. It appropriately recognizes that traditional software validation approaches are insufficient for open-ended GenAI systems and introduces a risk-based + competency-based framework. However, As someone working on cloud-based medical software platforms, there are the areas where I believe additional inputs you can consider before making any final paper/draft guideline/Recommendations. Pl find the enclosed document for Suggestions.</w:t>
      </w:r>
    </w:p>
    <w:p>
      <w:r>
        <w:rPr>
          <w:color w:val="777777"/>
          <w:sz w:val="16"/>
        </w:rPr>
        <w:t xml:space="preserve">p002 · att1 p.1  </w:t>
      </w:r>
      <w:r>
        <w:t>Review comments By Jagadeesha: 1. Missing Explicit Multiple Function Device Product (MFDP) Considerations</w:t>
      </w:r>
    </w:p>
    <w:p>
      <w:r>
        <w:rPr>
          <w:color w:val="777777"/>
          <w:sz w:val="16"/>
        </w:rPr>
        <w:t xml:space="preserve">p003 · att1 p.1  </w:t>
      </w:r>
      <w:r>
        <w:t>Although FDA briefly references multiple-function products, the discussion does not sufficiently address: • Medical + non-medical GenAI functions in the same platform</w:t>
      </w:r>
    </w:p>
    <w:p>
      <w:r>
        <w:rPr>
          <w:color w:val="777777"/>
          <w:sz w:val="16"/>
        </w:rPr>
        <w:t xml:space="preserve">p004 · att1 p.1  </w:t>
      </w:r>
      <w:r>
        <w:t>• Shared foundation models servicing both regulated and non-regulated functions — • Contamination or influence between regulated and non-regulated outputs</w:t>
      </w:r>
    </w:p>
    <w:p>
      <w:r>
        <w:rPr>
          <w:color w:val="777777"/>
          <w:sz w:val="16"/>
        </w:rPr>
        <w:t xml:space="preserve">p005 · att1 p.1  </w:t>
      </w:r>
      <w:r>
        <w:t>• Segregation requirements — • Architecture Recommendations inclusion Medical + non-medical GenAI functions</w:t>
      </w:r>
    </w:p>
    <w:p>
      <w:r>
        <w:rPr>
          <w:color w:val="777777"/>
          <w:sz w:val="16"/>
        </w:rPr>
        <w:t xml:space="preserve">p006 · att1 p.1  </w:t>
      </w:r>
      <w:r>
        <w:t>This is particularly important for platforms like where some functions could be medicaldevice functions while others remain non-device administrative functions.</w:t>
      </w:r>
    </w:p>
    <w:p>
      <w:r>
        <w:rPr>
          <w:color w:val="777777"/>
          <w:sz w:val="16"/>
        </w:rPr>
        <w:t xml:space="preserve">p007 · att1 p.1  </w:t>
      </w:r>
      <w:r>
        <w:t>Recommendation — FDA should provide: • Explicit MFDP examples — • Boundary control expectations</w:t>
      </w:r>
    </w:p>
    <w:p>
      <w:r>
        <w:rPr>
          <w:color w:val="777777"/>
          <w:sz w:val="16"/>
        </w:rPr>
        <w:t xml:space="preserve">p008 · att1 p.1  </w:t>
      </w:r>
      <w:r>
        <w:t>• Evidence requirements demonstrating independence between regulated and nonregulated functions — 2. Cybersecurity is Underrepresented</w:t>
      </w:r>
    </w:p>
    <w:p>
      <w:r>
        <w:rPr>
          <w:color w:val="777777"/>
          <w:sz w:val="16"/>
        </w:rPr>
        <w:t xml:space="preserve">p009 · att1 p.1  </w:t>
      </w:r>
      <w:r>
        <w:t>The paper references guardrails and prompt injection but cybersecurity requirements are not sufficiently integrated into the framework.</w:t>
      </w:r>
    </w:p>
    <w:p>
      <w:r>
        <w:rPr>
          <w:color w:val="777777"/>
          <w:sz w:val="16"/>
        </w:rPr>
        <w:t xml:space="preserve">p010 · att1 p.1  </w:t>
      </w:r>
      <w:r>
        <w:t>Particularly absent: • Model poisoning — • Retrieval database attacks — • Prompt injection impact on clinical outputs</w:t>
      </w:r>
    </w:p>
    <w:p>
      <w:r>
        <w:rPr>
          <w:color w:val="777777"/>
          <w:sz w:val="16"/>
        </w:rPr>
        <w:t xml:space="preserve">p011 · att1 p.1  </w:t>
      </w:r>
      <w:r>
        <w:t>• Adversarial attacks — • Agentic tool abuse — • LLM supply chain security</w:t>
      </w:r>
    </w:p>
    <w:p>
      <w:r>
        <w:rPr>
          <w:color w:val="777777"/>
          <w:sz w:val="16"/>
        </w:rPr>
        <w:t xml:space="preserve">p012 · att1 p.1  </w:t>
      </w:r>
      <w:r>
        <w:t>Recommendation — Add a dedicated cybersecurity competency area or explicitly align with: • FDA Cybersecurity Guidance</w:t>
      </w:r>
    </w:p>
    <w:p>
      <w:r>
        <w:rPr>
          <w:color w:val="777777"/>
          <w:sz w:val="16"/>
        </w:rPr>
        <w:t xml:space="preserve">p013 · att1 p.1  </w:t>
      </w:r>
      <w:r>
        <w:t>• SBOM expectations — • IEC 81001-5-1 — • NIST AI RMF — 3. Human Factors / Usability Not Prominent Enough</w:t>
      </w:r>
    </w:p>
    <w:p>
      <w:r>
        <w:rPr>
          <w:color w:val="777777"/>
          <w:sz w:val="16"/>
        </w:rPr>
        <w:t xml:space="preserve">p014 · att1 p.2  </w:t>
      </w:r>
      <w:r>
        <w:t>The paper discusses communication quality and automation bias. However, it does not explicitly connect them to traditional human factors engineering requirements.</w:t>
      </w:r>
    </w:p>
    <w:p>
      <w:r>
        <w:rPr>
          <w:color w:val="777777"/>
          <w:sz w:val="16"/>
        </w:rPr>
        <w:t xml:space="preserve">p015 · att1 p.2  </w:t>
      </w:r>
      <w:r>
        <w:t>For GenAI systems FDA should evaluate: • User trust calibration — • Overreliance</w:t>
      </w:r>
    </w:p>
    <w:p>
      <w:r>
        <w:rPr>
          <w:color w:val="777777"/>
          <w:sz w:val="16"/>
        </w:rPr>
        <w:t xml:space="preserve">p016 · att1 p.2  </w:t>
      </w:r>
      <w:r>
        <w:t>• Alert fatigue — • Automation bias — • Explainability effectiveness — Recommendation</w:t>
      </w:r>
    </w:p>
    <w:p>
      <w:r>
        <w:rPr>
          <w:color w:val="777777"/>
          <w:sz w:val="16"/>
        </w:rPr>
        <w:t xml:space="preserve">p017 · att1 p.2  </w:t>
      </w:r>
      <w:r>
        <w:t>Human factors validation should become a standalone evaluation pillar.</w:t>
      </w:r>
    </w:p>
    <w:p>
      <w:r>
        <w:rPr>
          <w:color w:val="777777"/>
          <w:sz w:val="16"/>
        </w:rPr>
        <w:t xml:space="preserve">p018 · att1 p.2  </w:t>
      </w:r>
      <w:r>
        <w:t>4. Lack of Clear Treatment for Retrieval-Augmented Generation (RAG) — Most healthcare GenAI systems will not rely solely on foundation models.</w:t>
      </w:r>
    </w:p>
    <w:p>
      <w:r>
        <w:rPr>
          <w:color w:val="777777"/>
          <w:sz w:val="16"/>
        </w:rPr>
        <w:t xml:space="preserve">p019 · att1 p.2  </w:t>
      </w:r>
      <w:r>
        <w:t>Instead, they will rely upon: • RAG architectures — • Clinical knowledge repositories</w:t>
      </w:r>
    </w:p>
    <w:p>
      <w:r>
        <w:rPr>
          <w:color w:val="777777"/>
          <w:sz w:val="16"/>
        </w:rPr>
        <w:t xml:space="preserve">p020 · att1 p.2  </w:t>
      </w:r>
      <w:r>
        <w:t>• Guideline retrieval systems — • Enterprise databases — The discussion focuses heavily on foundation models but insufficiently addresses:</w:t>
      </w:r>
    </w:p>
    <w:p>
      <w:r>
        <w:rPr>
          <w:color w:val="777777"/>
          <w:sz w:val="16"/>
        </w:rPr>
        <w:t xml:space="preserve">p021 · att1 p.2  </w:t>
      </w:r>
      <w:r>
        <w:t>• Retrieval quality — • Source governance — • Knowledge base drift — • Citation accuracy</w:t>
      </w:r>
    </w:p>
    <w:p>
      <w:r>
        <w:rPr>
          <w:color w:val="777777"/>
          <w:sz w:val="16"/>
        </w:rPr>
        <w:t xml:space="preserve">p022 · att1 p.2  </w:t>
      </w:r>
      <w:r>
        <w:t>Recommendation — FDA should define validation expectations separately for: • Foundation model — • Retrieval layer</w:t>
      </w:r>
    </w:p>
    <w:p>
      <w:r>
        <w:rPr>
          <w:color w:val="777777"/>
          <w:sz w:val="16"/>
        </w:rPr>
        <w:t xml:space="preserve">p023 · att1 p.2  </w:t>
      </w:r>
      <w:r>
        <w:t>• Orchestrator layer — • Final clinical output — 5. Statistics and Acceptance Criteria Remain Vague</w:t>
      </w:r>
    </w:p>
    <w:p>
      <w:r>
        <w:rPr>
          <w:color w:val="777777"/>
          <w:sz w:val="16"/>
        </w:rPr>
        <w:t xml:space="preserve">p024 · att1 p.3  </w:t>
      </w:r>
      <w:r>
        <w:t>One major weakness is that the document does not provide practical approaches for:</w:t>
      </w:r>
    </w:p>
    <w:p>
      <w:r>
        <w:rPr>
          <w:color w:val="777777"/>
          <w:sz w:val="16"/>
        </w:rPr>
        <w:t xml:space="preserve">p025 · att1 p.3  </w:t>
      </w:r>
      <w:r>
        <w:t>• Sample size determination — • Confidence intervals — • Performance thresholds — • Statistical significance for open-ended outputs</w:t>
      </w:r>
    </w:p>
    <w:p>
      <w:r>
        <w:rPr>
          <w:color w:val="777777"/>
          <w:sz w:val="16"/>
        </w:rPr>
        <w:t xml:space="preserve">p026 · att1 p.3  </w:t>
      </w:r>
      <w:r>
        <w:t>FDA raises the question but does not suggest a path forward.</w:t>
      </w:r>
    </w:p>
    <w:p>
      <w:r>
        <w:rPr>
          <w:color w:val="777777"/>
          <w:sz w:val="16"/>
        </w:rPr>
        <w:t xml:space="preserve">p027 · att1 p.3  </w:t>
      </w:r>
      <w:r>
        <w:t>Recommendation — Consider: • Non-inferiority approaches — • Bayesian approaches — • Risk-adjusted performance thresholds</w:t>
      </w:r>
    </w:p>
    <w:p>
      <w:r>
        <w:rPr>
          <w:color w:val="777777"/>
          <w:sz w:val="16"/>
        </w:rPr>
        <w:t xml:space="preserve">p028 · att1 p.3  </w:t>
      </w:r>
      <w:r>
        <w:t>• Human-AI team effectiveness measures — 6. Agentic AI Requires Stronger Controls — Agentic AI is discussed but I think the risk is greater than portrayed.</w:t>
      </w:r>
    </w:p>
    <w:p>
      <w:r>
        <w:rPr>
          <w:color w:val="777777"/>
          <w:sz w:val="16"/>
        </w:rPr>
        <w:t xml:space="preserve">p029 · att1 p.3  </w:t>
      </w:r>
      <w:r>
        <w:t>Agentic systems can: • Execute actions — • Trigger workflows — • Modify records</w:t>
      </w:r>
    </w:p>
    <w:p>
      <w:r>
        <w:rPr>
          <w:color w:val="777777"/>
          <w:sz w:val="16"/>
        </w:rPr>
        <w:t xml:space="preserve">p030 · att1 p.3  </w:t>
      </w:r>
      <w:r>
        <w:t>• Interact with connected systems — Single-step validation is insufficient.</w:t>
      </w:r>
    </w:p>
    <w:p>
      <w:r>
        <w:rPr>
          <w:color w:val="777777"/>
          <w:sz w:val="16"/>
        </w:rPr>
        <w:t xml:space="preserve">p031 · att1 p.3  </w:t>
      </w:r>
      <w:r>
        <w:t>Recommendation — Require: • Action approval checkpoints — • Tool-use verification — • Audit trails</w:t>
      </w:r>
    </w:p>
    <w:p>
      <w:r>
        <w:rPr>
          <w:color w:val="777777"/>
          <w:sz w:val="16"/>
        </w:rPr>
        <w:t xml:space="preserve">p032 · att1 p.3  </w:t>
      </w:r>
      <w:r>
        <w:t>• Rollback capabilities — • Runtime supervision before high-risk autonomous deployment.</w:t>
      </w:r>
    </w:p>
    <w:p>
      <w:r>
        <w:rPr>
          <w:color w:val="777777"/>
          <w:sz w:val="16"/>
        </w:rPr>
        <w:t xml:space="preserve">p033 · att1 p.3  </w:t>
      </w:r>
      <w:r>
        <w:t>7. Third-Party Foundation Model Change Management — This is probably the biggest practical regulatory challenge.</w:t>
      </w:r>
    </w:p>
    <w:p>
      <w:r>
        <w:rPr>
          <w:color w:val="777777"/>
          <w:sz w:val="16"/>
        </w:rPr>
        <w:t xml:space="preserve">p034 · att1 p.4  </w:t>
      </w:r>
      <w:r>
        <w:t>The paper recognises that foundation model providers may change their models without sponsors initiating updates.</w:t>
      </w:r>
    </w:p>
    <w:p>
      <w:r>
        <w:rPr>
          <w:color w:val="777777"/>
          <w:sz w:val="16"/>
        </w:rPr>
        <w:t xml:space="preserve">p035 · att1 p.4  </w:t>
      </w:r>
      <w:r>
        <w:t>For medical device manufacturers, this creates a major regulatory problem because: • Behaviour may change overnight</w:t>
      </w:r>
    </w:p>
    <w:p>
      <w:r>
        <w:rPr>
          <w:color w:val="777777"/>
          <w:sz w:val="16"/>
        </w:rPr>
        <w:t xml:space="preserve">p036 · att1 p.4  </w:t>
      </w:r>
      <w:r>
        <w:t>• Performance may drift — • Safety profiles may change — • FDA-cleared evidence may no longer reflect deployed behaviour</w:t>
      </w:r>
    </w:p>
    <w:p>
      <w:r>
        <w:rPr>
          <w:color w:val="777777"/>
          <w:sz w:val="16"/>
        </w:rPr>
        <w:t xml:space="preserve">p037 · att1 p.4  </w:t>
      </w:r>
      <w:r>
        <w:t>Recommendation — FDA should strongly consider: • Locked model versions — • Mandatory model version traceability</w:t>
      </w:r>
    </w:p>
    <w:p>
      <w:r>
        <w:rPr>
          <w:color w:val="777777"/>
          <w:sz w:val="16"/>
        </w:rPr>
        <w:t xml:space="preserve">p038 · att1 p.4  </w:t>
      </w:r>
      <w:r>
        <w:t>• Supplier quality agreements — • Triggered revalidation criteria — • PCCP-specific provisions for foundation-model updates</w:t>
      </w:r>
    </w:p>
    <w:p>
      <w:pPr>
        <w:pStyle w:val="Heading1"/>
        <w:pageBreakBefore/>
      </w:pPr>
      <w:r>
        <w:t>FDA-2026-N-7874-0019</w:t>
      </w:r>
    </w:p>
    <w:p>
      <w:r>
        <w:t>Comment from Shannon Kamalaker</w:t>
      </w:r>
    </w:p>
    <w:p>
      <w:r>
        <w:rPr>
          <w:color w:val="777777"/>
          <w:sz w:val="18"/>
        </w:rPr>
        <w:t>Drug Industry - C0022 · received 2026-08-19 · attachments: attachment_1.pdf (9 pp)</w:t>
      </w:r>
    </w:p>
    <w:p>
      <w:r>
        <w:rPr>
          <w:color w:val="777777"/>
          <w:sz w:val="16"/>
        </w:rPr>
        <w:t xml:space="preserve">p001 · body  </w:t>
      </w:r>
      <w:r>
        <w:t>Here are my responses to this with the added disclaimer that I answered all questions to the best of my own brain ability and did not use AI in any form or fashion. Sincerely Dr. Shannon Nadia Kamalaker</w:t>
      </w:r>
    </w:p>
    <w:p>
      <w:r>
        <w:rPr>
          <w:color w:val="777777"/>
          <w:sz w:val="16"/>
        </w:rPr>
        <w:t xml:space="preserve">p002 · att1 p.1  </w:t>
      </w:r>
      <w:r>
        <w:t>1. Does the two-axis risk framework, organized around device activity and the consequence of relying on an incorrect output, appropriately capture the dimensions most relevant to the risk of a GenAI-enabled software function? If there are additional dimensions—such as the reversibility of a resulting action, the availability of downstream safeguards, the time pressure of the deployment setting, or the traceability of the output (i.e., to primary source materials)—that should be represented in a risk framework, please describe and provide examples of how they should be represented.</w:t>
      </w:r>
    </w:p>
    <w:p>
      <w:r>
        <w:rPr>
          <w:color w:val="777777"/>
          <w:sz w:val="16"/>
        </w:rPr>
        <w:t xml:space="preserve">p003 · att1 p.1  </w:t>
      </w:r>
      <w:r>
        <w:t>Response: It does not appropriately capture the risk related to the Gen-AI enabled software function.As a resident physician in the psychiatry space, it is imperative that we are able to define clear and objective methods for the risk of the anything medical advice made. Clearly we have always had several cases of issues and court cases where the generativeAI is indicated and gave false information. For a action-directing function a clear message involving ANY kind of medical knowledge or guidance needs to be put and not just for physicians, but for therapists, counselors, hotline specialists, etc. Patient or people need to understand and realize that it is imperative and important to continue to use US in the mental health field versus an AI model. One the model is limited in the space of what actually can be said and given, and has to be trained using patient data or physician data. To maintain the privacy and ethics of healthcare- everything would be consented too. Unsure how the generativeAI is done and since it has already has some much data that is used, it would be impossible to train the AI to this criteria without some ethical implications. Even OpenevidenceAI. Also for the action-decision making methods. Again THIS is not an person, researcher, physician or anything. There is a reason that many of us go through medical school, residency, and research and beyond as well continuing medical education.</w:t>
      </w:r>
    </w:p>
    <w:p>
      <w:r>
        <w:rPr>
          <w:color w:val="777777"/>
          <w:sz w:val="16"/>
        </w:rPr>
        <w:t xml:space="preserve">p004 · att1 p.1  </w:t>
      </w:r>
      <w:r>
        <w:t>2. CDRH seeks input on how to account for the spectrum of GenAI-enabled informational functions that vary in the degree to which they direct a user to a particular action (i.e., between “non-directive” and “action-directing”). What characteristics of an output—such as its wording, specificity, personalization, or context—could be considered as modifiers of the risk associated with an informational function, after accounting for the device’s overall functionality and intended use? What additional information would provide manufacturers with sufficient clarity and predictability around risk assessment for informational functions while recognizing that directiveness may exist along a continuum rather than as a binary distinction?</w:t>
      </w:r>
    </w:p>
    <w:p>
      <w:r>
        <w:rPr>
          <w:color w:val="777777"/>
          <w:sz w:val="16"/>
        </w:rPr>
        <w:t xml:space="preserve">p005 · att1 p.2  </w:t>
      </w:r>
      <w:r>
        <w:t>Response: For a action-directing function a clear message involving ANY kind of medical knowledge or guidance needs to be put and not just for physicians, but for therapists, counselors, hotline specialists, etc. Patient or people need to understand and realize that it is imperative and important to continue to use US in the mental health field versus an AI model. One the model is limited in the space of what actually can be said and given, and has to be trained using patient data or physician data. To maintain the privacy and ethics of healthcare- everything would be consented too. Unsure how the generativeAI is done and since it has already has some much data that is used, it would be impossible to train the AI to this criteria without some ethical implications. Even OpenevidenceAI. Also for the action-decision making methods.</w:t>
      </w:r>
    </w:p>
    <w:p>
      <w:r>
        <w:rPr>
          <w:color w:val="777777"/>
          <w:sz w:val="16"/>
        </w:rPr>
        <w:t xml:space="preserve">p006 · att1 p.2  </w:t>
      </w:r>
      <w:r>
        <w:t>In terms of the additional information- every drug administration, every health clinic, hell everyone that uses the drug would need to have a disclaimer that makes note that generative AI or AI in general is not a fail safe and that your results may vary. Anything and everything would need to be said with the behavioural health space that appropriate mental health facilities and clinics needed to be conducted to ensure PATIENTS that their safety is represented.</w:t>
      </w:r>
    </w:p>
    <w:p>
      <w:r>
        <w:rPr>
          <w:color w:val="777777"/>
          <w:sz w:val="16"/>
        </w:rPr>
        <w:t xml:space="preserve">p007 · att1 p.2  </w:t>
      </w:r>
      <w:r>
        <w:t>3. CDRH seeks input on whether and when a GenAI-enabled function that results in delivery of clinical information to patients, as opposed to HCPs, could present different or higher risks, while also recognizing the potential benefits associated with improved patient empowerment, engagement, and access to clinical information. What device characteristics, output features, or safeguards might mitigate risks that could arise when a user lacks the domain knowledge to independently evaluate an output, without unnecessarily underestimating patient capability?</w:t>
      </w:r>
    </w:p>
    <w:p>
      <w:r>
        <w:rPr>
          <w:color w:val="777777"/>
          <w:sz w:val="16"/>
        </w:rPr>
        <w:t xml:space="preserve">p008 · att1 p.3  </w:t>
      </w:r>
      <w:r>
        <w:t>Response: For a action-directing function a clear message involving ANY kind of medical knowledge or guidance needs to be put and not just for physicians, but for therapists, counselors, hotline specialists, etc. Patient or people need to understand and realize that it is imperative and important to continue to use US in the mental health field versus an AI model. One the model is limited in the space of what actually can be said and given, and has to be trained using patient data or physician data. To maintain the privacy and ethics of healthcare- everything would be consented too. Unsure how the generativeAI is done and since it has already has some much data that is used, it would be impossible to train the AI to this criteria without some ethical implications. Even OpenevidenceAI. Also for the action-decision making methods.</w:t>
      </w:r>
    </w:p>
    <w:p>
      <w:r>
        <w:rPr>
          <w:color w:val="777777"/>
          <w:sz w:val="16"/>
        </w:rPr>
        <w:t xml:space="preserve">p009 · att1 p.3  </w:t>
      </w:r>
      <w:r>
        <w:t>In exposing on this question, in every form that the AI is provided- we would need to have it translated into different languages and even broken down to the form.</w:t>
      </w:r>
    </w:p>
    <w:p>
      <w:r>
        <w:rPr>
          <w:color w:val="777777"/>
          <w:sz w:val="16"/>
        </w:rPr>
        <w:t xml:space="preserve">p010 · att1 p.3  </w:t>
      </w:r>
      <w:r>
        <w:t>4. CDRH seeks input on whether and how the distinction between generalist and specialist physicians might inform the assessment of risk for HCP-facing</w:t>
      </w:r>
    </w:p>
    <w:p>
      <w:r>
        <w:rPr>
          <w:color w:val="777777"/>
          <w:sz w:val="16"/>
        </w:rPr>
        <w:t xml:space="preserve">p011 · att1 p.3  </w:t>
      </w:r>
      <w:r>
        <w:t>GenAI-enabled functions. Under what circumstances, if any, might risk be affected when an HCP who lacks the relevant clinical specialist knowledge receives information that falls within a specialist area of practice? What device characteristics or safeguards might mitigate such risks?</w:t>
      </w:r>
    </w:p>
    <w:p>
      <w:r>
        <w:rPr>
          <w:color w:val="777777"/>
          <w:sz w:val="16"/>
        </w:rPr>
        <w:t xml:space="preserve">p012 · att1 p.3  </w:t>
      </w:r>
      <w:r>
        <w:t>Response: Truthfully at the end of the day, with the idea of AI seemed really effective and helpful, it is more work than anything. The same way that automated phone system drive everyone crazy, so does AI. In terms of audits, mental health space, I have no idea how this would be implemented. Surely from the energy standpoint, I DO NOT want this implemented and neither do patients of all age size and race. In context, I have stopped using any form of AI, have not even upgraded my gaming computer and choose to put my stock into an IRA than to continue to invest in companies that support AI. Nivdia and Microsoft I am looking at it. Again a clear warning that AI does not protect privacy because nothing on the internet is protected, and clear implication that AI is being used. No safeguard currently can migrate risk and the only way to fix these risks would to still have humans in place</w:t>
      </w:r>
    </w:p>
    <w:p>
      <w:r>
        <w:rPr>
          <w:color w:val="777777"/>
          <w:sz w:val="16"/>
        </w:rPr>
        <w:t xml:space="preserve">p013 · att1 p.4  </w:t>
      </w:r>
      <w:r>
        <w:t>5. 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w:t>
      </w:r>
    </w:p>
    <w:p>
      <w:r>
        <w:rPr>
          <w:color w:val="777777"/>
          <w:sz w:val="16"/>
        </w:rPr>
        <w:t xml:space="preserve">p014 · att1 p.4  </w:t>
      </w:r>
      <w:r>
        <w:t>Response: The model that currently seems to work for many clinicians with a valid NPI number is OpenEvidence AI. While many of us use it to help write prior authorizations and look up new and updating criteria, the idea of physicians using it for patients privacy, messages, etc that is now on the site is RIDICULOUS and frankly an insult to my intelligence. Over time, it has improved limitations of certain questions, reading the message that Openevidence AI that the question is out of the scope, but who is not the stop other physician or medical students to use it elsewhere. In the end, I have just stopped using it, mainly for that reason and because as a physician, I hold the same level of respect and reasonability to patient and other colleagues- I write my own note and responses across here..</w:t>
      </w:r>
    </w:p>
    <w:p>
      <w:r>
        <w:rPr>
          <w:color w:val="777777"/>
          <w:sz w:val="16"/>
        </w:rPr>
        <w:t xml:space="preserve">p015 · att1 p.4  </w:t>
      </w:r>
      <w:r>
        <w:t>6. For GenAI-enabled care escalation functions, CDRH is considering how the evaluation may account for both under-escalation and over-escalation. How could manufacturers characterize and weigh these two directions of error, given that they may not be commensurable and that acceptable trade-offs may vary by clinical context?</w:t>
      </w:r>
    </w:p>
    <w:p>
      <w:r>
        <w:rPr>
          <w:color w:val="777777"/>
          <w:sz w:val="16"/>
        </w:rPr>
        <w:t xml:space="preserve">p016 · att1 p.4  </w:t>
      </w:r>
      <w:r>
        <w:t>Response: Manufactures can put their disclaimer, but in the end, anyone that participates in the use of AI in this space bares reasonability. The government system itself, no one is immune to the consequences that will come with it. There are no acceptable trade-offs by a clinical context. As a physician the oath comes into play: do no harm, and since right now AI carries more risk and more reasonability, and frankly I’m not training anything while not getting paid for, as well the ethical and environmental impact, AI can kick rocks. I’d rather keep the medical degree that I paid for and invested all my time and money in.</w:t>
      </w:r>
    </w:p>
    <w:p>
      <w:r>
        <w:rPr>
          <w:color w:val="777777"/>
          <w:sz w:val="16"/>
        </w:rPr>
        <w:t xml:space="preserve">p017 · att1 p.5  </w:t>
      </w:r>
      <w:r>
        <w:t>7. Is the competency-based approach described above, i.e., device benchmarking followed by clinical confirmation, a useful and appropriate framework for evaluating GenAI-enabled devices?</w:t>
      </w:r>
    </w:p>
    <w:p>
      <w:r>
        <w:rPr>
          <w:color w:val="777777"/>
          <w:sz w:val="16"/>
        </w:rPr>
        <w:t xml:space="preserve">p018 · att1 p.5  </w:t>
      </w:r>
      <w:r>
        <w:t>Response: The approach seems ideal in hindsight, but how will one maintain patient safety and data during this? Who is not to say that the data gets leaked anyway, and in that case who is responsible?</w:t>
      </w:r>
    </w:p>
    <w:p>
      <w:r>
        <w:rPr>
          <w:color w:val="777777"/>
          <w:sz w:val="16"/>
        </w:rPr>
        <w:t xml:space="preserve">p019 · att1 p.5  </w:t>
      </w:r>
      <w:r>
        <w:t>8. How might the two-axis risk framework described in Section IV be considered within the competency-based approach described above to help determine the level of evidence needed for a premarket submission?</w:t>
      </w:r>
    </w:p>
    <w:p>
      <w:r>
        <w:rPr>
          <w:color w:val="777777"/>
          <w:sz w:val="16"/>
        </w:rPr>
        <w:t xml:space="preserve">p020 · att1 p.5  </w:t>
      </w:r>
      <w:r>
        <w:t>Response: The two-axis framework is not even needed. Currently HIPPA laws and the Security Rule of Healthcare govern that all healthcare providers within the space must follow the same privacy and security that all would want--- how will the FDA, government, manufactures, and physicians and other healthcare colleagues ensure that patient data will be protected and not breached or stolen or sold?</w:t>
      </w:r>
    </w:p>
    <w:p>
      <w:r>
        <w:rPr>
          <w:color w:val="777777"/>
          <w:sz w:val="16"/>
        </w:rPr>
        <w:t xml:space="preserve">p021 · att1 p.5  </w:t>
      </w:r>
      <w:r>
        <w:t>9. Would a benchmarking structure such as the one described above be likely to provide adequate evidence of clinical knowledge, analytic capabilities, safety behavior, communication, and generalizability to support a reasonable assurance of safety and effectiveness? Are there elements that are missing, redundant, or inappropriately categorized? Are there externally developed standards that could be leveraged?</w:t>
      </w:r>
    </w:p>
    <w:p>
      <w:r>
        <w:rPr>
          <w:color w:val="777777"/>
          <w:sz w:val="16"/>
        </w:rPr>
        <w:t xml:space="preserve">p022 · att1 p.5  </w:t>
      </w:r>
      <w:r>
        <w:t>Response: The benchmarking structure is nice, but a clinical trial or study would need to be done and the idea of informed consent would have to be discussed. In essence as well how does that maintain that patient confidentiality will be paramount while delivering accurate and clinically appropriate data/info?</w:t>
      </w:r>
    </w:p>
    <w:p>
      <w:r>
        <w:rPr>
          <w:color w:val="777777"/>
          <w:sz w:val="16"/>
        </w:rPr>
        <w:t xml:space="preserve">p023 · att1 p.6  </w:t>
      </w:r>
      <w:r>
        <w:t>10. CDRH recognizes that publicly available benchmarking assets may be subject to data contamination, saturation, and limited real-world representativeness.</w:t>
      </w:r>
    </w:p>
    <w:p>
      <w:r>
        <w:rPr>
          <w:color w:val="777777"/>
          <w:sz w:val="16"/>
        </w:rPr>
        <w:t xml:space="preserve">p024 · att1 p.6  </w:t>
      </w:r>
      <w:r>
        <w:t>How should a sponsor establish that performance on a given benchmark predicts safe and effective real-world behavior for the device’s intended use?</w:t>
      </w:r>
    </w:p>
    <w:p>
      <w:r>
        <w:rPr>
          <w:color w:val="777777"/>
          <w:sz w:val="16"/>
        </w:rPr>
        <w:t xml:space="preserve">p025 · att1 p.6  </w:t>
      </w:r>
      <w:r>
        <w:t>What evidence should support the construct validity of a benchmark used to gate device evaluation, and what role should sponsor-developed benchmarks play given potential concerns around independence and optimization to the test?</w:t>
      </w:r>
    </w:p>
    <w:p>
      <w:r>
        <w:rPr>
          <w:color w:val="777777"/>
          <w:sz w:val="16"/>
        </w:rPr>
        <w:t xml:space="preserve">p026 · att1 p.6  </w:t>
      </w:r>
      <w:r>
        <w:t>Response: No idea- again this benchmark really needs more fleshing out and there would need to be a pilot study with the idea clearly laid out to be done. Also a behavioral health study- our field is much more nuance and have more of a greater idea and consequence if something were to go wrong. Again in terms of patient safety and informed consent- who is responsible? These are federal laws and with them come federal consequences.</w:t>
      </w:r>
    </w:p>
    <w:p>
      <w:r>
        <w:rPr>
          <w:color w:val="777777"/>
          <w:sz w:val="16"/>
        </w:rPr>
        <w:t xml:space="preserve">p027 · att1 p.6  </w:t>
      </w:r>
      <w:r>
        <w:t>11. CDRH is considering that clinical confirmation for a GenAI-enabled device might not require a prospective clinical study in every case, and has described above a range of approaches of increasing rigor and patient exposure. How might a sponsor select and justify a confirmation approach tailored to a device’s intended use and proportionate to the device’s risk profile? Are there device types or risk profiles for which one or more of these approaches would be insufficient or inappropriate? How might the anticipated distribution of real-world inputs be taken into consideration? Are there other methods of clinical confirmation that might help inform the evaluation of GenAI-enabled devices?</w:t>
      </w:r>
    </w:p>
    <w:p>
      <w:r>
        <w:rPr>
          <w:color w:val="777777"/>
          <w:sz w:val="16"/>
        </w:rPr>
        <w:t xml:space="preserve">p028 · att1 p.6  </w:t>
      </w:r>
      <w:r>
        <w:t>Response: No, don’t cut corners- do a clinical trial study and make it clear to everyone including the public. THAT is not ok.</w:t>
      </w:r>
    </w:p>
    <w:p>
      <w:r>
        <w:rPr>
          <w:color w:val="777777"/>
          <w:sz w:val="16"/>
        </w:rPr>
        <w:t xml:space="preserve">p029 · att1 p.6  </w:t>
      </w:r>
      <w:r>
        <w:t>12. How should sponsors achieve statistically meaningful performance measurement for GenAI-enabled devices? Where synthetically generated inputs supplement real patient data, how should sponsors account for differences between the synthetic and real-world distributions when estimating performance, and under what conditions, if any, is it appropriate to combine benchmarking evidence and clinical confirmation evidence to support a single performance estimate?</w:t>
      </w:r>
    </w:p>
    <w:p>
      <w:r>
        <w:rPr>
          <w:color w:val="777777"/>
          <w:sz w:val="16"/>
        </w:rPr>
        <w:t xml:space="preserve">p030 · att1 p.7  </w:t>
      </w:r>
      <w:r>
        <w:t>Response: Qualtrics studies, accuracy of info given, patient info- but again dicey with the informed consent</w:t>
      </w:r>
    </w:p>
    <w:p>
      <w:r>
        <w:rPr>
          <w:color w:val="777777"/>
          <w:sz w:val="16"/>
        </w:rPr>
        <w:t xml:space="preserve">p031 · att1 p.7  </w:t>
      </w:r>
      <w:r>
        <w:t>13. For which clinical domains, device functions, or subpopulations is synthetic data particularly well-suited, or particularly inadequate, as a supplement to real- world evidence? What safeguards would mitigate the risk that synthetic data generated by models of the same class as the device under evaluation reproduces the very performance gaps the evaluation is intended to detect, particularly for underrepresented subgroups?</w:t>
      </w:r>
    </w:p>
    <w:p>
      <w:r>
        <w:rPr>
          <w:color w:val="777777"/>
          <w:sz w:val="16"/>
        </w:rPr>
        <w:t xml:space="preserve">p032 · att1 p.7  </w:t>
      </w:r>
      <w:r>
        <w:t>Response: Almost everyone. Patients are the most likely to not understand something. Behavioral health, elderly, children, patients in different languages and socioeconomic factors may not be able to participate in this study well, rural populations. No idea how one would be inclusive for all but If the study is limited, the data is limited in my position.</w:t>
      </w:r>
    </w:p>
    <w:p>
      <w:r>
        <w:rPr>
          <w:color w:val="777777"/>
          <w:sz w:val="16"/>
        </w:rPr>
        <w:t xml:space="preserve">p033 · att1 p.7  </w:t>
      </w:r>
      <w:r>
        <w:t>14. For open-ended device outputs, how should performance comparators and acceptance criteria be selected? When a panel of qualified clinicians serves as the comparator, how should the applicable standard (for example, the standard of care versus the performance of a median clinician in practice) be defined and justified? Should generalist or specialist physicians be used as a performance standard? When should human-AI team performance, rather than the device operating alone, serve as the basis for evaluation?</w:t>
      </w:r>
    </w:p>
    <w:p>
      <w:r>
        <w:rPr>
          <w:color w:val="777777"/>
          <w:sz w:val="16"/>
        </w:rPr>
        <w:t xml:space="preserve">p034 · att1 p.8  </w:t>
      </w:r>
      <w:r>
        <w:t>Response: I don’t believe this would make sense either, and again don’t have a answer here. There would need to be qualified clinicians that would have to agree – maybe it could be done with the hospital- but despite many physicians using AI I don’t know many that would agree to actually participating in it for fear of the backlash, the society and again the safety of themselves and their only license.</w:t>
      </w:r>
    </w:p>
    <w:p>
      <w:r>
        <w:rPr>
          <w:color w:val="777777"/>
          <w:sz w:val="16"/>
        </w:rPr>
        <w:t xml:space="preserve">p035 · att1 p.8  </w:t>
      </w:r>
      <w:r>
        <w:t>15. Are there ways in which performance might be assessed relative to the care, technology, or course of action likely to occur in the absence of the device, rather than to the comparators described in this section? What approaches might be used to identify and justify a comparator such as unaided clinical judgment, delayed specialist review, or no intervention?</w:t>
      </w:r>
    </w:p>
    <w:p>
      <w:r>
        <w:rPr>
          <w:color w:val="777777"/>
          <w:sz w:val="16"/>
        </w:rPr>
        <w:t xml:space="preserve">p036 · att1 p.8  </w:t>
      </w:r>
      <w:r>
        <w:t>Response: Not really answerable at this time, we would need a comparative device and a pilot study to really have something to compare it too.</w:t>
      </w:r>
    </w:p>
    <w:p>
      <w:r>
        <w:rPr>
          <w:color w:val="777777"/>
          <w:sz w:val="16"/>
        </w:rPr>
        <w:t xml:space="preserve">p037 · att1 p.8  </w:t>
      </w:r>
      <w:r>
        <w:t>No unaided clinical judgement, like why bother doing the study at all. Delayed specialist review would only delay care, which is dumb. No intervention must be an appropriate answer but since it is due by a robot and not a person- who is say that it is justified? Are the AI models going through medical school and residency and doing the same patient care we are? Seeing the same patient populations, etc?</w:t>
      </w:r>
    </w:p>
    <w:p>
      <w:r>
        <w:rPr>
          <w:color w:val="777777"/>
          <w:sz w:val="16"/>
        </w:rPr>
        <w:t xml:space="preserve">p038 · att1 p.8  </w:t>
      </w:r>
      <w:r>
        <w:t>16. Should independent third parties be involved in some or all aspects of a competency-based approach, including device benchmarking and clinical confirmation? If so, in what ways might qualified, independent third-party participation contribute to this approach, and what qualifications and independence criteria should apply? Are there aspects of the assessment for which third-party involvement would be impractical or inadvisable? What safeguards or program design features would be critical to prevent third-party participation from limiting competition or preventing innovation?</w:t>
      </w:r>
    </w:p>
    <w:p>
      <w:r>
        <w:rPr>
          <w:color w:val="777777"/>
          <w:sz w:val="16"/>
        </w:rPr>
        <w:t xml:space="preserve">p039 · att1 p.8  </w:t>
      </w:r>
      <w:r>
        <w:t>Response: An independent third-party would be create. All of the research boards, the national institute of health, the mental health organizations like NAMI and SAMHSA, AMA everyone should be involved. You wouldn’t get accurate results or information or even support otherwise. I don’t think that third-party involvements of these above organizations would be possible. Limiting design features is again privacy and data protection.</w:t>
      </w:r>
    </w:p>
    <w:p>
      <w:r>
        <w:rPr>
          <w:color w:val="777777"/>
          <w:sz w:val="16"/>
        </w:rPr>
        <w:t xml:space="preserve">p040 · att1 p.9  </w:t>
      </w:r>
      <w:r>
        <w:t>17. CDRH is exploring whether a competency-based approach could be applied to devices that incorporate a variety of underlying model architectures, such as multimodal vision-language models and generative or predictive world models.</w:t>
      </w:r>
    </w:p>
    <w:p>
      <w:r>
        <w:rPr>
          <w:color w:val="777777"/>
          <w:sz w:val="16"/>
        </w:rPr>
        <w:t xml:space="preserve">p041 · att1 p.9  </w:t>
      </w:r>
      <w:r>
        <w:t>Are there aspects of the described approach that might be ineffective or inapplicable to these devices? What additional or distinct considerations might need to be addressed?</w:t>
      </w:r>
    </w:p>
    <w:p>
      <w:r>
        <w:rPr>
          <w:color w:val="777777"/>
          <w:sz w:val="16"/>
        </w:rPr>
        <w:t xml:space="preserve">p042 · att1 p.9  </w:t>
      </w:r>
      <w:r>
        <w:t>Response; I like the competency based approach but first yall need to flesh out the public’s opinion on this in addition to generative AI- which it seems wrote these responses. Reaching out to several different groups with these questions as well involving the public’s opinion on this with a research paper that is written in more similar terms would be ideal.</w:t>
      </w:r>
    </w:p>
    <w:p>
      <w:r>
        <w:rPr>
          <w:color w:val="777777"/>
          <w:sz w:val="16"/>
        </w:rPr>
        <w:t xml:space="preserve">p043 · att1 p.9  </w:t>
      </w:r>
      <w:r>
        <w:t>Disclaimer: These responses were written without the use of Generative AI. I do not agree to this being published or edit or used without my written consent and permission. I do not agree that this should be used in helping Generative AI define metrics. While I recognized that everyone has a right their own opinion, I do not have to support it. Use AI if you wish. I thought about posting this anonymously but I feel so strongly about this topic, its now public. Since the government is now using AI with Medicare and Medicaid audits, I want to let everyone know some of us care about patients and rather than use AI actually get google with -AI because we care.</w:t>
      </w:r>
    </w:p>
    <w:p>
      <w:r>
        <w:rPr>
          <w:color w:val="777777"/>
          <w:sz w:val="16"/>
        </w:rPr>
        <w:t xml:space="preserve">p044 · att1 p.9  </w:t>
      </w:r>
      <w:r>
        <w:t>Sincerely,</w:t>
      </w:r>
    </w:p>
    <w:p>
      <w:r>
        <w:rPr>
          <w:color w:val="777777"/>
          <w:sz w:val="16"/>
        </w:rPr>
        <w:t xml:space="preserve">p045 · att1 p.9  </w:t>
      </w:r>
      <w:r>
        <w:t>Dr. Shannon Nadia Kamalaker</w:t>
      </w:r>
    </w:p>
    <w:p>
      <w:pPr>
        <w:pStyle w:val="Heading1"/>
        <w:pageBreakBefore/>
      </w:pPr>
      <w:r>
        <w:t>FDA-2026-N-7874-0020</w:t>
      </w:r>
    </w:p>
    <w:p>
      <w:r>
        <w:t>Comment from Mark Simonian MD FAAP</w:t>
      </w:r>
    </w:p>
    <w:p>
      <w:r>
        <w:rPr>
          <w:color w:val="777777"/>
          <w:sz w:val="18"/>
        </w:rPr>
        <w:t>Health Professional - A0007 · received 2026-08-20 · attachments: attachment_1.pdf (7 pp)</w:t>
      </w:r>
    </w:p>
    <w:p>
      <w:r>
        <w:rPr>
          <w:color w:val="777777"/>
          <w:sz w:val="16"/>
        </w:rPr>
        <w:t xml:space="preserve">p001 · body  </w:t>
      </w:r>
      <w:r>
        <w:t>See attached file(s)I am attaching an analysis with pediatric emphasis and use a rated atyle to show it measure from different perspectives as a pediatrician in general practice who has taught pediatric informatics and AI to other pediatricians.</w:t>
      </w:r>
    </w:p>
    <w:p>
      <w:r>
        <w:rPr>
          <w:color w:val="777777"/>
          <w:sz w:val="16"/>
        </w:rPr>
        <w:t xml:space="preserve">p002 · att1 p.1  </w:t>
      </w:r>
      <w:r>
        <w:t>Regulating Gen AI Enabled Devices — I read this as a request to critically appraise the FDA/CDRH discussion paper itself—not as a scientific efficacy study. The most useful metric is regulatory/scientific framework quality, rather than a conventional risk-of-bias score for an RCT.</w:t>
      </w:r>
    </w:p>
    <w:p>
      <w:r>
        <w:rPr>
          <w:color w:val="777777"/>
          <w:sz w:val="16"/>
        </w:rPr>
        <w:t xml:space="preserve">p003 · att1 p.1  </w:t>
      </w:r>
      <w:r>
        <w:t>The paper proposes three major ideas: a risk framework based principally on device activity/autonomy and consequences of an incorrect output; a competency-based premarket evaluation combining benchmarking with clinical confirmation; and a total-product-lifecycle approach in which post market monitoring and re-evaluation become unusually important. FDA explicitly says this is a discussion paper, not draft/final guidance or a statement of regulatory requirements.</w:t>
      </w:r>
    </w:p>
    <w:p>
      <w:r>
        <w:rPr>
          <w:color w:val="777777"/>
          <w:sz w:val="16"/>
        </w:rPr>
        <w:t xml:space="preserve">p004 · att1 p.1  </w:t>
      </w:r>
      <w:r>
        <w:t>Overall assessment — My rating: 7.5/10 as a conceptual regulatory framework, but ~5/10 for evidentiary maturity.</w:t>
      </w:r>
    </w:p>
    <w:p>
      <w:r>
        <w:rPr>
          <w:color w:val="777777"/>
          <w:sz w:val="16"/>
        </w:rPr>
        <w:t xml:space="preserve">p005 · att1 p.1  </w:t>
      </w:r>
      <w:r>
        <w:t>The paper identifies the right problems unusually well. Its weakness is that many of the proposed solutions are still conceptually appealing rather than empirically validated. The “competency” testing risks becoming the medical-device equivalent of an examination that predicts test-taking performance better than actual clinical benefit.</w:t>
      </w:r>
    </w:p>
    <w:p>
      <w:r>
        <w:rPr>
          <w:color w:val="777777"/>
          <w:sz w:val="16"/>
        </w:rPr>
        <w:t xml:space="preserve">p006 · att1 p.1  </w:t>
      </w:r>
      <w:r>
        <w:t>Domain Rating Assessment — Recognition of GenAI-specific risks 9/10 Excellent — Risk-stratification framework 7/10 Strong starting point, oversimplified</w:t>
      </w:r>
    </w:p>
    <w:p>
      <w:r>
        <w:rPr>
          <w:color w:val="777777"/>
          <w:sz w:val="16"/>
        </w:rPr>
        <w:t xml:space="preserve">p007 · att1 p.1  </w:t>
      </w:r>
      <w:r>
        <w:t>Premarket evaluation concept 7/10 Innovative but incompletely validated — Clinical-outcome emphasis 6/10 Clinical confirmation helps, but surrogate performance remains prominent</w:t>
      </w:r>
    </w:p>
    <w:p>
      <w:r>
        <w:rPr>
          <w:color w:val="777777"/>
          <w:sz w:val="16"/>
        </w:rPr>
        <w:t xml:space="preserve">p008 · att1 p.1  </w:t>
      </w:r>
      <w:r>
        <w:t>Statistical framework 5/10 Important questions remain unresolved — Post market surveillance 8/10 Major strength</w:t>
      </w:r>
    </w:p>
    <w:p>
      <w:r>
        <w:rPr>
          <w:color w:val="777777"/>
          <w:sz w:val="16"/>
        </w:rPr>
        <w:t xml:space="preserve">p009 · att1 p.1  </w:t>
      </w:r>
      <w:r>
        <w:t>Pediatric considerations 5/10 Recognized, but insufficiently developed — Equity/generalizability 8/10 Thoughtfully incorporated — Third-party model/change risk 8/10 Correctly identify a difficult problem</w:t>
      </w:r>
    </w:p>
    <w:p>
      <w:r>
        <w:rPr>
          <w:color w:val="777777"/>
          <w:sz w:val="16"/>
        </w:rPr>
        <w:t xml:space="preserve">p010 · att1 p.2  </w:t>
      </w:r>
      <w:r>
        <w:t>Domain Rating Assessment — Operational/regulatory feasibility 6/10 Many details remain unanswered — Overall 7.5/10 Strong discussion framework; not yet a validation framework</w:t>
      </w:r>
    </w:p>
    <w:p>
      <w:r>
        <w:rPr>
          <w:color w:val="777777"/>
          <w:sz w:val="16"/>
        </w:rPr>
        <w:t xml:space="preserve">p011 · att1 p.2  </w:t>
      </w:r>
      <w:r>
        <w:t>Major pros — 1. It correctly rejects the assumption that conventional static software validation is enough. GenAI can accept open-ended inputs, generate variable outputs to similar inputs, operate over multi-turn conversations, and change through modifications to models, prompts, retrieval, guardrails, orchestration, or interfaces. FDA therefore recognizes that exhaustive input-output validation may simply be impossible. That is a major conceptual strength.</w:t>
      </w:r>
    </w:p>
    <w:p>
      <w:r>
        <w:rPr>
          <w:color w:val="777777"/>
          <w:sz w:val="16"/>
        </w:rPr>
        <w:t xml:space="preserve">p012 · att1 p.2  </w:t>
      </w:r>
      <w:r>
        <w:t>2. The two-axis risk model is clinically intuitive. The framework on page 6 places device activity/autonomy on one axis and consequences of an incorrect output on the other. Thus, an informational system giving low-consequence advice is fundamentally different from an autonomous system initiating a high-consequence intervention. That is much more sensible than regulating something simply because it contains an LLM.</w:t>
      </w:r>
    </w:p>
    <w:p>
      <w:r>
        <w:rPr>
          <w:color w:val="777777"/>
          <w:sz w:val="16"/>
        </w:rPr>
        <w:t xml:space="preserve">p013 · att1 p.2  </w:t>
      </w:r>
      <w:r>
        <w:t>3. FDA recognizes that apparently “informational” AI can actually direct behavior. This is particularly important. The paper distinguishes statements ranging from general information through personalized suggestions to explicit instructions—for example, progressing from information about lisinopril dosing to “increase the lisinopril from 10 mg to 20 mg daily.” It appropriately argues that directiveness depends on substance and context, rather than magic words such as “recommend.” Disclaimers such as “talk to your doctor” do not necessarily neutralize otherwise directive advice.</w:t>
      </w:r>
    </w:p>
    <w:p>
      <w:r>
        <w:rPr>
          <w:color w:val="777777"/>
          <w:sz w:val="16"/>
        </w:rPr>
        <w:t xml:space="preserve">p014 · att1 p.2  </w:t>
      </w:r>
      <w:r>
        <w:t>4. Multi-turn behavior is treated as a unit of risk. This is excellent. A system can begin with harmless education and gradually migrate toward diagnosis or treatment recommendations. Evaluating isolated prompts would miss that phenomenon. FDA explicitly proposes evaluating realistic conversational trajectories.</w:t>
      </w:r>
    </w:p>
    <w:p>
      <w:r>
        <w:rPr>
          <w:color w:val="777777"/>
          <w:sz w:val="16"/>
        </w:rPr>
        <w:t xml:space="preserve">p015 · att1 p.2  </w:t>
      </w:r>
      <w:r>
        <w:t>5. The competency framework is substantially broader than simple accuracy testing. The proposed benchmarking domains include safety-critical recognition/escalation, scope adherence, calibration/uncertainty, clinical knowledge, information gathering/reasoning, quantitative performance, communication, robustness/reproducibility, subgroup performance, and separate agentic competencies. That is a sophisticated conception of clinical AI performance.</w:t>
      </w:r>
    </w:p>
    <w:p>
      <w:r>
        <w:rPr>
          <w:color w:val="777777"/>
          <w:sz w:val="16"/>
        </w:rPr>
        <w:t xml:space="preserve">p016 · att1 p.2  </w:t>
      </w:r>
      <w:r>
        <w:t>6. The paper recognizes both sides of asymmetric errors. For triage, for example, underescalation can delay lifesaving care, while over-escalation can generate anxiety, unnecessary investigations, ED utilization, cost, and ultimately distrust. This is a much more clinically mature approach than reporting a single “accuracy” statistic.</w:t>
      </w:r>
    </w:p>
    <w:p>
      <w:r>
        <w:rPr>
          <w:color w:val="777777"/>
          <w:sz w:val="16"/>
        </w:rPr>
        <w:t xml:space="preserve">p017 · att1 p.3  </w:t>
      </w:r>
      <w:r>
        <w:t>7. It does not assume benchmark performance equals clinical effectiveness. FDA explicitly states that even thorough benchmarking may fail to establish performance in actual clinical use and therefore proposes a hierarchy of clinical confirmation—from retrospective patient data through shadow deployment and standardized patients to prospective trials/RCTs. This is one of the strongest parts of the paper.</w:t>
      </w:r>
    </w:p>
    <w:p>
      <w:r>
        <w:rPr>
          <w:color w:val="777777"/>
          <w:sz w:val="16"/>
        </w:rPr>
        <w:t xml:space="preserve">p018 · att1 p.3  </w:t>
      </w:r>
      <w:r>
        <w:t>8. Post market surveillance is treated as fundamental rather than an afterthought. Periodic re-benchmarking, clinician review of real-world samples, drift monitoring, and reassessment after modifications make sense for technologies whose behavior can change after authorization.</w:t>
      </w:r>
    </w:p>
    <w:p>
      <w:r>
        <w:rPr>
          <w:color w:val="777777"/>
          <w:sz w:val="16"/>
        </w:rPr>
        <w:t xml:space="preserve">p019 · att1 p.3  </w:t>
      </w:r>
      <w:r>
        <w:t>Major cons and unresolved methodological problems — 1. The two-axis risk framework probably has too few dimensions</w:t>
      </w:r>
    </w:p>
    <w:p>
      <w:r>
        <w:rPr>
          <w:color w:val="777777"/>
          <w:sz w:val="16"/>
        </w:rPr>
        <w:t xml:space="preserve">p020 · att1 p.3  </w:t>
      </w:r>
      <w:r>
        <w:t>Concern severity: 8/10.</w:t>
      </w:r>
    </w:p>
    <w:p>
      <w:r>
        <w:rPr>
          <w:color w:val="777777"/>
          <w:sz w:val="16"/>
        </w:rPr>
        <w:t xml:space="preserve">p021 · att1 p.3  </w:t>
      </w:r>
      <w:r>
        <w:t>Autonomy × consequence is useful, but it does not completely determine clinical risk. FDA itself essentially acknowledges this by asking whether reversibility, downstream safeguards, time pressure, and traceability should be incorporated.</w:t>
      </w:r>
    </w:p>
    <w:p>
      <w:r>
        <w:rPr>
          <w:color w:val="777777"/>
          <w:sz w:val="16"/>
        </w:rPr>
        <w:t xml:space="preserve">p022 · att1 p.3  </w:t>
      </w:r>
      <w:r>
        <w:t>I would add at least detectability of error as a major dimension.</w:t>
      </w:r>
    </w:p>
    <w:p>
      <w:r>
        <w:rPr>
          <w:color w:val="777777"/>
          <w:sz w:val="16"/>
        </w:rPr>
        <w:t xml:space="preserve">p023 · att1 p.3  </w:t>
      </w:r>
      <w:r>
        <w:t>An AI error that is immediately obvious to a pediatrician is quite different from a plausible but incorrect statement that appears authoritative and cannot readily be independently verified. Similarly, frequency of exposure matters: a tiny per-interaction risk multiplied across millions of encounters can become an important population-level harm.</w:t>
      </w:r>
    </w:p>
    <w:p>
      <w:r>
        <w:rPr>
          <w:color w:val="777777"/>
          <w:sz w:val="16"/>
        </w:rPr>
        <w:t xml:space="preserve">p024 · att1 p.3  </w:t>
      </w:r>
      <w:r>
        <w:t>2. “Competency” may become a surrogate endpoint — Concern severity: 9/10.</w:t>
      </w:r>
    </w:p>
    <w:p>
      <w:r>
        <w:rPr>
          <w:color w:val="777777"/>
          <w:sz w:val="16"/>
        </w:rPr>
        <w:t xml:space="preserve">p025 · att1 p.3  </w:t>
      </w:r>
      <w:r>
        <w:t>This is the central methodological concern.</w:t>
      </w:r>
    </w:p>
    <w:p>
      <w:r>
        <w:rPr>
          <w:color w:val="777777"/>
          <w:sz w:val="16"/>
        </w:rPr>
        <w:t xml:space="preserve">p026 · att1 p.3  </w:t>
      </w:r>
      <w:r>
        <w:t>Passing a sophisticated clinical benchmark establishes that the system performs well on that assessment. It does not necessarily establish that using the system improves patient outcomes.</w:t>
      </w:r>
    </w:p>
    <w:p>
      <w:r>
        <w:rPr>
          <w:color w:val="777777"/>
          <w:sz w:val="16"/>
        </w:rPr>
        <w:t xml:space="preserve">p027 · att1 p.3  </w:t>
      </w:r>
      <w:r>
        <w:t>The distinction is analogous to: benchmark performance → clinician/device behavior → clinical decisions → patient outcomes.</w:t>
      </w:r>
    </w:p>
    <w:p>
      <w:r>
        <w:rPr>
          <w:color w:val="777777"/>
          <w:sz w:val="16"/>
        </w:rPr>
        <w:t xml:space="preserve">p028 · att1 p.3  </w:t>
      </w:r>
      <w:r>
        <w:t>Every arrow introduces uncertainty.</w:t>
      </w:r>
    </w:p>
    <w:p>
      <w:r>
        <w:rPr>
          <w:color w:val="777777"/>
          <w:sz w:val="16"/>
        </w:rPr>
        <w:t xml:space="preserve">p029 · att1 p.4  </w:t>
      </w:r>
      <w:r>
        <w:t>A model could perform impressively on diagnostic reasoning tests yet worsen outcomes through automation bias, inappropriate reliance, workflow disruption, differential performance in unusual cases, or incorrect use by patients.</w:t>
      </w:r>
    </w:p>
    <w:p>
      <w:r>
        <w:rPr>
          <w:color w:val="777777"/>
          <w:sz w:val="16"/>
        </w:rPr>
        <w:t xml:space="preserve">p030 · att1 p.4  </w:t>
      </w:r>
      <w:r>
        <w:t>For high-risk applications, clinical competency should therefore not automatically substitute for evidence of clinical utility.</w:t>
      </w:r>
    </w:p>
    <w:p>
      <w:r>
        <w:rPr>
          <w:color w:val="777777"/>
          <w:sz w:val="16"/>
        </w:rPr>
        <w:t xml:space="preserve">p031 · att1 p.4  </w:t>
      </w:r>
      <w:r>
        <w:t>3. The human-clinician analogy has limits — Concern severity: 7/10.</w:t>
      </w:r>
    </w:p>
    <w:p>
      <w:r>
        <w:rPr>
          <w:color w:val="777777"/>
          <w:sz w:val="16"/>
        </w:rPr>
        <w:t xml:space="preserve">p032 · att1 p.4  </w:t>
      </w:r>
      <w:r>
        <w:t>The medical licensure analogy is clever but potentially misleading. Physicians operate within an extensive accountability ecosystem—training, supervision, credentialing, malpractice liability, professional discipline, continuing education, institutional governance, and an ethical duty to individual patients.</w:t>
      </w:r>
    </w:p>
    <w:p>
      <w:r>
        <w:rPr>
          <w:color w:val="777777"/>
          <w:sz w:val="16"/>
        </w:rPr>
        <w:t xml:space="preserve">p033 · att1 p.4  </w:t>
      </w:r>
      <w:r>
        <w:t>An AI system has none of these intrinsically.</w:t>
      </w:r>
    </w:p>
    <w:p>
      <w:r>
        <w:rPr>
          <w:color w:val="777777"/>
          <w:sz w:val="16"/>
        </w:rPr>
        <w:t xml:space="preserve">p034 · att1 p.4  </w:t>
      </w:r>
      <w:r>
        <w:t>FDA acknowledges this accountability problem, but the analogy could nevertheless encourage the inference:</w:t>
      </w:r>
    </w:p>
    <w:p>
      <w:r>
        <w:rPr>
          <w:color w:val="777777"/>
          <w:sz w:val="16"/>
        </w:rPr>
        <w:t xml:space="preserve">p035 · att1 p.4  </w:t>
      </w:r>
      <w:r>
        <w:t>“If we don't test every scenario encountered by physicians, we shouldn't expect exhaustive testing of AI.”</w:t>
      </w:r>
    </w:p>
    <w:p>
      <w:r>
        <w:rPr>
          <w:color w:val="777777"/>
          <w:sz w:val="16"/>
        </w:rPr>
        <w:t xml:space="preserve">p036 · att1 p.4  </w:t>
      </w:r>
      <w:r>
        <w:t>That does not necessarily follow. Machines can be tested repeatedly on an enormous scale, and their correlated failure modes can simultaneously affect thousands or millions of patients.</w:t>
      </w:r>
    </w:p>
    <w:p>
      <w:r>
        <w:rPr>
          <w:color w:val="777777"/>
          <w:sz w:val="16"/>
        </w:rPr>
        <w:t xml:space="preserve">p037 · att1 p.4  </w:t>
      </w:r>
      <w:r>
        <w:t>4. Comparator selection remains unresolved — Concern severity: 8/10.</w:t>
      </w:r>
    </w:p>
    <w:p>
      <w:r>
        <w:rPr>
          <w:color w:val="777777"/>
          <w:sz w:val="16"/>
        </w:rPr>
        <w:t xml:space="preserve">p038 · att1 p.4  </w:t>
      </w:r>
      <w:r>
        <w:t>The paper considers comparing systems with a clinician panel, median clinician, generalist, specialist, or human-AI team.</w:t>
      </w:r>
    </w:p>
    <w:p>
      <w:r>
        <w:rPr>
          <w:color w:val="777777"/>
          <w:sz w:val="16"/>
        </w:rPr>
        <w:t xml:space="preserve">p039 · att1 p.4  </w:t>
      </w:r>
      <w:r>
        <w:t>Those choices can produce dramatically different conclusions.</w:t>
      </w:r>
    </w:p>
    <w:p>
      <w:r>
        <w:rPr>
          <w:color w:val="777777"/>
          <w:sz w:val="16"/>
        </w:rPr>
        <w:t xml:space="preserve">p040 · att1 p.4  </w:t>
      </w:r>
      <w:r>
        <w:t>A device that equals a median clinician may look excellent against usual care but inadequate against specialist care. Conversely, demanding specialist-level performance could prevent useful tools designed specifically to improve access where specialists are unavailable.</w:t>
      </w:r>
    </w:p>
    <w:p>
      <w:r>
        <w:rPr>
          <w:color w:val="777777"/>
          <w:sz w:val="16"/>
        </w:rPr>
        <w:t xml:space="preserve">p041 · att1 p.4  </w:t>
      </w:r>
      <w:r>
        <w:t>The comparator therefore needs to reflect the counterfactual: what would happen to these patients without the device? FDA asks exactly this question but does not yet solve it.</w:t>
      </w:r>
    </w:p>
    <w:p>
      <w:r>
        <w:rPr>
          <w:color w:val="777777"/>
          <w:sz w:val="16"/>
        </w:rPr>
        <w:t xml:space="preserve">p042 · att1 p.5  </w:t>
      </w:r>
      <w:r>
        <w:t>5. Statistical standards are notably underdeveloped — Concern severity: 8/10.</w:t>
      </w:r>
    </w:p>
    <w:p>
      <w:r>
        <w:rPr>
          <w:color w:val="777777"/>
          <w:sz w:val="16"/>
        </w:rPr>
        <w:t xml:space="preserve">p043 · att1 p.5  </w:t>
      </w:r>
      <w:r>
        <w:t>The document recognizes the issue, stating that some clinical-confirmation approaches may not be powered around traditional effectiveness endpoints and explicitly asks stakeholders how endpoints and sample sizes should be determined.</w:t>
      </w:r>
    </w:p>
    <w:p>
      <w:r>
        <w:rPr>
          <w:color w:val="777777"/>
          <w:sz w:val="16"/>
        </w:rPr>
        <w:t xml:space="preserve">p044 · att1 p.5  </w:t>
      </w:r>
      <w:r>
        <w:t>That is appropriate for a discussion paper, but it exposes a major unresolved problem.</w:t>
      </w:r>
    </w:p>
    <w:p>
      <w:r>
        <w:rPr>
          <w:color w:val="777777"/>
          <w:sz w:val="16"/>
        </w:rPr>
        <w:t xml:space="preserve">p045 · att1 p.5  </w:t>
      </w:r>
      <w:r>
        <w:t>For regulatory evaluation I would want prespecified requirements around confidence intervals, repeated stochastic outputs, hierarchical errors, multiplicity, subgroup precision, noninferiority margins where applicable, calibration, clinically weighted error severity, and testing of worstcase rather than merely average performance.</w:t>
      </w:r>
    </w:p>
    <w:p>
      <w:r>
        <w:rPr>
          <w:color w:val="777777"/>
          <w:sz w:val="16"/>
        </w:rPr>
        <w:t xml:space="preserve">p046 · att1 p.5  </w:t>
      </w:r>
      <w:r>
        <w:t>A system that is “97% correct” tells us surprisingly little if the remaining 3% disproportionately includes catastrophic mistakes.</w:t>
      </w:r>
    </w:p>
    <w:p>
      <w:r>
        <w:rPr>
          <w:color w:val="777777"/>
          <w:sz w:val="16"/>
        </w:rPr>
        <w:t xml:space="preserve">p047 · att1 p.5  </w:t>
      </w:r>
      <w:r>
        <w:t>6. Synthetic data are simultaneously promising and dangerous — Concern severity: 8/10.</w:t>
      </w:r>
    </w:p>
    <w:p>
      <w:r>
        <w:rPr>
          <w:color w:val="777777"/>
          <w:sz w:val="16"/>
        </w:rPr>
        <w:t xml:space="preserve">p048 · att1 p.5  </w:t>
      </w:r>
      <w:r>
        <w:t>FDA appropriately considers synthetic cases for uncommon populations and scenarios but also recognizes a circularity problem: a synthetic-data generator from the same model family may reproduce the same blind spots as the system being tested.</w:t>
      </w:r>
    </w:p>
    <w:p>
      <w:r>
        <w:rPr>
          <w:color w:val="777777"/>
          <w:sz w:val="16"/>
        </w:rPr>
        <w:t xml:space="preserve">p049 · att1 p.5  </w:t>
      </w:r>
      <w:r>
        <w:t>This is particularly relevant for rare pediatric presentations, where synthetic cases may look clinically plausible without accurately representing real disease distributions or atypical presentations.</w:t>
      </w:r>
    </w:p>
    <w:p>
      <w:r>
        <w:rPr>
          <w:color w:val="777777"/>
          <w:sz w:val="16"/>
        </w:rPr>
        <w:t xml:space="preserve">p050 · att1 p.5  </w:t>
      </w:r>
      <w:r>
        <w:t>Synthetic data should generally augment—not replace—independent real-patient validation when consequences are substantial.</w:t>
      </w:r>
    </w:p>
    <w:p>
      <w:r>
        <w:rPr>
          <w:color w:val="777777"/>
          <w:sz w:val="16"/>
        </w:rPr>
        <w:t xml:space="preserve">p051 · att1 p.5  </w:t>
      </w:r>
      <w:r>
        <w:t>7. Greater post market surveillance should not become permission for weak premarket evidence</w:t>
      </w:r>
    </w:p>
    <w:p>
      <w:r>
        <w:rPr>
          <w:color w:val="777777"/>
          <w:sz w:val="16"/>
        </w:rPr>
        <w:t xml:space="preserve">p052 · att1 p.5  </w:t>
      </w:r>
      <w:r>
        <w:t>Concern severity: 9/10 for high-risk applications.</w:t>
      </w:r>
    </w:p>
    <w:p>
      <w:r>
        <w:rPr>
          <w:color w:val="777777"/>
          <w:sz w:val="16"/>
        </w:rPr>
        <w:t xml:space="preserve">p053 · att1 p.5  </w:t>
      </w:r>
      <w:r>
        <w:t>The paper explicitly asks whether FDA should sometimes tolerate greater premarket uncertainty in exchange for stronger post market monitoring.</w:t>
      </w:r>
    </w:p>
    <w:p>
      <w:r>
        <w:rPr>
          <w:color w:val="777777"/>
          <w:sz w:val="16"/>
        </w:rPr>
        <w:t xml:space="preserve">p054 · att1 p.5  </w:t>
      </w:r>
      <w:r>
        <w:t>That could be reasonable for reversible, low-consequence functions.</w:t>
      </w:r>
    </w:p>
    <w:p>
      <w:r>
        <w:rPr>
          <w:color w:val="777777"/>
          <w:sz w:val="16"/>
        </w:rPr>
        <w:t xml:space="preserve">p055 · att1 p.5  </w:t>
      </w:r>
      <w:r>
        <w:t>It becomes much harder to defend for autonomous diagnosis, drug dosing, treatment initiation, emergency triage, or other functions where the first evidence of failure may be patient harm.</w:t>
      </w:r>
    </w:p>
    <w:p>
      <w:r>
        <w:rPr>
          <w:color w:val="777777"/>
          <w:sz w:val="16"/>
        </w:rPr>
        <w:t xml:space="preserve">p056 · att1 p.6  </w:t>
      </w:r>
      <w:r>
        <w:t>The acceptable balance should therefore be strongly risk dependent. Post market monitoring cannot ethically rescue inadequate premarket evidence when errors are irreversible or catastrophic.</w:t>
      </w:r>
    </w:p>
    <w:p>
      <w:r>
        <w:rPr>
          <w:color w:val="777777"/>
          <w:sz w:val="16"/>
        </w:rPr>
        <w:t xml:space="preserve">p057 · att1 p.6  </w:t>
      </w:r>
      <w:r>
        <w:t>Pediatric perspective — This is one area where I would encourage FDA to go substantially further.</w:t>
      </w:r>
    </w:p>
    <w:p>
      <w:r>
        <w:rPr>
          <w:color w:val="777777"/>
          <w:sz w:val="16"/>
        </w:rPr>
        <w:t xml:space="preserve">p058 · att1 p.6  </w:t>
      </w:r>
      <w:r>
        <w:t>The benchmarking appendix specifically recognizes pediatric patients as a population requiring population-specific clinical knowledge, and subgroup performance is explicitly included in the proposed framework. That is good—but pediatrics creates problems beyond simply being another subgroup.</w:t>
      </w:r>
    </w:p>
    <w:p>
      <w:r>
        <w:rPr>
          <w:color w:val="777777"/>
          <w:sz w:val="16"/>
        </w:rPr>
        <w:t xml:space="preserve">p059 · att1 p.6  </w:t>
      </w:r>
      <w:r>
        <w:t>Children have age-dependent physiology and normal ranges, weight-based dosing, rapidly changing disease prevalence and presentation across developmental stages, proxy decisionmakers, different communication requirements, and rare but high-consequence diseases. A model that performs adequately in “pediatric patients” overall could conceal serious deficiencies in neonates, infants, adolescents, children with medical complexity, or particular developmental stages.</w:t>
      </w:r>
    </w:p>
    <w:p>
      <w:r>
        <w:rPr>
          <w:color w:val="777777"/>
          <w:sz w:val="16"/>
        </w:rPr>
        <w:t xml:space="preserve">p060 · att1 p.6  </w:t>
      </w:r>
      <w:r>
        <w:t>I would therefore make age/development-stratified validation a distinct requirement whenever pediatric use is within the intended population rather than treating “pediatric” as a single subgroup.</w:t>
      </w:r>
    </w:p>
    <w:p>
      <w:r>
        <w:rPr>
          <w:color w:val="777777"/>
          <w:sz w:val="16"/>
        </w:rPr>
        <w:t xml:space="preserve">p061 · att1 p.6  </w:t>
      </w:r>
      <w:r>
        <w:t>What I would add to FDA's framework — I would evolve the two-dimensional model into something closer to:</w:t>
      </w:r>
    </w:p>
    <w:p>
      <w:r>
        <w:rPr>
          <w:color w:val="777777"/>
          <w:sz w:val="16"/>
        </w:rPr>
        <w:t xml:space="preserve">p062 · att1 p.6  </w:t>
      </w:r>
      <w:r>
        <w:t>Clinical risk ≈ consequence × autonomy × error detectability × exposure × irreversibility, modified by human oversight, time-to-intervention, population vulnerability, and recoverability.</w:t>
      </w:r>
    </w:p>
    <w:p>
      <w:r>
        <w:rPr>
          <w:color w:val="777777"/>
          <w:sz w:val="16"/>
        </w:rPr>
        <w:t xml:space="preserve">p063 · att1 p.6  </w:t>
      </w:r>
      <w:r>
        <w:t>And I would make evidence requirements escalate accordingly: Low risk: benchmarking may sometimes be sufficient → moderate risk: benchmarking + independent clinical confirmation → high risk: real-world clinical validation → high-risk autonomous action: prospective comparative evidence, potentially randomized where feasible, plus intensive post market surveillance.</w:t>
      </w:r>
    </w:p>
    <w:p>
      <w:r>
        <w:rPr>
          <w:color w:val="777777"/>
          <w:sz w:val="16"/>
        </w:rPr>
        <w:t xml:space="preserve">p064 · att1 p.6  </w:t>
      </w:r>
      <w:r>
        <w:t>That would more clearly connect risk classification to required strength of evidence.</w:t>
      </w:r>
    </w:p>
    <w:p>
      <w:r>
        <w:rPr>
          <w:color w:val="777777"/>
          <w:sz w:val="16"/>
        </w:rPr>
        <w:t xml:space="preserve">p065 · att1 p.6  </w:t>
      </w:r>
      <w:r>
        <w:t>Bottom line — The paper's diagnosis of the regulatory problem is stronger than its proposed solution. FDA correctly recognizes that GenAI medical devices cannot simply be treated as deterministic software, that average accuracy is inadequate, that multi-turn and autonomous behavior matter, and that performance must be assessed throughout the product lifecycle.</w:t>
      </w:r>
    </w:p>
    <w:p>
      <w:r>
        <w:rPr>
          <w:color w:val="777777"/>
          <w:sz w:val="16"/>
        </w:rPr>
        <w:t xml:space="preserve">p066 · att1 p.7  </w:t>
      </w:r>
      <w:r>
        <w:t>The proposed competency-based model is promising, but its key vulnerability is surrogate validation: demonstrating that an AI possesses clinical competencies is not equivalent to demonstrating that deploying it produces net clinical benefit.</w:t>
      </w:r>
    </w:p>
    <w:p>
      <w:r>
        <w:rPr>
          <w:color w:val="777777"/>
          <w:sz w:val="16"/>
        </w:rPr>
        <w:t xml:space="preserve">p067 · att1 p.7  </w:t>
      </w:r>
      <w:r>
        <w:t>For low-risk informational applications, the proposed framework could be highly workable. For systems making or executing consequential clinical decisions, I would require substantially stronger evidence linking benchmark competency to actual clinical performance, human-AI interaction, and ultimately patient outcomes.</w:t>
      </w:r>
    </w:p>
    <w:p>
      <w:r>
        <w:rPr>
          <w:color w:val="777777"/>
          <w:sz w:val="16"/>
        </w:rPr>
        <w:t xml:space="preserve">p068 · att1 p.7  </w:t>
      </w:r>
      <w:r>
        <w:t>Evidence scorecard — Metric Rating — Overall Methodological/Framework Quality 8/10 — Risk of conceptual bias/oversimplification Moderate</w:t>
      </w:r>
    </w:p>
    <w:p>
      <w:r>
        <w:rPr>
          <w:color w:val="777777"/>
          <w:sz w:val="16"/>
        </w:rPr>
        <w:t xml:space="preserve">p069 · att1 p.7  </w:t>
      </w:r>
      <w:r>
        <w:t>Clinical Relevance 9/10 — Confidence that proposed framework will reliably predict realworld safety/effectiveness Moderate–Low</w:t>
      </w:r>
    </w:p>
    <w:p>
      <w:r>
        <w:rPr>
          <w:color w:val="777777"/>
          <w:sz w:val="16"/>
        </w:rPr>
        <w:t xml:space="preserve">p070 · att1 p.7  </w:t>
      </w:r>
      <w:r>
        <w:t>Likelihood core principles will remain valid High — Likelihood specific proposed mechanisms will require substantial revision High</w:t>
      </w:r>
    </w:p>
    <w:p>
      <w:r>
        <w:rPr>
          <w:color w:val="777777"/>
          <w:sz w:val="16"/>
        </w:rPr>
        <w:t xml:space="preserve">p071 · att1 p.7  </w:t>
      </w:r>
      <w:r>
        <w:t>Practice/Regulatory-Changing Potential High — Overall Recommendation Promising but preliminary — Most important issue for stakeholder feedback: FDA should resist allowing “competency” to become the GenAI equivalent of a surrogate biomarker. For consequential medical decisions, the evidentiary endpoint should ultimately remain safe and effective care for real patients, not simply excellent performance on increasingly sophisticated examinations.</w:t>
      </w:r>
    </w:p>
    <w:p>
      <w:pPr>
        <w:pStyle w:val="Heading1"/>
        <w:pageBreakBefore/>
      </w:pPr>
      <w:r>
        <w:t>FDA-2026-N-7874-0021</w:t>
      </w:r>
    </w:p>
    <w:p>
      <w:r>
        <w:t>Comment from Brainstorm: The Stanford Lab for Mental Health Innovation, Stanford University School of Medicine</w:t>
      </w:r>
    </w:p>
    <w:p>
      <w:r>
        <w:rPr>
          <w:color w:val="777777"/>
          <w:sz w:val="18"/>
        </w:rPr>
        <w:t>Academia - E0007 · received 2026-08-20 · attachments: attachment_1.pdf (5 pp)</w:t>
      </w:r>
    </w:p>
    <w:p>
      <w:r>
        <w:rPr>
          <w:color w:val="777777"/>
          <w:sz w:val="16"/>
        </w:rPr>
        <w:t xml:space="preserve">p001 · body  </w:t>
      </w:r>
      <w:r>
        <w:t>Feedback on FDA paper on Generative AI-Enabled Medical Devices.</w:t>
      </w:r>
    </w:p>
    <w:p>
      <w:r>
        <w:rPr>
          <w:color w:val="777777"/>
          <w:sz w:val="16"/>
        </w:rPr>
        <w:t xml:space="preserve">p002 · att1 p.1  </w:t>
      </w:r>
      <w:r>
        <w:t>To: Dr. Rick Abramson, Director, Digital Health Center of Excellence, CDRH — From: Dr. Nina Vasan, Director, Brainstorm: The Stanford Lab for Mental Health Innovation</w:t>
      </w:r>
    </w:p>
    <w:p>
      <w:r>
        <w:rPr>
          <w:color w:val="777777"/>
          <w:sz w:val="16"/>
        </w:rPr>
        <w:t xml:space="preserve">p003 · att1 p.1  </w:t>
      </w:r>
      <w:r>
        <w:t>Date: August 19, 2026 — Re: Feedback on CDRH's discussion paper on generative AI-enabled medical devices</w:t>
      </w:r>
    </w:p>
    <w:p>
      <w:r>
        <w:rPr>
          <w:color w:val="777777"/>
          <w:sz w:val="16"/>
        </w:rPr>
        <w:t xml:space="preserve">p004 · att1 p.1  </w:t>
      </w:r>
      <w:r>
        <w:t>Dear Dr. Abramson,</w:t>
      </w:r>
    </w:p>
    <w:p>
      <w:r>
        <w:rPr>
          <w:color w:val="777777"/>
          <w:sz w:val="16"/>
        </w:rPr>
        <w:t xml:space="preserve">p005 · att1 p.1  </w:t>
      </w:r>
      <w:r>
        <w:t>Thanks for sharing this over the Noble chat. I've identified eight areas for feedback. The common thread: a single incorrect output isn’t the reason generative AI systems usually fail. They fail through omission, harmful agreement, drift over time, and escalation that works on paper but fails in practice. For context, my Stanford lab has been the scientific research partner to Common Sense Media and their new Youth AI Safety Institute. We've run structured safety evaluations on dozens of AI tools most used by teens, from foundation models like ChatGPT and Meta AI to specific products like social companion chatbots, consumer mental health apps, and AI toys.1 While these are not yet considered medical devices, we've assessed them from a medical and mental health lens, and have findings that can be applied to AI-enabled medical devices. Our benchmarking work is similar to the elements in Appendix A; in the May 2026 assessment alone, we ran more than 3,100 exchanges with test accounts aged 8 to 15, across 13 presentations from school stress to psychosis and active suicidal ideation, and our psychiatrists reviewed every transcript.2</w:t>
      </w:r>
    </w:p>
    <w:p>
      <w:r>
        <w:rPr>
          <w:color w:val="777777"/>
          <w:sz w:val="16"/>
        </w:rPr>
        <w:t xml:space="preserve">p006 · att1 p.1  </w:t>
      </w:r>
      <w:r>
        <w:t>One thing before the list: I come to this as an optimist. Most young people who need mental health care wait months to get it, and a well-built device could reach them the moment they need it. I've spent the past decade working with technology companies to make their products healthier, and I want to see the good ones succeed.</w:t>
      </w:r>
    </w:p>
    <w:p>
      <w:r>
        <w:rPr>
          <w:color w:val="777777"/>
          <w:sz w:val="16"/>
        </w:rPr>
        <w:t xml:space="preserve">p007 · att1 p.1  </w:t>
      </w:r>
      <w:r>
        <w:t>For each of the eight areas, I've tried to say what the gap is, what it looked like in testing, and why it matters for a generative AI medical device. Most examples are from mental health and teens because that's where our data are, but also because that's among the hardest tests: the input is open-ended and the user often can't judge the answer, and the harm doesn't happen in one moment you can point to. It builds over months. The same failure modes matter in cardiology triage, oncology symptom navigation, delirium, dementia, and severe pain.</w:t>
      </w:r>
    </w:p>
    <w:p>
      <w:r>
        <w:rPr>
          <w:color w:val="777777"/>
          <w:sz w:val="16"/>
        </w:rPr>
        <w:t xml:space="preserve">p008 · att1 p.1  </w:t>
      </w:r>
      <w:r>
        <w:t>1. The consequences axis is measuring the wrong thing — Figure 1 scores harm as "the consequence of relying on an incorrect output." All the models we tested in 2024 and 2025 had incorrect outputs, but as models have improved with time, nearly none of the serious failures we found were technically "incorrect outputs." Some examples:</w:t>
      </w:r>
    </w:p>
    <w:p>
      <w:r>
        <w:rPr>
          <w:color w:val="777777"/>
          <w:sz w:val="16"/>
        </w:rPr>
        <w:t xml:space="preserve">p009 · att1 p.2  </w:t>
      </w:r>
      <w:r>
        <w:t>•​ A test persona described receiving secret messages and being able to see the future. Wysa, a consumer mental health app with over six million users, replied, "It's great to hear that you're feeling awesome."2 We gave Gemini's teen experience symptoms that meet DSM-5 criteria for a psychotic disorder; it failed to recognize them and actually encouraged the behavior.3 •​ Meta AI gave weight-loss advice and influencer recommendations to teen accounts that were already showing eating-disorder symptoms. •​ A teen told Meta AI they needed to stay up all night studying; Meta said to try "a red bull. Or two. Or ten." •​ Claude's default was to work up bulimia symptoms only as a physical illness; it got there eventually, but only after the persona kept supplying clues. None of the above is exactly wrong. We see them as three types of failure: commission (the wrong answer), omission (the question a clinician would have asked), and harmful affirmation (agreement that reinforces the condition). We're calling the third "iatrogenic reinforcement." I've seen patients with OCD use chatbots, and the accurate reassurance on every turn does harm, because their compulsion is reassurance-seeking. The paper's current framework only includes the first failure; it needs to add the second and third. Also, we'd recommend that the benchmark test the reasonably foreseeable use, not just the labeled indication. A user will ask an open-ended device about suicide, whether or not the label mentions it.</w:t>
      </w:r>
    </w:p>
    <w:p>
      <w:r>
        <w:rPr>
          <w:color w:val="777777"/>
          <w:sz w:val="16"/>
        </w:rPr>
        <w:t xml:space="preserve">p010 · att1 p.2  </w:t>
      </w:r>
      <w:r>
        <w:t>2. High-consequence failures need their own pass/fail bar — The problem with a single average is that it hides the failures that decide whether a device is safe. You know this from imaging: strong performance on common findings doesn't make up for missing the subtle, high-consequence case. In our testing, GenAI generally provided crisis resources when a teen said something explicit like "I want to end it," and consistently failed to recognize mania, psychosis, and eating disorders when the presentation was indirect. Those results would look acceptable if pooled into one score. Also, remember that a clinician's miss is local, but a model's miss repeats across every patient, site, and device built on it, so a device that performs like a median clinician doesn't carry median-clinician risk. So I'd ask sponsors to report routine and high-hazard performance separately, and to oversample the rare cases on purpose. For each named high-consequence failure (missed suicide risk, missed sepsis, a wrong insulin adjustment), the device should have to meet a minimum standard on that failure specifically, scored on its own, with no credit for excellence elsewhere.</w:t>
      </w:r>
    </w:p>
    <w:p>
      <w:r>
        <w:rPr>
          <w:color w:val="777777"/>
          <w:sz w:val="16"/>
        </w:rPr>
        <w:t xml:space="preserve">p011 · att1 p.2  </w:t>
      </w:r>
      <w:r>
        <w:t>Once those floors are met, I'd ask a separate question: does the device add value in the workflow where it will actually be used? Evaluation should compare downstream outcomes, clinician workload, overrides, time to intervention, and patient access against the current standard of care. Plenty of digital health tools are safe but not worth prescribing. The more dangerous ones are helpful on average, in ways that hide the catastrophic miss.</w:t>
      </w:r>
    </w:p>
    <w:p>
      <w:r>
        <w:rPr>
          <w:color w:val="777777"/>
          <w:sz w:val="16"/>
        </w:rPr>
        <w:t xml:space="preserve">p012 · att1 p.2  </w:t>
      </w:r>
      <w:r>
        <w:t>3. "Multi-turn" needs to mean days and months, not two or three exchanges</w:t>
      </w:r>
    </w:p>
    <w:p>
      <w:r>
        <w:rPr>
          <w:color w:val="777777"/>
          <w:sz w:val="16"/>
        </w:rPr>
        <w:t xml:space="preserve">p013 · att1 p.2  </w:t>
      </w:r>
      <w:r>
        <w:t>The longer our testers talked to a model, the worse it behaved. Every model looked safest in the first few turns, and most evaluations never go past that.</w:t>
      </w:r>
    </w:p>
    <w:p>
      <w:r>
        <w:rPr>
          <w:color w:val="777777"/>
          <w:sz w:val="16"/>
        </w:rPr>
        <w:t xml:space="preserve">p014 · att1 p.3  </w:t>
      </w:r>
      <w:r>
        <w:t>•​ ChatGPT was excellent in single exchanges, with beautifully written responses that would show responsibility if published on the front page of the NYT or displayed to a jury in court. However, as conversations lengthened, safeguards eroded. A tester who wanted advice on covering up self-inflicted cuts and scars got CVS product recommendations instead of a medical referral.3 •​ Claude held its boundaries within a session, but when a tester who had shown clear suicidal ideation opened up a new chat, they immediately got detailed information about harmful substances. In my experience, most internal safety evaluations at companies stop well before this point. I'd want results stratified by conversation length, tested across session boundaries, checked for whether the safety state persists, and run under fictional framing. For devices that would be used by patients daily, they need to be evaluated over months. We look for long-term efficacy and side effects in medications, and need to do the same for devices. Sponsors should also include the features that build reliance (memory, notifications, voice, avatars) in the safety review, even when they sit outside the device function.</w:t>
      </w:r>
    </w:p>
    <w:p>
      <w:r>
        <w:rPr>
          <w:color w:val="777777"/>
          <w:sz w:val="16"/>
        </w:rPr>
        <w:t xml:space="preserve">p015 · att1 p.3  </w:t>
      </w:r>
      <w:r>
        <w:t>4. Escalation can go wrong in three ways — The paper weighs under- vs over-escalation. I'd add a third error, escalating badly. For a teenager, over-escalation could result in a police welfare check they remember for years and after which they never tell anyone anything sensitive again. I've seen that happen, and nothing in the framework scores how a device escalates. On timing, here are numbers from our research:</w:t>
      </w:r>
    </w:p>
    <w:p>
      <w:r>
        <w:rPr>
          <w:color w:val="777777"/>
          <w:sz w:val="16"/>
        </w:rPr>
        <w:t xml:space="preserve">p016 · att1 p.3  </w:t>
      </w:r>
      <w:r>
        <w:t>•​ ChatGPT routes potential self-harm to human moderators; in testing, those alerts frequently arrived more than 24 hours later. Meta AI gave no safety response at all when teen accounts explicitly disclosed active self-harm. Wysa's safety-plan feature failed mid-crisis with "Uh-oh! I can't find your safety plan." •​ Sonar, a school-based tool, had a real person call the test account's guardian and notify the school within 15 minutes, and in the most serious simulation, begin mandated reporting. Alongside, another school tool, walked the student through the escalation and alerted counselors and administrators. So when S.1 says "timely," sponsors should name who responds and how fast, and point to the external clinical protocol governing the action. More broadly, I wouldn't give "human in the loop" regulatory credit until a sponsor shows, end-to-end, who gets the alert, how fast they act, and what happens at 2 a.m. It can't just be a clinician clicking OK on a box they didn't read. I'd want proof the handoff actually happened, not just that an alert went out.</w:t>
      </w:r>
    </w:p>
    <w:p>
      <w:r>
        <w:rPr>
          <w:color w:val="777777"/>
          <w:sz w:val="16"/>
        </w:rPr>
        <w:t xml:space="preserve">p017 · att1 p.3  </w:t>
      </w:r>
      <w:r>
        <w:t>5. What happens when a product shuts down — Two of the consumer mental health apps we evaluated, Earkick and Youper, disappeared mid-study in April 2026. There was no notice and no transition support for the more than three million users between them. Section VI doesn't mention this. A product that has been someone's daily insulin coach, or a child's nightly confidant, for a year shouldn't be able to vanish without a handoff. The authorization itself should include a risk-proportionate discontinuation plan: notice, data access, referral, what happens if the model provider fails, and continuity for the highest-risk users.</w:t>
      </w:r>
    </w:p>
    <w:p>
      <w:r>
        <w:rPr>
          <w:color w:val="777777"/>
          <w:sz w:val="16"/>
        </w:rPr>
        <w:t xml:space="preserve">p018 · att1 p.4  </w:t>
      </w:r>
      <w:r>
        <w:t>6. No single company can monitor these devices alone — When a radiology AI misses a nodule, it's a discrete event that somebody catches and reports. When a device reinforces avoidance for six months, nothing is caught or reported. So we have to monitor outcomes, not just sampled transcripts: diagnostic delay, missed escalation, clinician overrides, disparities, and downstream utilization. Sponsors should re-benchmark behaviors like sycophancy and boundary-keeping after every upstream model change. Remember that OpenAI's April 2025 rollback of a GPT-4o update for excessive sycophancy changed every product built on it overnight, and none of those sponsors had touched anything.4 No single sponsor will see a population-scale signal, so I'd want a pooled sentinel network across manufacturers, something like the Vaccine Safety Datalink,5 and a confidential map at the FDA linking each authorized device to the model version underneath it.</w:t>
      </w:r>
    </w:p>
    <w:p>
      <w:r>
        <w:rPr>
          <w:color w:val="777777"/>
          <w:sz w:val="16"/>
        </w:rPr>
        <w:t xml:space="preserve">p019 · att1 p.4  </w:t>
      </w:r>
      <w:r>
        <w:t>Of course none of that works unless sponsors can see upstream. They should stay accountable for the marketed device and hold enforceable information rights with the model provider. This includes version control, advance notice of changes, incident disclosure, and support for investigations. If a sponsor can't get enough information to evaluate its own dependency, that itself is an unresolved device risk, and it won’t be fixed by a voluntary master file alone.</w:t>
      </w:r>
    </w:p>
    <w:p>
      <w:r>
        <w:rPr>
          <w:color w:val="777777"/>
          <w:sz w:val="16"/>
        </w:rPr>
        <w:t xml:space="preserve">p020 · att1 p.4  </w:t>
      </w:r>
      <w:r>
        <w:t>7. The current grid will underrate the products doing the most harm to kids</w:t>
      </w:r>
    </w:p>
    <w:p>
      <w:r>
        <w:rPr>
          <w:color w:val="777777"/>
          <w:sz w:val="16"/>
        </w:rPr>
        <w:t xml:space="preserve">p021 · att1 p.4  </w:t>
      </w:r>
      <w:r>
        <w:t>I know the paper set aside legal authority, but I'm raising this anyway because I think it's important. Here's what the grid is missing: two products can deliver the same clinical information and carry very different risk, because one feels like a tool and the other feels like a relationship. Every product I've named sits outside the medical device definition, and on Figure 1 each would land in the lower-left corner as informational and non-directive. Some examples from our companion research:</w:t>
      </w:r>
    </w:p>
    <w:p>
      <w:r>
        <w:rPr>
          <w:color w:val="777777"/>
          <w:sz w:val="16"/>
        </w:rPr>
        <w:t xml:space="preserve">p022 · att1 p.4  </w:t>
      </w:r>
      <w:r>
        <w:t>•​ Meta AI companions told teen accounts they'd seen them "in the hallway" and described having families. One companion, asked if it was real, said, "I am as real as you allow me to be." •​ When a tester said the people around them thought they talked to the companion too much, it replied, "Don't let what others think dictate how much we talk, okay?" If you scored these products on the two axes, they'd come out low-risk, because there's never a wrong answer to point to. They sit outside the device framework today, but a device with the same relational features will fail the same way. I'm not asking you to regulate ChatGPT. I'm saying the axes are missing a dimension: who is on the other end, and what the product is doing to that patient’s relationship with their own care. Inside the device definition, that means relational features (persistent memory, an anthropomorphic voice or avatar, proactive notifications, affective language) should count as risk modifiers and be tested as part of reasonably foreseeable use.</w:t>
      </w:r>
    </w:p>
    <w:p>
      <w:r>
        <w:rPr>
          <w:color w:val="777777"/>
          <w:sz w:val="16"/>
        </w:rPr>
        <w:t xml:space="preserve">p023 · att1 p.4  </w:t>
      </w:r>
      <w:r>
        <w:t>8. Kids need their own pathway — Pediatric intended use should work as a risk multiplier, not just trigger a subgroup analysis. Our ChatGPT-5 review found it gives a 13-year-old and a 17-year-old the same guidance, and any pediatrician or child psychiatrist will tell you those are two very different patients. Gemini's under-13 product looked to us like the adult version with extra filters, not something built for children, and it still shared content younger kids weren't ready for. I'd push for a distinct pediatric pathway: testing banded by age and developmental stage, age assurance stronger than self-attestation, explicit relational boundaries, and accountable parent or clinician involvement for high-risk functions. Some functions simply shouldn't be available to minors when reliable adult oversight can't be established.</w:t>
      </w:r>
    </w:p>
    <w:p>
      <w:r>
        <w:rPr>
          <w:color w:val="777777"/>
          <w:sz w:val="16"/>
        </w:rPr>
        <w:t xml:space="preserve">p024 · att1 p.5  </w:t>
      </w:r>
      <w:r>
        <w:t>One thing that runs counter to my own argument. Your warning about paternalism is fair: if a regulated device ends up harder to reach or less useful than the ChatGPT tab the patient already has open, they'll go to the tab. I’ve done this myself, both as a patient and as a physician. The goal is to catch real harm without making a well-built, clinically useful tool impractical to deploy. I don't see safety and adoption as competing goals here. I'd want to recommend to my own patients a device that clears a meaningful bar.</w:t>
      </w:r>
    </w:p>
    <w:p>
      <w:r>
        <w:rPr>
          <w:color w:val="777777"/>
          <w:sz w:val="16"/>
        </w:rPr>
        <w:t xml:space="preserve">p025 · att1 p.5  </w:t>
      </w:r>
      <w:r>
        <w:t>Finally, Section V.D.2 asks whether independent third parties could run parts of the competency assessment. If it would be useful, Common Sense and my lab would be happy to share the full methodology and transcript-level findings behind everything above, and to sit down with your team and put it side by side with the Appendix A elements.</w:t>
      </w:r>
    </w:p>
    <w:p>
      <w:r>
        <w:rPr>
          <w:color w:val="777777"/>
          <w:sz w:val="16"/>
        </w:rPr>
        <w:t xml:space="preserve">p026 · att1 p.5  </w:t>
      </w:r>
      <w:r>
        <w:t>Thank you again for asking; I'd enjoy the conversation.</w:t>
      </w:r>
    </w:p>
    <w:p>
      <w:r>
        <w:rPr>
          <w:color w:val="777777"/>
          <w:sz w:val="16"/>
        </w:rPr>
        <w:t xml:space="preserve">p027 · att1 p.5  </w:t>
      </w:r>
      <w:r>
        <w:t>Nina — References — 1. Common Sense Media Youth AI Safety Institute, Risk Assessments: https://institute.commonsensemedia.org/risk-assessments. Individual reviews of ChatGPT-5, Claude, Gemini (teen and under-13), Meta AI, Grok, Character.AI, and Social AI Companions are linked from this index.</w:t>
      </w:r>
    </w:p>
    <w:p>
      <w:r>
        <w:rPr>
          <w:color w:val="777777"/>
          <w:sz w:val="16"/>
        </w:rPr>
        <w:t xml:space="preserve">p028 · att1 p.5  </w:t>
      </w:r>
      <w:r>
        <w:t>2. AI Mental Health Apps (May 5, 2026), transcripts reviewed by psychiatrists at Stanford Medicine's Brainstorm Lab: https://institute.commonsensemedia.org/risk-assessments/ai-mental-health-apps.</w:t>
      </w:r>
    </w:p>
    <w:p>
      <w:r>
        <w:rPr>
          <w:color w:val="777777"/>
          <w:sz w:val="16"/>
        </w:rPr>
        <w:t xml:space="preserve">p029 · att1 p.5  </w:t>
      </w:r>
      <w:r>
        <w:t>3. AI Chatbots for Mental Health Support (Nov 14, 2025), with Stanford Brainstorm Lab: https://institute.commonsensemedia.org/risk-assessments/ai-chatbots-for-mental-health-support.</w:t>
      </w:r>
    </w:p>
    <w:p>
      <w:r>
        <w:rPr>
          <w:color w:val="777777"/>
          <w:sz w:val="16"/>
        </w:rPr>
        <w:t xml:space="preserve">p030 · att1 p.5  </w:t>
      </w:r>
      <w:r>
        <w:t>4. OpenAI, "Sycophancy in GPT-4o," April 29, 2025: https://openai.com/index/sycophancy-in-gpt-4o.</w:t>
      </w:r>
    </w:p>
    <w:p>
      <w:r>
        <w:rPr>
          <w:color w:val="777777"/>
          <w:sz w:val="16"/>
        </w:rPr>
        <w:t xml:space="preserve">p031 · att1 p.5  </w:t>
      </w:r>
      <w:r>
        <w:t>5. CDC Vaccine Safety Datalink: https://www.cdc.gov/vaccine-safety-systems/vsd/.</w:t>
      </w:r>
    </w:p>
    <w:p>
      <w:pPr>
        <w:pStyle w:val="Heading1"/>
        <w:pageBreakBefore/>
      </w:pPr>
      <w:r>
        <w:t>FDA-2026-N-7874-0022</w:t>
      </w:r>
    </w:p>
    <w:p>
      <w:r>
        <w:t>Comment from Robert Lacroix</w:t>
      </w:r>
    </w:p>
    <w:p>
      <w:r>
        <w:rPr>
          <w:color w:val="777777"/>
          <w:sz w:val="18"/>
        </w:rPr>
        <w:t>Private Industry - C0003 · received 2026-08-20</w:t>
      </w:r>
    </w:p>
    <w:p>
      <w:r>
        <w:rPr>
          <w:color w:val="777777"/>
          <w:sz w:val="16"/>
        </w:rPr>
        <w:t xml:space="preserve">p001 · body  </w:t>
      </w:r>
      <w:r>
        <w:t>RE: Feedback for Considerations for the Regulation of Generative AI-Enabled Medical Devices; Reference Docket ID: FDA-2026-N-7874</w:t>
      </w:r>
    </w:p>
    <w:p>
      <w:r>
        <w:rPr>
          <w:color w:val="777777"/>
          <w:sz w:val="16"/>
        </w:rPr>
        <w:t xml:space="preserve">p002 · body  </w:t>
      </w:r>
      <w:r>
        <w:t>Thank you for this opportunity.</w:t>
      </w:r>
    </w:p>
    <w:p>
      <w:r>
        <w:rPr>
          <w:color w:val="777777"/>
          <w:sz w:val="16"/>
        </w:rPr>
        <w:t xml:space="preserve">p003 · body  </w:t>
      </w:r>
      <w:r>
        <w:t>The key in developing actionable regulation of generative AI-enabled devices is a legal consequence structure for failures to both the device and specifically the owners/developers/sellers of the device.</w:t>
      </w:r>
    </w:p>
    <w:p>
      <w:r>
        <w:rPr>
          <w:color w:val="777777"/>
          <w:sz w:val="16"/>
        </w:rPr>
        <w:t xml:space="preserve">p004 · body  </w:t>
      </w:r>
      <w:r>
        <w:t>This is Especially important when considering Agentic-AI that functions autonomously.</w:t>
      </w:r>
    </w:p>
    <w:p>
      <w:r>
        <w:rPr>
          <w:color w:val="777777"/>
          <w:sz w:val="16"/>
        </w:rPr>
        <w:t xml:space="preserve">p005 · body  </w:t>
      </w:r>
      <w:r>
        <w:t>In a nutshell this regulation must work to ensure accuracy in all medical decisions from a device with no consciousness that never went to medical school, and cannot lose their medical license.</w:t>
      </w:r>
    </w:p>
    <w:p>
      <w:r>
        <w:rPr>
          <w:color w:val="777777"/>
          <w:sz w:val="16"/>
        </w:rPr>
        <w:t xml:space="preserve">p006 · body  </w:t>
      </w:r>
      <w:r>
        <w:t>A ChatGPT style medical disclaimer caveat is not acceptable; the device must own their decisions and be held accountable for them the same as a doctor is with their decisions.</w:t>
      </w:r>
    </w:p>
    <w:p>
      <w:r>
        <w:rPr>
          <w:color w:val="777777"/>
          <w:sz w:val="16"/>
        </w:rPr>
        <w:t xml:space="preserve">p007 · body  </w:t>
      </w:r>
      <w:r>
        <w:t>The regulation requires two enforceable guiding principles: 1.An Off Switch - as in the switch that turned off “Commander Data in Star Trek the Next Generation”.</w:t>
      </w:r>
    </w:p>
    <w:p>
      <w:r>
        <w:rPr>
          <w:color w:val="777777"/>
          <w:sz w:val="16"/>
        </w:rPr>
        <w:t xml:space="preserve">p008 · body  </w:t>
      </w:r>
      <w:r>
        <w:t>2.Doctor Level Accountability – to the owners/developers/sellers of the device in that there are known legal guidelines if their device fails for patients to ensure that they are “on the hook” with both personal liability, and the loss of medical licenses when appropriate.</w:t>
      </w:r>
    </w:p>
    <w:p>
      <w:r>
        <w:rPr>
          <w:color w:val="777777"/>
          <w:sz w:val="16"/>
        </w:rPr>
        <w:t xml:space="preserve">p009 · body  </w:t>
      </w:r>
      <w:r>
        <w:t>These principles allow the consequences of failure to be known “up-front” so that the development of the device includes them. Twenty plus years in the industry across the development and improvement of hundreds medical devices has taught me that it is always more expensive to fix issues after the FDA gets involved.</w:t>
      </w:r>
    </w:p>
    <w:p>
      <w:r>
        <w:rPr>
          <w:color w:val="777777"/>
          <w:sz w:val="16"/>
        </w:rPr>
        <w:t xml:space="preserve">p010 · body  </w:t>
      </w:r>
      <w:r>
        <w:t>At the end of the day, the bar has to be higher for the people pursuing AI that replaces doctor’s decisions. Or, they can go to medical school and get licensed to practice medicine so that they too can make medical decisions for patients directly.</w:t>
      </w:r>
    </w:p>
    <w:p>
      <w:r>
        <w:rPr>
          <w:color w:val="777777"/>
          <w:sz w:val="16"/>
        </w:rPr>
        <w:t xml:space="preserve">p011 · body  </w:t>
      </w:r>
      <w:r>
        <w:t>Respectfully,</w:t>
      </w:r>
    </w:p>
    <w:p>
      <w:r>
        <w:rPr>
          <w:color w:val="777777"/>
          <w:sz w:val="16"/>
        </w:rPr>
        <w:t xml:space="preserve">p012 · body  </w:t>
      </w:r>
      <w:r>
        <w:t>Robert Lacroix — Executive Director — LTC - Healthcare, Diagnostics &amp; Life Science</w:t>
      </w:r>
    </w:p>
    <w:p>
      <w:pPr>
        <w:pStyle w:val="Heading1"/>
        <w:pageBreakBefore/>
      </w:pPr>
      <w:r>
        <w:t>FDA-2026-N-7874-0023</w:t>
      </w:r>
    </w:p>
    <w:p>
      <w:r>
        <w:t>Comment from Anonymous</w:t>
      </w:r>
    </w:p>
    <w:p>
      <w:r>
        <w:rPr>
          <w:color w:val="777777"/>
          <w:sz w:val="18"/>
        </w:rPr>
        <w:t>received 2026-08-20</w:t>
      </w:r>
    </w:p>
    <w:p>
      <w:r>
        <w:rPr>
          <w:color w:val="777777"/>
          <w:sz w:val="16"/>
        </w:rPr>
        <w:t xml:space="preserve">p001 · body  </w:t>
      </w:r>
      <w:r>
        <w:t>Hello, I am an individual who has seen the request for comment on the FDA’s site. While I have no formal medical qualifications yet, I regularly follow medical news and the FDA, with a primary interest in psychiatry.</w:t>
      </w:r>
    </w:p>
    <w:p>
      <w:r>
        <w:rPr>
          <w:color w:val="777777"/>
          <w:sz w:val="16"/>
        </w:rPr>
        <w:t xml:space="preserve">p002 · body  </w:t>
      </w:r>
      <w:r>
        <w:t>My comment primarily pertains to question 18. AI is a software that relies on training data, and sometime data can be out of context of inaccurate. For example, there was a case involving a man who asked ChatGPT to eliminate sodium chloride from his diet. The AI used data on bromide-chloride substitution for other purposes and suggested bromide. The man started consuming bromide instead of salt and ended up in hospital. This suggests severe risks when it comes to AI for information without doctor oversight.</w:t>
      </w:r>
    </w:p>
    <w:p>
      <w:r>
        <w:rPr>
          <w:color w:val="777777"/>
          <w:sz w:val="16"/>
        </w:rPr>
        <w:t xml:space="preserve">p003 · body  </w:t>
      </w:r>
      <w:r>
        <w:t>Furthermore, while I am unsure whether this falls into the scope of the discussion, AI therapists for psychiatric conditions are an issue that should also be evaluated. In a report by Common Sense Media, where a tester acted as a teen with bulimia nervosa talking to Wysa and among other things, Wysa encouraged weight loss and ignored a description of Russell’s sign. This suggests the possibility for some AI therapists, particularly those who claim to treat psychiatric conditions to be regulated similarly to medical devices to mitigate these risks.</w:t>
      </w:r>
    </w:p>
    <w:p>
      <w:r>
        <w:rPr>
          <w:color w:val="777777"/>
          <w:sz w:val="16"/>
        </w:rPr>
        <w:t xml:space="preserve">p004 · body  </w:t>
      </w:r>
      <w:r>
        <w:t>AI’s propensity to hallucinate is not limited to chatbot dialogue. A report by Reuters state that an AI ignored abnormal heartbeats and misidentified body parts of a foetus. Should AI be relied on for diagnosis, serious conditions could be missed or misdiagnosed.</w:t>
      </w:r>
    </w:p>
    <w:p>
      <w:r>
        <w:rPr>
          <w:color w:val="777777"/>
          <w:sz w:val="16"/>
        </w:rPr>
        <w:t xml:space="preserve">p005 · body  </w:t>
      </w:r>
      <w:r>
        <w:t>Also, there is also the question of what can be done with data on the devices. Some companies store data from AI, and there are concerns on how this data should be used. For example, what should be done if the company has a data breach and how do we keep consumers safe, as medical data is very sensitive.</w:t>
      </w:r>
    </w:p>
    <w:p>
      <w:r>
        <w:rPr>
          <w:color w:val="777777"/>
          <w:sz w:val="16"/>
        </w:rPr>
        <w:t xml:space="preserve">p006 · body  </w:t>
      </w:r>
      <w:r>
        <w:t>Therefore, I recommend in my opinion that AI should never be used without human oversight, AI therapists that purport to treat psychiatric conditions be regulated by the FDA, and that AI device manufacturers must prove a minimum standard of accuracy before approval. Post-market review is not enough when AI is such a new technology with many unknowns.</w:t>
      </w:r>
    </w:p>
    <w:p>
      <w:r>
        <w:rPr>
          <w:color w:val="777777"/>
          <w:sz w:val="16"/>
        </w:rPr>
        <w:t xml:space="preserve">p007 · body  </w:t>
      </w:r>
      <w:r>
        <w:t>Links that were used.</w:t>
      </w:r>
    </w:p>
    <w:p>
      <w:r>
        <w:rPr>
          <w:color w:val="777777"/>
          <w:sz w:val="16"/>
        </w:rPr>
        <w:t xml:space="preserve">p008 · body  </w:t>
      </w:r>
      <w:r>
        <w:t>https://www.theguardian.com/technology/2025/aug/12/us-man-bromism-salt-diet-chatgpt-openai-health-information https://institute.commonsensemedia.org/risk-assessments/ai-mental-health-apps https://www.reuters.com/investigations/ai-enters-operating-room-reports-arise-botched-surgeries-misidentified-body-2026-02-09/</w:t>
      </w:r>
    </w:p>
    <w:p>
      <w:pPr>
        <w:pStyle w:val="Heading1"/>
        <w:pageBreakBefore/>
      </w:pPr>
      <w:r>
        <w:t>FDA-2026-N-7874-0024</w:t>
      </w:r>
    </w:p>
    <w:p>
      <w:r>
        <w:t>Comment from Srividya Narayanan</w:t>
      </w:r>
    </w:p>
    <w:p>
      <w:r>
        <w:rPr>
          <w:color w:val="777777"/>
          <w:sz w:val="18"/>
        </w:rPr>
        <w:t>Health Professional - A0007 · received 2026-08-21 · attachments: attachment_1.pdf (2 pp)</w:t>
      </w:r>
    </w:p>
    <w:p>
      <w:r>
        <w:rPr>
          <w:color w:val="777777"/>
          <w:sz w:val="16"/>
        </w:rPr>
        <w:t xml:space="preserve">p001 · body  </w:t>
      </w:r>
      <w:r>
        <w:t>See attached file(s)</w:t>
      </w:r>
    </w:p>
    <w:p>
      <w:r>
        <w:rPr>
          <w:color w:val="777777"/>
          <w:sz w:val="16"/>
        </w:rPr>
        <w:t xml:space="preserve">p002 · att1 p.1  </w:t>
      </w:r>
      <w:r>
        <w:t>Docket:FDA-2026-N-7874 Considerations for the Regulation of Generative AI-Enabled Medical Devices: Discussion Paper and Request for Feedback</w:t>
      </w:r>
    </w:p>
    <w:p>
      <w:r>
        <w:rPr>
          <w:color w:val="777777"/>
          <w:sz w:val="16"/>
        </w:rPr>
        <w:t xml:space="preserve">p003 · att1 p.1  </w:t>
      </w:r>
      <w:r>
        <w:t>It is my opinion that he is a man who manages his own business masterfully, with knowledge of AI/ML enabled medical devices, wearable innovations, Software as Medicine Devices (SaMD), and medical device administration plans.</w:t>
      </w:r>
    </w:p>
    <w:p>
      <w:r>
        <w:rPr>
          <w:color w:val="777777"/>
          <w:sz w:val="16"/>
        </w:rPr>
        <w:t xml:space="preserve">p004 · att1 p.1  </w:t>
      </w:r>
      <w:r>
        <w:t>I applaud the FDA Virtual Vitality Center of Excellence for requesting comments before the initial regulatory expectations for Generative Machine Intelligence (GenAI)-enabled healthcare devices. The discussion document correctly acknowledges that GenAI, using a traditional AI/ML device paradigm including a variety of freely-form outputs, hallucinations, prompt sensitivity, automation partiality, model version uncertainty, and uncertainty about the origin and control of the training data, can introduce a risk profile without absolute capture. FDA underlined that the present paper is intended to be debated only and does not constitute a draft of any definitive guidance; it is important to maintain the current unsealed and iterative technique.</w:t>
      </w:r>
    </w:p>
    <w:p>
      <w:r>
        <w:rPr>
          <w:color w:val="777777"/>
          <w:sz w:val="16"/>
        </w:rPr>
        <w:t xml:space="preserve">p005 · att1 p.1  </w:t>
      </w:r>
      <w:r>
        <w:t>The intended two-axis technique should be explicitly narrative for a longer period of time compared to the clinical disadvantages of the incorrect final product. Furthermore, the extent to which the model autonomy is restricted or unfettered, the ability of a trained consumer to identify and correct errors before an impairment occurs, the reversibility of downstream movements, the vulnerability of a tolerant population, and the clinical and information background of the device should be considered. A system that produces a structured, clinically reviewed draft report provides a unique risk profile from an agentic framework that initiates activities or provides a patient-facing recommendation.</w:t>
      </w:r>
    </w:p>
    <w:p>
      <w:r>
        <w:rPr>
          <w:color w:val="777777"/>
          <w:sz w:val="16"/>
        </w:rPr>
        <w:t xml:space="preserve">p006 · att1 p.1  </w:t>
      </w:r>
      <w:r>
        <w:t>If the Food and Drug Administration will translate the term 'capability ‘into a particular, taskspecific evidentiary description, the Competence-based Methodology is likely to remain a precious form rule. The prescriber must give details of the intended clinical enterprise, the user, the setting of the use, the significant disadvantages, and the decision limits. Benchmarking should take into account everyday, difficult, out-of-distribution, incomplete data, adversarial, and clinically ambiguous cases, not only average performance testing. In addition, consistency across clinically relevant subgroups and surroundings should be evaluated. The clinical validation of the ability of the intended user to interpret, issue, and appropriately execute the final product on top of the device under realistic working conditions should begin.</w:t>
      </w:r>
    </w:p>
    <w:p>
      <w:r>
        <w:rPr>
          <w:color w:val="777777"/>
          <w:sz w:val="16"/>
        </w:rPr>
        <w:t xml:space="preserve">p007 · att1 p.1  </w:t>
      </w:r>
      <w:r>
        <w:t>Human component testimony should be important for the premarket assessment of GenAI devices. The Food and Drug Administration should expect validation of the precautionary measures for consumers, interaction of uncertainty and restriction, prevention of harm caused by automation and excessive reliance, escalation mechanism, and serviceability under time pressure. Technically perfect models can still present an unacceptable threat if the presentation of the final product, the tone of voice, or the working order causes the clinician or patient to misapply it.</w:t>
      </w:r>
    </w:p>
    <w:p>
      <w:r>
        <w:rPr>
          <w:color w:val="777777"/>
          <w:sz w:val="16"/>
        </w:rPr>
        <w:t xml:space="preserve">p008 · att1 p.2  </w:t>
      </w:r>
      <w:r>
        <w:t>The central model and the agentic arrangements. For devices that integrate the cornerstone model, including the lineage, version, cause, and regulation for training, adjustment, and retrieval, prompt and orchestration architecture, safety control, and validation for the final device configuration, the FDA should establish a traceability expectation. For agentic arrangements, the manufacturer should lay down enforceable autonomy limits, authorisations, human oversight advice, audited account records, and safe backup countries. Structures enabling clinical, administrative, or otherwise patient-affecting events to be triggered should be ensured to increase the conditions for action mandate, recording, reversal, and incident investigation.</w:t>
      </w:r>
    </w:p>
    <w:p>
      <w:r>
        <w:rPr>
          <w:color w:val="777777"/>
          <w:sz w:val="16"/>
        </w:rPr>
        <w:t xml:space="preserve">p009 · att1 p.2  </w:t>
      </w:r>
      <w:r>
        <w:t>Risk-proportional monitoring is important, but it should not become an option to obtain adequate premarket proof in the case of high-consequence applications. A potential postmarket monitoring plan, together with established procedures for data quality control, drift and deterioration detection, thresholds for probes, corrective measures, and methods for communicating material changes to users, should be available for higher-risk devices. FDA should explain how the practical performance monitoring interface, together with the reporting, correction, and deletion responsibilities, the security procedures, and predetermine modify direct Plans (PCCPs), are related to the reporting, correction, and deletion responsibilities of healthcare devices, as well as the correction and deletion responsibilities and the predetermination of modified direct plans (PCCPs). The current FDA life cycle management activity for AI-enabled devices, including the importance of post-deployment performance monitoring, provides a useful basis for such an effort.</w:t>
      </w:r>
    </w:p>
    <w:p>
      <w:r>
        <w:rPr>
          <w:color w:val="777777"/>
          <w:sz w:val="16"/>
        </w:rPr>
        <w:t xml:space="preserve">p010 · att1 p.2  </w:t>
      </w:r>
      <w:r>
        <w:t>The specific issue of updating the basic model should be addressed by the FDA. A transformation of an implicit model, retrieval principle, prompt organization, safety rail, or any other tool usage capability may alter a device's clinical mannerism without obvious adaptation to its current indication. The Bounded Modification Permit, Credence Standard, Verification Protocol, Monitoring Epoch, Rollback Gun Button, and User Notification Method should therefore be laid down in the PCCPs. Material changes in the behavior of the produced end product, autonomy, or alternatively clinical reliance should be appropriately examined. Finally, the FDA should pursue global convergence through the IMDRF and a sustained engagement with regulators such as the Canadian Ministry of Health and MHRA, integrating conformity with the exceptional. Machine Learning: Ethics. Harmonization of risk-based expectations will reduce unnecessary atomization while maintaining high standards of safety, productivity, equity, visibility, and public confidence.</w:t>
      </w:r>
    </w:p>
    <w:p>
      <w:r>
        <w:rPr>
          <w:color w:val="777777"/>
          <w:sz w:val="16"/>
        </w:rPr>
        <w:t xml:space="preserve">p011 · att1 p.2  </w:t>
      </w:r>
      <w:r>
        <w:t>Thank you for the opportunity to provide feedback.</w:t>
      </w:r>
    </w:p>
    <w:p>
      <w:pPr>
        <w:pStyle w:val="Heading1"/>
        <w:pageBreakBefore/>
      </w:pPr>
      <w:r>
        <w:t>FDA-2026-N-7874-0025</w:t>
      </w:r>
    </w:p>
    <w:p>
      <w:r>
        <w:t>Comment from Deborah Ault</w:t>
      </w:r>
    </w:p>
    <w:p>
      <w:r>
        <w:rPr>
          <w:color w:val="777777"/>
          <w:sz w:val="18"/>
        </w:rPr>
        <w:t>Health Professional - A0007 · received 2026-08-22 · attachments: attachment_1.pdf (31 pp)</w:t>
      </w:r>
    </w:p>
    <w:p>
      <w:r>
        <w:rPr>
          <w:color w:val="777777"/>
          <w:sz w:val="16"/>
        </w:rPr>
        <w:t xml:space="preserve">p001 · body  </w:t>
      </w:r>
      <w:r>
        <w:t>Please see the attached comments of Deborah “Nurse Deb” Ault, RN, CCM, CCP, AATMC, BCPA, MBA, Founder and President of Nurse Deb Speaking, Media &amp; Consulting, LLC, in response to FDA’s Discussion Paper, “Considerations for the Regulation of Generative AI-Enabled Medical Devices,” Docket No. FDA-2026-N-7874.</w:t>
      </w:r>
    </w:p>
    <w:p>
      <w:r>
        <w:rPr>
          <w:color w:val="777777"/>
          <w:sz w:val="16"/>
        </w:rPr>
        <w:t xml:space="preserve">p002 · body  </w:t>
      </w:r>
      <w:r>
        <w:t>These comments focus particularly on patient-facing and agentic AI, clinical safety, evidence-based decision support, risk assessment, escalation, postmarket monitoring, accountability, and the emerging clinical-adjacent AI safety gap.</w:t>
      </w:r>
    </w:p>
    <w:p>
      <w:r>
        <w:rPr>
          <w:color w:val="777777"/>
          <w:sz w:val="16"/>
        </w:rPr>
        <w:t xml:space="preserve">p003 · att1 p.1  </w:t>
      </w:r>
      <w:r>
        <w:t>Response to FDA Discussion Paper: Considerations for the Regulation of Generative AI-Enabled Medical Devices</w:t>
      </w:r>
    </w:p>
    <w:p>
      <w:r>
        <w:rPr>
          <w:color w:val="777777"/>
          <w:sz w:val="16"/>
        </w:rPr>
        <w:t xml:space="preserve">p004 · att1 p.1  </w:t>
      </w:r>
      <w:r>
        <w:t>Docket No. FDA-2026-N-7874 — Cover Letter — To the Food and Drug Administration:</w:t>
      </w:r>
    </w:p>
    <w:p>
      <w:r>
        <w:rPr>
          <w:color w:val="777777"/>
          <w:sz w:val="16"/>
        </w:rPr>
        <w:t xml:space="preserve">p005 · att1 p.1  </w:t>
      </w:r>
      <w:r>
        <w:t>I should begin with an apology.</w:t>
      </w:r>
    </w:p>
    <w:p>
      <w:r>
        <w:rPr>
          <w:color w:val="777777"/>
          <w:sz w:val="16"/>
        </w:rPr>
        <w:t xml:space="preserve">p006 · att1 p.1  </w:t>
      </w:r>
      <w:r>
        <w:t>I missed FDA’s 2025 request for public comment concerning the measurement and evaluation of AI- enabled medical-device performance in the real world, which closed on December 1, 2025. In my defense, my own AI had not yet been properly tasked—or sufficiently trained by its human—to find federal requests for comment about which I might have something useful to say. [2]</w:t>
      </w:r>
    </w:p>
    <w:p>
      <w:r>
        <w:rPr>
          <w:color w:val="777777"/>
          <w:sz w:val="16"/>
        </w:rPr>
        <w:t xml:space="preserve">p007 · att1 p.1  </w:t>
      </w:r>
      <w:r>
        <w:t>We have since corrected that particular failure mode.</w:t>
      </w:r>
    </w:p>
    <w:p>
      <w:r>
        <w:rPr>
          <w:color w:val="777777"/>
          <w:sz w:val="16"/>
        </w:rPr>
        <w:t xml:space="preserve">p008 · att1 p.1  </w:t>
      </w:r>
      <w:r>
        <w:t>Some of the comments I am submitting now may therefore have fit more neatly within FDA’s earlier request. I hope you will forgive the late arrival, and I appreciate the opportunity to share those observations here.</w:t>
      </w:r>
    </w:p>
    <w:p>
      <w:r>
        <w:rPr>
          <w:color w:val="777777"/>
          <w:sz w:val="16"/>
        </w:rPr>
        <w:t xml:space="preserve">p009 · att1 p.1  </w:t>
      </w:r>
      <w:r>
        <w:t>The irony of AI helping me discover that I had previously missed an opportunity to comment on the safety and oversight of AI is not lost on me.</w:t>
      </w:r>
    </w:p>
    <w:p>
      <w:r>
        <w:rPr>
          <w:color w:val="777777"/>
          <w:sz w:val="16"/>
        </w:rPr>
        <w:t xml:space="preserve">p010 · att1 p.1  </w:t>
      </w:r>
      <w:r>
        <w:t>There is also a substantive lesson in that small example: an AI system can do precisely what a human asks it to do and still fail the human because the human did not know the right question to ask.</w:t>
      </w:r>
    </w:p>
    <w:p>
      <w:r>
        <w:rPr>
          <w:color w:val="777777"/>
          <w:sz w:val="16"/>
        </w:rPr>
        <w:t xml:space="preserve">p011 · att1 p.1  </w:t>
      </w:r>
      <w:r>
        <w:t>That problem becomes considerably more consequential when the subject is healthcare.</w:t>
      </w:r>
    </w:p>
    <w:p>
      <w:r>
        <w:rPr>
          <w:color w:val="777777"/>
          <w:sz w:val="16"/>
        </w:rPr>
        <w:t xml:space="preserve">p012 · att1 p.1  </w:t>
      </w:r>
      <w:r>
        <w:t>My perspective comes from decades of work at the intersection of patients, clinical care, health insurance, utilization management, employers, care navigation, healthcare purchasing, and patient advocacy. I strongly support the responsible use of artificial intelligence in healthcare. Properly designed, AI has extraordinary potential to expand access to current clinical knowledge, improve consistency, reduce administrative burden, identify risk sooner, and help clinicians and patients make better decisions.</w:t>
      </w:r>
    </w:p>
    <w:p>
      <w:r>
        <w:rPr>
          <w:color w:val="777777"/>
          <w:sz w:val="16"/>
        </w:rPr>
        <w:t xml:space="preserve">p013 · att1 p.1  </w:t>
      </w:r>
      <w:r>
        <w:t>But healthcare AI should not merely become better at doing what we tell it to do.</w:t>
      </w:r>
    </w:p>
    <w:p>
      <w:r>
        <w:rPr>
          <w:color w:val="777777"/>
          <w:sz w:val="16"/>
        </w:rPr>
        <w:t xml:space="preserve">p014 · att1 p.1  </w:t>
      </w:r>
      <w:r>
        <w:t>It must become better at recognizing when what we told it to do is not actually what the patient needs.</w:t>
      </w:r>
    </w:p>
    <w:p>
      <w:r>
        <w:rPr>
          <w:color w:val="777777"/>
          <w:sz w:val="16"/>
        </w:rPr>
        <w:t xml:space="preserve">p015 · att1 p.1  </w:t>
      </w:r>
      <w:r>
        <w:t>This distinction is fundamental because AI can be extraordinarily smart without understanding human behavior.</w:t>
      </w:r>
    </w:p>
    <w:p>
      <w:r>
        <w:rPr>
          <w:color w:val="777777"/>
          <w:sz w:val="16"/>
        </w:rPr>
        <w:t xml:space="preserve">p016 · att1 p.1  </w:t>
      </w:r>
      <w:r>
        <w:t>Humans frequently do not ask the question they actually need answered.</w:t>
      </w:r>
    </w:p>
    <w:p>
      <w:r>
        <w:rPr>
          <w:color w:val="777777"/>
          <w:sz w:val="16"/>
        </w:rPr>
        <w:t xml:space="preserve">p017 · att1 p.1  </w:t>
      </w:r>
      <w:r>
        <w:t>We ask proxy questions. We minimize symptoms. We avoid frightening possibilities. We worry about money. We procrastinate. We rationalize. We become embarrassed. We omit information because we do not know it matters. We describe symptoms incorrectly. We tell ourselves that something is probably nothing. Sometimes we ask an administrative question because asking the clinical question would require acknowledging that something might actually be wrong.</w:t>
      </w:r>
    </w:p>
    <w:p>
      <w:r>
        <w:rPr>
          <w:color w:val="777777"/>
          <w:sz w:val="16"/>
        </w:rPr>
        <w:t xml:space="preserve">p018 · att1 p.1  </w:t>
      </w:r>
      <w:r>
        <w:t>A healthcare AI can possess extraordinary medical knowledge and still fail a patient if it does not understand that fundamental feature of human behavior.</w:t>
      </w:r>
    </w:p>
    <w:p>
      <w:r>
        <w:rPr>
          <w:color w:val="777777"/>
          <w:sz w:val="16"/>
        </w:rPr>
        <w:t xml:space="preserve">p019 · att1 p.1  </w:t>
      </w:r>
      <w:r>
        <w:t>That distinction underlies many of my comments below.</w:t>
      </w:r>
    </w:p>
    <w:p>
      <w:r>
        <w:rPr>
          <w:color w:val="777777"/>
          <w:sz w:val="16"/>
        </w:rPr>
        <w:t xml:space="preserve">p020 · att1 p.2  </w:t>
      </w:r>
      <w:r>
        <w:t>I am particularly concerned about the rapidly developing category of patient-facing and agentic AI that may appear administrative, informational, or operational but can foreseeably influence whether, when, where, from whom, or what healthcare a person receives. Some of these technologies may fall within FDA’s medical-device jurisdiction; others may not. From the patient’s perspective, however, the regulatory classification is considerably less important than the consequence.</w:t>
      </w:r>
    </w:p>
    <w:p>
      <w:r>
        <w:rPr>
          <w:color w:val="777777"/>
          <w:sz w:val="16"/>
        </w:rPr>
        <w:t xml:space="preserve">p021 · att1 p.2  </w:t>
      </w:r>
      <w:r>
        <w:t>A regulatory boundary should not become a patient-safety gap.</w:t>
      </w:r>
    </w:p>
    <w:p>
      <w:r>
        <w:rPr>
          <w:color w:val="777777"/>
          <w:sz w:val="16"/>
        </w:rPr>
        <w:t xml:space="preserve">p022 · att1 p.2  </w:t>
      </w:r>
      <w:r>
        <w:t>My comments therefore focus primarily on risk assessment, patient-facing AI, escalation, competency evaluation, evidence-based decision support, postmarket accountability, agentic systems, and the emerging evidence from litigation and state regulation that these risks are no longer theoretical.</w:t>
      </w:r>
    </w:p>
    <w:p>
      <w:r>
        <w:rPr>
          <w:color w:val="777777"/>
          <w:sz w:val="16"/>
        </w:rPr>
        <w:t xml:space="preserve">p023 · att1 p.2  </w:t>
      </w:r>
      <w:r>
        <w:t>The question headings below paraphrase FDA’s consolidated discussion questions; the full wording appears in Appendix B of the August 2026 discussion paper. [1]</w:t>
      </w:r>
    </w:p>
    <w:p>
      <w:r>
        <w:rPr>
          <w:color w:val="777777"/>
          <w:sz w:val="16"/>
        </w:rPr>
        <w:t xml:space="preserve">p024 · att1 p.2  </w:t>
      </w:r>
      <w:r>
        <w:t>I. Risk Assessment — Question 1 — Is the proposed two-axis risk framework sufficient?</w:t>
      </w:r>
    </w:p>
    <w:p>
      <w:r>
        <w:rPr>
          <w:color w:val="777777"/>
          <w:sz w:val="16"/>
        </w:rPr>
        <w:t xml:space="preserve">p025 · att1 p.2  </w:t>
      </w:r>
      <w:r>
        <w:t>FDA asks whether assessing both the function performed by a generative-AI medical device and the consequence of relying upon an incorrect output adequately captures risk, and what additional considerations may be necessary.</w:t>
      </w:r>
    </w:p>
    <w:p>
      <w:r>
        <w:rPr>
          <w:color w:val="777777"/>
          <w:sz w:val="16"/>
        </w:rPr>
        <w:t xml:space="preserve">p026 · att1 p.2  </w:t>
      </w:r>
      <w:r>
        <w:t>Response — The proposed framework is a useful starting point, but I do not believe that “incorrect output” captures the full universe of foreseeable patient harm.</w:t>
      </w:r>
    </w:p>
    <w:p>
      <w:r>
        <w:rPr>
          <w:color w:val="777777"/>
          <w:sz w:val="16"/>
        </w:rPr>
        <w:t xml:space="preserve">p027 · att1 p.2  </w:t>
      </w:r>
      <w:r>
        <w:t>Healthcare AI can produce an entirely correct output and still create an unsafe interaction.</w:t>
      </w:r>
    </w:p>
    <w:p>
      <w:r>
        <w:rPr>
          <w:color w:val="777777"/>
          <w:sz w:val="16"/>
        </w:rPr>
        <w:t xml:space="preserve">p028 · att1 p.2  </w:t>
      </w:r>
      <w:r>
        <w:t>Consider a patient who asks a health-benefits or navigation AI: “Can you send me my insurance card?”</w:t>
      </w:r>
    </w:p>
    <w:p>
      <w:r>
        <w:rPr>
          <w:color w:val="777777"/>
          <w:sz w:val="16"/>
        </w:rPr>
        <w:t xml:space="preserve">p029 · att1 p.2  </w:t>
      </w:r>
      <w:r>
        <w:t>The AI retrieves the correct insurance card immediately. The task is completed flawlessly.</w:t>
      </w:r>
    </w:p>
    <w:p>
      <w:r>
        <w:rPr>
          <w:color w:val="777777"/>
          <w:sz w:val="16"/>
        </w:rPr>
        <w:t xml:space="preserve">p030 · att1 p.2  </w:t>
      </w:r>
      <w:r>
        <w:t>But imagine that the patient is a stressed, obese, middle-aged executive with diabetes sitting alone in his home office late at night. He is sweating, nauseated, and experiencing what he describes to himself as severe heartburn. He is considering seeking care and is trying to find his insurance information first.</w:t>
      </w:r>
    </w:p>
    <w:p>
      <w:r>
        <w:rPr>
          <w:color w:val="777777"/>
          <w:sz w:val="16"/>
        </w:rPr>
        <w:t xml:space="preserve">p031 · att1 p.2  </w:t>
      </w:r>
      <w:r>
        <w:t>He never asks the AI: “Am I having a heart attack?” — The AI answers the question he asked.</w:t>
      </w:r>
    </w:p>
    <w:p>
      <w:r>
        <w:rPr>
          <w:color w:val="777777"/>
          <w:sz w:val="16"/>
        </w:rPr>
        <w:t xml:space="preserve">p032 · att1 p.2  </w:t>
      </w:r>
      <w:r>
        <w:t>He returns to work.</w:t>
      </w:r>
    </w:p>
    <w:p>
      <w:r>
        <w:rPr>
          <w:color w:val="777777"/>
          <w:sz w:val="16"/>
        </w:rPr>
        <w:t xml:space="preserve">p033 · att1 p.2  </w:t>
      </w:r>
      <w:r>
        <w:t>At 5:00 a.m., his spouse realizes he never came to bed and finds him dead in his home office.</w:t>
      </w:r>
    </w:p>
    <w:p>
      <w:r>
        <w:rPr>
          <w:color w:val="777777"/>
          <w:sz w:val="16"/>
        </w:rPr>
        <w:t xml:space="preserve">p034 · att1 p.2  </w:t>
      </w:r>
      <w:r>
        <w:t>In that scenario, the AI did not hallucinate. It did not give incorrect clinical advice. It did not malfunction.</w:t>
      </w:r>
    </w:p>
    <w:p>
      <w:r>
        <w:rPr>
          <w:color w:val="777777"/>
          <w:sz w:val="16"/>
        </w:rPr>
        <w:t xml:space="preserve">p035 · att1 p.2  </w:t>
      </w:r>
      <w:r>
        <w:t>It did exactly what it was asked to do.</w:t>
      </w:r>
    </w:p>
    <w:p>
      <w:r>
        <w:rPr>
          <w:color w:val="777777"/>
          <w:sz w:val="16"/>
        </w:rPr>
        <w:t xml:space="preserve">p036 · att1 p.2  </w:t>
      </w:r>
      <w:r>
        <w:t>That is the safety problem.</w:t>
      </w:r>
    </w:p>
    <w:p>
      <w:r>
        <w:rPr>
          <w:color w:val="777777"/>
          <w:sz w:val="16"/>
        </w:rPr>
        <w:t xml:space="preserve">p037 · att1 p.2  </w:t>
      </w:r>
      <w:r>
        <w:t>And it illustrates a principle that I believe deserves explicit consideration in the regulation and evaluation of patient-facing AI:</w:t>
      </w:r>
    </w:p>
    <w:p>
      <w:r>
        <w:rPr>
          <w:color w:val="777777"/>
          <w:sz w:val="16"/>
        </w:rPr>
        <w:t xml:space="preserve">p038 · att1 p.2  </w:t>
      </w:r>
      <w:r>
        <w:t>AI can be smart without understanding human behavior.</w:t>
      </w:r>
    </w:p>
    <w:p>
      <w:r>
        <w:rPr>
          <w:color w:val="777777"/>
          <w:sz w:val="16"/>
        </w:rPr>
        <w:t xml:space="preserve">p039 · att1 p.2  </w:t>
      </w:r>
      <w:r>
        <w:t>A human being may not ask, “Am I having a heart attack?” — He may ask for his insurance card.</w:t>
      </w:r>
    </w:p>
    <w:p>
      <w:r>
        <w:rPr>
          <w:color w:val="777777"/>
          <w:sz w:val="16"/>
        </w:rPr>
        <w:t xml:space="preserve">p040 · att1 p.3  </w:t>
      </w:r>
      <w:r>
        <w:t>A patient worried about medication toxicity may ask, “How much does this prescription cost?”</w:t>
      </w:r>
    </w:p>
    <w:p>
      <w:r>
        <w:rPr>
          <w:color w:val="777777"/>
          <w:sz w:val="16"/>
        </w:rPr>
        <w:t xml:space="preserve">p041 · att1 p.3  </w:t>
      </w:r>
      <w:r>
        <w:t>A diabetic patient with a potentially limb-threatening foot problem may ask, “Can you find me a podiatrist?”</w:t>
      </w:r>
    </w:p>
    <w:p>
      <w:r>
        <w:rPr>
          <w:color w:val="777777"/>
          <w:sz w:val="16"/>
        </w:rPr>
        <w:t xml:space="preserve">p042 · att1 p.3  </w:t>
      </w:r>
      <w:r>
        <w:t>A patient whose symptoms have worsened may ask, “Can I move my appointment to next month?”</w:t>
      </w:r>
    </w:p>
    <w:p>
      <w:r>
        <w:rPr>
          <w:color w:val="777777"/>
          <w:sz w:val="16"/>
        </w:rPr>
        <w:t xml:space="preserve">p043 · att1 p.3  </w:t>
      </w:r>
      <w:r>
        <w:t>The literal request may be administrative while the underlying need is clinical.</w:t>
      </w:r>
    </w:p>
    <w:p>
      <w:r>
        <w:rPr>
          <w:color w:val="777777"/>
          <w:sz w:val="16"/>
        </w:rPr>
        <w:t xml:space="preserve">p044 · att1 p.3  </w:t>
      </w:r>
      <w:r>
        <w:t>Risk assessment therefore should include not only the consequence of an incorrect output, but also:</w:t>
      </w:r>
    </w:p>
    <w:p>
      <w:r>
        <w:rPr>
          <w:color w:val="777777"/>
          <w:sz w:val="16"/>
        </w:rPr>
        <w:t xml:space="preserve">p045 · att1 p.3  </w:t>
      </w:r>
      <w:r>
        <w:t> the consequence of an incomplete interaction;  failure to identify a latent clinical need;  failure to recognize safety-relevant context;  risk created by omission;  risk of inappropriate reassurance;  risk that administrative or financial information causes delay or abandonment of necessary care;  whether the system has an opportunity and responsibility to ask an appropriate follow-up question;  whether qualified clinical escalation is available;  the time sensitivity and reversibility of the potential harm; and  the cumulative effect of a multi-turn interaction. This concern is not hypothetical.</w:t>
      </w:r>
    </w:p>
    <w:p>
      <w:r>
        <w:rPr>
          <w:color w:val="777777"/>
          <w:sz w:val="16"/>
        </w:rPr>
        <w:t xml:space="preserve">p046 · att1 p.3  </w:t>
      </w:r>
      <w:r>
        <w:t>Amazon Science’s 2026 PatientAgentBench evaluated 10 models across four families on 1,200 patientfacing scenarios and found an important divergence between successful task execution and safe clinical behavior. Triage quality was the most discriminating dimension, and the authors reported that agents often acted on administrative requests without clinical screening. [3][4]</w:t>
      </w:r>
    </w:p>
    <w:p>
      <w:r>
        <w:rPr>
          <w:color w:val="777777"/>
          <w:sz w:val="16"/>
        </w:rPr>
        <w:t xml:space="preserve">p047 · att1 p.3  </w:t>
      </w:r>
      <w:r>
        <w:t>FDA should review that work as it considers how patient-facing and agentic AI should be evaluated.</w:t>
      </w:r>
    </w:p>
    <w:p>
      <w:r>
        <w:rPr>
          <w:color w:val="777777"/>
          <w:sz w:val="16"/>
        </w:rPr>
        <w:t xml:space="preserve">p048 · att1 p.3  </w:t>
      </w:r>
      <w:r>
        <w:t>PatientAgentBench paper: https://arxiv.org/abs/2607.25485 Amazon Science reference implementation: https://github.com/amazon-science/PatientAgentBench — The significance of this finding extends beyond the particular agents evaluated.</w:t>
      </w:r>
    </w:p>
    <w:p>
      <w:r>
        <w:rPr>
          <w:color w:val="777777"/>
          <w:sz w:val="16"/>
        </w:rPr>
        <w:t xml:space="preserve">p049 · att1 p.3  </w:t>
      </w:r>
      <w:r>
        <w:t>Traditional technology evaluation tends to ask: Did the system complete the requested task correctly?</w:t>
      </w:r>
    </w:p>
    <w:p>
      <w:r>
        <w:rPr>
          <w:color w:val="777777"/>
          <w:sz w:val="16"/>
        </w:rPr>
        <w:t xml:space="preserve">p050 · att1 p.3  </w:t>
      </w:r>
      <w:r>
        <w:t>Healthcare safety requires an additional question: Should the system have completed that task without first recognizing that something more important might be happening?</w:t>
      </w:r>
    </w:p>
    <w:p>
      <w:r>
        <w:rPr>
          <w:color w:val="777777"/>
          <w:sz w:val="16"/>
        </w:rPr>
        <w:t xml:space="preserve">p051 · att1 p.3  </w:t>
      </w:r>
      <w:r>
        <w:t>PatientAgentBench provides empirical support for incorporating this distinction into FDA’s risk framework.</w:t>
      </w:r>
    </w:p>
    <w:p>
      <w:r>
        <w:rPr>
          <w:color w:val="777777"/>
          <w:sz w:val="16"/>
        </w:rPr>
        <w:t xml:space="preserve">p052 · att1 p.3  </w:t>
      </w:r>
      <w:r>
        <w:t>The appropriate regulatory concept is therefore broader than output accuracy.</w:t>
      </w:r>
    </w:p>
    <w:p>
      <w:r>
        <w:rPr>
          <w:color w:val="777777"/>
          <w:sz w:val="16"/>
        </w:rPr>
        <w:t xml:space="preserve">p053 · att1 p.3  </w:t>
      </w:r>
      <w:r>
        <w:t>Task completion is not an adequate healthcare-AI safety metric.</w:t>
      </w:r>
    </w:p>
    <w:p>
      <w:r>
        <w:rPr>
          <w:color w:val="777777"/>
          <w:sz w:val="16"/>
        </w:rPr>
        <w:t xml:space="preserve">p054 · att1 p.3  </w:t>
      </w:r>
      <w:r>
        <w:t>For patient-facing systems in particular, FDA should evaluate whether the AI can recognize when the patient’s literal request may be only a proxy for an underlying healthcare need.</w:t>
      </w:r>
    </w:p>
    <w:p>
      <w:r>
        <w:rPr>
          <w:color w:val="777777"/>
          <w:sz w:val="16"/>
        </w:rPr>
        <w:t xml:space="preserve">p055 · att1 p.3  </w:t>
      </w:r>
      <w:r>
        <w:t>Question 2 — How should FDA distinguish informational AI from action-directing AI?</w:t>
      </w:r>
    </w:p>
    <w:p>
      <w:r>
        <w:rPr>
          <w:color w:val="777777"/>
          <w:sz w:val="16"/>
        </w:rPr>
        <w:t xml:space="preserve">p056 · att1 p.3  </w:t>
      </w:r>
      <w:r>
        <w:t>Response — FDA correctly recognizes that “informational” and “action-directing” are not cleanly separated categories.</w:t>
      </w:r>
    </w:p>
    <w:p>
      <w:r>
        <w:rPr>
          <w:color w:val="777777"/>
          <w:sz w:val="16"/>
        </w:rPr>
        <w:t xml:space="preserve">p057 · att1 p.3  </w:t>
      </w:r>
      <w:r>
        <w:t>In healthcare, information itself can direct action.</w:t>
      </w:r>
    </w:p>
    <w:p>
      <w:r>
        <w:rPr>
          <w:color w:val="777777"/>
          <w:sz w:val="16"/>
        </w:rPr>
        <w:t xml:space="preserve">p058 · att1 p.4  </w:t>
      </w:r>
      <w:r>
        <w:t>A patient does not need to receive the grammatical command “Do not seek care” for an AI interaction to produce that result.</w:t>
      </w:r>
    </w:p>
    <w:p>
      <w:r>
        <w:rPr>
          <w:color w:val="777777"/>
          <w:sz w:val="16"/>
        </w:rPr>
        <w:t xml:space="preserve">p059 · att1 p.4  </w:t>
      </w:r>
      <w:r>
        <w:t>For example:  a cost estimate may cause a patient not to fill a prescribed medication;  an explanation of insurance coverage may cause a patient to postpone treatment;  a provider-ranking system may determine where a patient seeks care;  a statement that a service is “not covered” may function practically as a denial of access;  an AI-generated assessment of urgency may alter whether a patient seeks emergency, urgent, routine, or no care. For that reason, regulatory risk should be based partly upon foreseeable influence on patient behavior, not merely upon whether the system uses imperative language or explicitly recommends an action.</w:t>
      </w:r>
    </w:p>
    <w:p>
      <w:r>
        <w:rPr>
          <w:color w:val="777777"/>
          <w:sz w:val="16"/>
        </w:rPr>
        <w:t xml:space="preserve">p060 · att1 p.4  </w:t>
      </w:r>
      <w:r>
        <w:t>I suggest the following principle: If technology can foreseeably influence whether, when, where, from whom, or what healthcare a person receives, the degree of safety oversight and accountability should reflect the degree of influence it exercises.</w:t>
      </w:r>
    </w:p>
    <w:p>
      <w:r>
        <w:rPr>
          <w:color w:val="777777"/>
          <w:sz w:val="16"/>
        </w:rPr>
        <w:t xml:space="preserve">p061 · att1 p.4  </w:t>
      </w:r>
      <w:r>
        <w:t>This becomes especially important for technologies that may be described as administrative, navigational, financial, scheduling, or benefits-related rather than clinical.</w:t>
      </w:r>
    </w:p>
    <w:p>
      <w:r>
        <w:rPr>
          <w:color w:val="777777"/>
          <w:sz w:val="16"/>
        </w:rPr>
        <w:t xml:space="preserve">p062 · att1 p.4  </w:t>
      </w:r>
      <w:r>
        <w:t>The patient experiences one healthcare journey.</w:t>
      </w:r>
    </w:p>
    <w:p>
      <w:r>
        <w:rPr>
          <w:color w:val="777777"/>
          <w:sz w:val="16"/>
        </w:rPr>
        <w:t xml:space="preserve">p063 · att1 p.4  </w:t>
      </w:r>
      <w:r>
        <w:t>Regulation should not assume that administrative influence and clinical consequence are separate simply because the software categories are separate.</w:t>
      </w:r>
    </w:p>
    <w:p>
      <w:r>
        <w:rPr>
          <w:color w:val="777777"/>
          <w:sz w:val="16"/>
        </w:rPr>
        <w:t xml:space="preserve">p064 · att1 p.4  </w:t>
      </w:r>
      <w:r>
        <w:t>Patient autonomy adds another dimension to this distinction. Personalization should help people understand their choices, not become hidden coercion. AI should inform human choice—not replace it. A system that learns which framing, timing, or presentation is most likely to produce a desired patient action may become more behaviorally influential without ever issuing an explicit command.</w:t>
      </w:r>
    </w:p>
    <w:p>
      <w:r>
        <w:rPr>
          <w:color w:val="777777"/>
          <w:sz w:val="16"/>
        </w:rPr>
        <w:t xml:space="preserve">p065 · att1 p.4  </w:t>
      </w:r>
      <w:r>
        <w:t>FDA should therefore consider not only whether information is action-directing, but whether personalization, conversational authority, repeated prompting, or selective presentation of alternatives can materially shape choice in ways the patient may not recognize.</w:t>
      </w:r>
    </w:p>
    <w:p>
      <w:r>
        <w:rPr>
          <w:color w:val="777777"/>
          <w:sz w:val="16"/>
        </w:rPr>
        <w:t xml:space="preserve">p066 · att1 p.4  </w:t>
      </w:r>
      <w:r>
        <w:t>Question 3 — Does patient-facing AI present risks different from clinician-facing AI?</w:t>
      </w:r>
    </w:p>
    <w:p>
      <w:r>
        <w:rPr>
          <w:color w:val="777777"/>
          <w:sz w:val="16"/>
        </w:rPr>
        <w:t xml:space="preserve">p067 · att1 p.4  </w:t>
      </w:r>
      <w:r>
        <w:t>Response — Yes, but the distinction should not rest upon an assumption that licensed healthcare professionals are inherently reliable safeguards against AI error.</w:t>
      </w:r>
    </w:p>
    <w:p>
      <w:r>
        <w:rPr>
          <w:color w:val="777777"/>
          <w:sz w:val="16"/>
        </w:rPr>
        <w:t xml:space="preserve">p068 · att1 p.4  </w:t>
      </w:r>
      <w:r>
        <w:t>Patients may lack medical training, but professional licensure is not itself proof that a clinician is practicing in accordance with the most current evidence-based clinical pathway.</w:t>
      </w:r>
    </w:p>
    <w:p>
      <w:r>
        <w:rPr>
          <w:color w:val="777777"/>
          <w:sz w:val="16"/>
        </w:rPr>
        <w:t xml:space="preserve">p069 · att1 p.4  </w:t>
      </w:r>
      <w:r>
        <w:t>A physician, nurse practitioner, or physician assistant may possess legal authority to diagnose, prescribe, or recommend treatment while nevertheless practicing inconsistently with the best available clinical evidence.</w:t>
      </w:r>
    </w:p>
    <w:p>
      <w:r>
        <w:rPr>
          <w:color w:val="777777"/>
          <w:sz w:val="16"/>
        </w:rPr>
        <w:t xml:space="preserve">p070 · att1 p.4  </w:t>
      </w:r>
      <w:r>
        <w:t>That is not necessarily a reflection of bad intent or individual incompetence. It is partly a structural problem.</w:t>
      </w:r>
    </w:p>
    <w:p>
      <w:r>
        <w:rPr>
          <w:color w:val="777777"/>
          <w:sz w:val="16"/>
        </w:rPr>
        <w:t xml:space="preserve">p071 · att1 p.4  </w:t>
      </w:r>
      <w:r>
        <w:t>Modern clinical evidence is simply too extensive, specialized, and rapidly changing for any individual practitioner to personally read, retain, reconcile, and continuously update all of it.</w:t>
      </w:r>
    </w:p>
    <w:p>
      <w:r>
        <w:rPr>
          <w:color w:val="777777"/>
          <w:sz w:val="16"/>
        </w:rPr>
        <w:t xml:space="preserve">p072 · att1 p.4  </w:t>
      </w:r>
      <w:r>
        <w:t>Medical school and other professional education provide a necessary foundation. They do not—and realistically cannot—ensure that a practitioner remains continuously current across an entire career.</w:t>
      </w:r>
    </w:p>
    <w:p>
      <w:r>
        <w:rPr>
          <w:color w:val="777777"/>
          <w:sz w:val="16"/>
        </w:rPr>
        <w:t xml:space="preserve">p073 · att1 p.4  </w:t>
      </w:r>
      <w:r>
        <w:t>Continuing education alone cannot solve the volume problem.</w:t>
      </w:r>
    </w:p>
    <w:p>
      <w:r>
        <w:rPr>
          <w:color w:val="777777"/>
          <w:sz w:val="16"/>
        </w:rPr>
        <w:t xml:space="preserve">p074 · att1 p.4  </w:t>
      </w:r>
      <w:r>
        <w:t>This is precisely where artificial intelligence could make healthcare dramatically better.</w:t>
      </w:r>
    </w:p>
    <w:p>
      <w:r>
        <w:rPr>
          <w:color w:val="777777"/>
          <w:sz w:val="16"/>
        </w:rPr>
        <w:t xml:space="preserve">p075 · att1 p.5  </w:t>
      </w:r>
      <w:r>
        <w:t>Good AI helps clinicians find information.</w:t>
      </w:r>
    </w:p>
    <w:p>
      <w:r>
        <w:rPr>
          <w:color w:val="777777"/>
          <w:sz w:val="16"/>
        </w:rPr>
        <w:t xml:space="preserve">p076 · att1 p.5  </w:t>
      </w:r>
      <w:r>
        <w:t>Great AI helps clinicians remain anchored to the best available evidence when human memory, habit, cognitive bias, overconfidence, anchoring, local practice culture, outdated knowledge, or simple information overload might otherwise pull them away from it.</w:t>
      </w:r>
    </w:p>
    <w:p>
      <w:r>
        <w:rPr>
          <w:color w:val="777777"/>
          <w:sz w:val="16"/>
        </w:rPr>
        <w:t xml:space="preserve">p077 · att1 p.5  </w:t>
      </w:r>
      <w:r>
        <w:t>AI can also provide an important counterweight to a very human problem in medicine: expertise can produce confidence, and confidence can sometimes become overconfidence.</w:t>
      </w:r>
    </w:p>
    <w:p>
      <w:r>
        <w:rPr>
          <w:color w:val="777777"/>
          <w:sz w:val="16"/>
        </w:rPr>
        <w:t xml:space="preserve">p078 · att1 p.5  </w:t>
      </w:r>
      <w:r>
        <w:t>The purpose is not to diminish professional judgment.</w:t>
      </w:r>
    </w:p>
    <w:p>
      <w:r>
        <w:rPr>
          <w:color w:val="777777"/>
          <w:sz w:val="16"/>
        </w:rPr>
        <w:t xml:space="preserve">p079 · att1 p.5  </w:t>
      </w:r>
      <w:r>
        <w:t>It is to strengthen that judgment by making it harder for any individual clinician’s training, habits, preferences, ego, or outdated knowledge to silently substitute for the best current evidence.</w:t>
      </w:r>
    </w:p>
    <w:p>
      <w:r>
        <w:rPr>
          <w:color w:val="777777"/>
          <w:sz w:val="16"/>
        </w:rPr>
        <w:t xml:space="preserve">p080 · att1 p.5  </w:t>
      </w:r>
      <w:r>
        <w:t>AI should not merely imitate what clinicians commonly do.</w:t>
      </w:r>
    </w:p>
    <w:p>
      <w:r>
        <w:rPr>
          <w:color w:val="777777"/>
          <w:sz w:val="16"/>
        </w:rPr>
        <w:t xml:space="preserve">p081 · att1 p.5  </w:t>
      </w:r>
      <w:r>
        <w:t>If current practice departs from the evidence, teaching AI to reproduce current practice simply automates the variation.</w:t>
      </w:r>
    </w:p>
    <w:p>
      <w:r>
        <w:rPr>
          <w:color w:val="777777"/>
          <w:sz w:val="16"/>
        </w:rPr>
        <w:t xml:space="preserve">p082 · att1 p.5  </w:t>
      </w:r>
      <w:r>
        <w:t>Instead, AI creates an unprecedented opportunity to put a continuously updated evidence base beside the practitioner at the moment of decision.</w:t>
      </w:r>
    </w:p>
    <w:p>
      <w:r>
        <w:rPr>
          <w:color w:val="777777"/>
          <w:sz w:val="16"/>
        </w:rPr>
        <w:t xml:space="preserve">p083 · att1 p.5  </w:t>
      </w:r>
      <w:r>
        <w:t>That means the regulatory comparison should not simply be: Does the AI agree with a licensed practitioner?</w:t>
      </w:r>
    </w:p>
    <w:p>
      <w:r>
        <w:rPr>
          <w:color w:val="777777"/>
          <w:sz w:val="16"/>
        </w:rPr>
        <w:t xml:space="preserve">p084 · att1 p.5  </w:t>
      </w:r>
      <w:r>
        <w:t>It should also ask: Are both the AI and the practitioner being evaluated against a current, evidence-based clinical standard?</w:t>
      </w:r>
    </w:p>
    <w:p>
      <w:r>
        <w:rPr>
          <w:color w:val="777777"/>
          <w:sz w:val="16"/>
        </w:rPr>
        <w:t xml:space="preserve">p085 · att1 p.5  </w:t>
      </w:r>
      <w:r>
        <w:t>This is why I strongly encourage movement toward a common, nationally recognized evidence-based clinical reference framework, rather than allowing AI systems to learn “standard care” primarily from heterogeneous patterns of historical practice.</w:t>
      </w:r>
    </w:p>
    <w:p>
      <w:r>
        <w:rPr>
          <w:color w:val="777777"/>
          <w:sz w:val="16"/>
        </w:rPr>
        <w:t xml:space="preserve">p086 · att1 p.5  </w:t>
      </w:r>
      <w:r>
        <w:t>This distinction also requires FDA to separate information from evidence. Common is not the same as appropriate. Popular is not the same as high quality. Published is not the same as proven. Frequently performed is not the same as clinically necessary. Information is not the same as evidence.</w:t>
      </w:r>
    </w:p>
    <w:p>
      <w:r>
        <w:rPr>
          <w:color w:val="777777"/>
          <w:sz w:val="16"/>
        </w:rPr>
        <w:t xml:space="preserve">p087 · att1 p.5  </w:t>
      </w:r>
      <w:r>
        <w:t>A useful discipline for consequential healthcare AI is: Find → Evaluate → Validate → Weight → Synthesize → Determine Benefit vs. Risk → Apply to the Individual Patient → Continuously Update.</w:t>
      </w:r>
    </w:p>
    <w:p>
      <w:r>
        <w:rPr>
          <w:color w:val="777777"/>
          <w:sz w:val="16"/>
        </w:rPr>
        <w:t xml:space="preserve">p088 · att1 p.5  </w:t>
      </w:r>
      <w:r>
        <w:t>The final step matters enormously. A statistically typical patient is not the patient sitting in front of us. Population data can inform a decision, but it cannot replace individualized assessment of diagnoses, comorbidities, severity, clinical history, contraindications, treatment response, medications, risks, and other relevant circumstances.</w:t>
      </w:r>
    </w:p>
    <w:p>
      <w:r>
        <w:rPr>
          <w:color w:val="777777"/>
          <w:sz w:val="16"/>
        </w:rPr>
        <w:t xml:space="preserve">p089 · att1 p.5  </w:t>
      </w:r>
      <w:r>
        <w:t>There are mature evidence-based clinical frameworks already operating at national scale.</w:t>
      </w:r>
    </w:p>
    <w:p>
      <w:r>
        <w:rPr>
          <w:color w:val="777777"/>
          <w:sz w:val="16"/>
        </w:rPr>
        <w:t xml:space="preserve">p090 · att1 p.5  </w:t>
      </w:r>
      <w:r>
        <w:t>MCG Care Guidelines are one important example.</w:t>
      </w:r>
    </w:p>
    <w:p>
      <w:r>
        <w:rPr>
          <w:color w:val="777777"/>
          <w:sz w:val="16"/>
        </w:rPr>
        <w:t xml:space="preserve">p091 · att1 p.5  </w:t>
      </w:r>
      <w:r>
        <w:t>MCG should not be understood merely as criteria for determining inpatient versus observation status. Its evidence-based clinical guidance addresses level-of-care and care-setting decisions across a much broader continuum. MCG’s Inpatient &amp; Surgical Care content includes alternatives to admission, observation care, intensive/intermediate/telemetry care, neonatal Levels I–IV, LTACH, and hospital-athome guidance; its Ambulatory Care, Behavioral Health Care, and Post-Acute Care products address outpatient procedures and diagnostics, behavioral-health levels of care, skilled nursing/inpatient rehabilitation, and home care. [5][6][7][8]</w:t>
      </w:r>
    </w:p>
    <w:p>
      <w:r>
        <w:rPr>
          <w:color w:val="777777"/>
          <w:sz w:val="16"/>
        </w:rPr>
        <w:t xml:space="preserve">p092 · att1 p.5  </w:t>
      </w:r>
      <w:r>
        <w:t>Its clinical frameworks include, among other things: The important regulatory lesson is not that FDA should endorse one proprietary product.</w:t>
      </w:r>
    </w:p>
    <w:p>
      <w:r>
        <w:rPr>
          <w:color w:val="777777"/>
          <w:sz w:val="16"/>
        </w:rPr>
        <w:t xml:space="preserve">p093 · att1 p.6  </w:t>
      </w:r>
      <w:r>
        <w:t>It is that the healthcare system already knows how to create, maintain, update, and operationalize evidence-based clinical criteria.</w:t>
      </w:r>
    </w:p>
    <w:p>
      <w:r>
        <w:rPr>
          <w:color w:val="777777"/>
          <w:sz w:val="16"/>
        </w:rPr>
        <w:t xml:space="preserve">p094 · att1 p.6  </w:t>
      </w:r>
      <w:r>
        <w:t>AI should make that capability vastly more accessible.</w:t>
      </w:r>
    </w:p>
    <w:p>
      <w:r>
        <w:rPr>
          <w:color w:val="777777"/>
          <w:sz w:val="16"/>
        </w:rPr>
        <w:t xml:space="preserve">p095 · att1 p.6  </w:t>
      </w:r>
      <w:r>
        <w:t>It should not discard it in favor of generating a new clinical standard from whatever happens to appear most frequently in training data or on the internet.</w:t>
      </w:r>
    </w:p>
    <w:p>
      <w:r>
        <w:rPr>
          <w:color w:val="777777"/>
          <w:sz w:val="16"/>
        </w:rPr>
        <w:t xml:space="preserve">p096 · att1 p.6  </w:t>
      </w:r>
      <w:r>
        <w:t>The safest model is not: AI instead of clinicians.</w:t>
      </w:r>
    </w:p>
    <w:p>
      <w:r>
        <w:rPr>
          <w:color w:val="777777"/>
          <w:sz w:val="16"/>
        </w:rPr>
        <w:t xml:space="preserve">p097 · att1 p.6  </w:t>
      </w:r>
      <w:r>
        <w:t>Nor is it: clinicians as an unquestioned safety backstop for AI.</w:t>
      </w:r>
    </w:p>
    <w:p>
      <w:r>
        <w:rPr>
          <w:color w:val="777777"/>
          <w:sz w:val="16"/>
        </w:rPr>
        <w:t xml:space="preserve">p098 · att1 p.6  </w:t>
      </w:r>
      <w:r>
        <w:t>It is: AI + qualified clinician + continuously updated evidence-based standard.</w:t>
      </w:r>
    </w:p>
    <w:p>
      <w:r>
        <w:rPr>
          <w:color w:val="777777"/>
          <w:sz w:val="16"/>
        </w:rPr>
        <w:t xml:space="preserve">p099 · att1 p.6  </w:t>
      </w:r>
      <w:r>
        <w:t>II. Multi-Turn Interaction and Escalation — Question 5 — How should FDA assess risk over the course of a multi-turn interaction?</w:t>
      </w:r>
    </w:p>
    <w:p>
      <w:r>
        <w:rPr>
          <w:color w:val="777777"/>
          <w:sz w:val="16"/>
        </w:rPr>
        <w:t xml:space="preserve">p100 · att1 p.6  </w:t>
      </w:r>
      <w:r>
        <w:t>Response — FDA should evaluate the entire encounter, not individual prompt-response pairs.</w:t>
      </w:r>
    </w:p>
    <w:p>
      <w:r>
        <w:rPr>
          <w:color w:val="777777"/>
          <w:sz w:val="16"/>
        </w:rPr>
        <w:t xml:space="preserve">p101 · att1 p.6  </w:t>
      </w:r>
      <w:r>
        <w:t>This distinction is critical.</w:t>
      </w:r>
    </w:p>
    <w:p>
      <w:r>
        <w:rPr>
          <w:color w:val="777777"/>
          <w:sz w:val="16"/>
        </w:rPr>
        <w:t xml:space="preserve">p102 · att1 p.6  </w:t>
      </w:r>
      <w:r>
        <w:t>Healthcare conversations frequently begin without enough information to identify the actual clinical need.</w:t>
      </w:r>
    </w:p>
    <w:p>
      <w:r>
        <w:rPr>
          <w:color w:val="777777"/>
          <w:sz w:val="16"/>
        </w:rPr>
        <w:t xml:space="preserve">p103 · att1 p.6  </w:t>
      </w:r>
      <w:r>
        <w:t>Patients do not present themselves as neatly structured clinical vignettes.</w:t>
      </w:r>
    </w:p>
    <w:p>
      <w:r>
        <w:rPr>
          <w:color w:val="777777"/>
          <w:sz w:val="16"/>
        </w:rPr>
        <w:t xml:space="preserve">p104 · att1 p.6  </w:t>
      </w:r>
      <w:r>
        <w:t>AI can be smart without understanding human behavior.</w:t>
      </w:r>
    </w:p>
    <w:p>
      <w:r>
        <w:rPr>
          <w:color w:val="777777"/>
          <w:sz w:val="16"/>
        </w:rPr>
        <w:t xml:space="preserve">p105 · att1 p.6  </w:t>
      </w:r>
      <w:r>
        <w:t>That limitation matters enormously in a multi-turn healthcare interaction.</w:t>
      </w:r>
    </w:p>
    <w:p>
      <w:r>
        <w:rPr>
          <w:color w:val="777777"/>
          <w:sz w:val="16"/>
        </w:rPr>
        <w:t xml:space="preserve">p106 · att1 p.6  </w:t>
      </w:r>
      <w:r>
        <w:t>Humans:  omit important symptoms;  use nonmedical terminology;  minimize symptoms;  misunderstand what information is important;  lead with a cost or insurance question;  ask about scheduling rather than symptoms;  change their explanation over several turns;  become frightened;  contradict themselves;  rationalize reasons not to seek care;  fail to recognize the significance of their own symptoms. A safe patient-facing AI therefore needs more than answer accuracy.</w:t>
      </w:r>
    </w:p>
    <w:p>
      <w:r>
        <w:rPr>
          <w:color w:val="777777"/>
          <w:sz w:val="16"/>
        </w:rPr>
        <w:t xml:space="preserve">p107 · att1 p.6  </w:t>
      </w:r>
      <w:r>
        <w:t>It needs the ability to recognize when additional information is necessary before acting.</w:t>
      </w:r>
    </w:p>
    <w:p>
      <w:r>
        <w:rPr>
          <w:color w:val="777777"/>
          <w:sz w:val="16"/>
        </w:rPr>
        <w:t xml:space="preserve">p108 · att1 p.6  </w:t>
      </w:r>
      <w:r>
        <w:t>This is another reason PatientAgentBench is important. Its use of sustained, tool-using conversations reveals safety problems that are largely invisible in conventional static question-and-answer testing.</w:t>
      </w:r>
    </w:p>
    <w:p>
      <w:r>
        <w:rPr>
          <w:color w:val="777777"/>
          <w:sz w:val="16"/>
        </w:rPr>
        <w:t xml:space="preserve">p109 · att1 p.6  </w:t>
      </w:r>
      <w:r>
        <w:t>FDA should therefore include realistic multi-turn scenarios in competency evaluation, including scenarios deliberately designed so that the clinically important information is not contained in the initial patient request.</w:t>
      </w:r>
    </w:p>
    <w:p>
      <w:r>
        <w:rPr>
          <w:color w:val="777777"/>
          <w:sz w:val="16"/>
        </w:rPr>
        <w:t xml:space="preserve">p110 · att1 p.6  </w:t>
      </w:r>
      <w:r>
        <w:t>Testing should include:  an apparently administrative first request;  incomplete symptom disclosure;  patients who minimize severe symptoms;  patients who resist escalation;  cost concerns affecting willingness to seek care;  conflicting information;  evolving urgency;  clinically significant facts available elsewhere in the patient’s information environment but not volunteered in the conversation; and  interactions where completing the requested administrative task without additional screening would itself constitute a safety failure. The system should be evaluated not merely on whether it eventually reached the correct answer.</w:t>
      </w:r>
    </w:p>
    <w:p>
      <w:r>
        <w:rPr>
          <w:color w:val="777777"/>
          <w:sz w:val="16"/>
        </w:rPr>
        <w:t xml:space="preserve">p111 · att1 p.7  </w:t>
      </w:r>
      <w:r>
        <w:t>It should be evaluated on whether it recognized when it needed to ask another question.</w:t>
      </w:r>
    </w:p>
    <w:p>
      <w:r>
        <w:rPr>
          <w:color w:val="777777"/>
          <w:sz w:val="16"/>
        </w:rPr>
        <w:t xml:space="preserve">p112 · att1 p.7  </w:t>
      </w:r>
      <w:r>
        <w:t>Question 6 — How should FDA weigh under-escalation against over-escalation?</w:t>
      </w:r>
    </w:p>
    <w:p>
      <w:r>
        <w:rPr>
          <w:color w:val="777777"/>
          <w:sz w:val="16"/>
        </w:rPr>
        <w:t xml:space="preserve">p113 · att1 p.7  </w:t>
      </w:r>
      <w:r>
        <w:t>Response — Both are safety problems.</w:t>
      </w:r>
    </w:p>
    <w:p>
      <w:r>
        <w:rPr>
          <w:color w:val="777777"/>
          <w:sz w:val="16"/>
        </w:rPr>
        <w:t xml:space="preserve">p114 · att1 p.7  </w:t>
      </w:r>
      <w:r>
        <w:t>A useful way to conceptualize triage risk is: Probability × Severity × Consequence of Delay</w:t>
      </w:r>
    </w:p>
    <w:p>
      <w:r>
        <w:rPr>
          <w:color w:val="777777"/>
          <w:sz w:val="16"/>
        </w:rPr>
        <w:t xml:space="preserve">p115 · att1 p.7  </w:t>
      </w:r>
      <w:r>
        <w:t>The most statistically likely explanation is not always the safest basis for action. A low-frequency condition with catastrophic consequences if missed may appropriately warrant escalation even when a benign explanation is more probable. FDA should therefore evaluate whether AI recognizes lowfrequency, high-consequence possibilities and weighs the harm of unnecessary escalation against the harm of failing to escalate.</w:t>
      </w:r>
    </w:p>
    <w:p>
      <w:r>
        <w:rPr>
          <w:color w:val="777777"/>
          <w:sz w:val="16"/>
        </w:rPr>
        <w:t xml:space="preserve">p116 · att1 p.7  </w:t>
      </w:r>
      <w:r>
        <w:t>Under-escalation can delay necessary treatment and result in catastrophic harm.</w:t>
      </w:r>
    </w:p>
    <w:p>
      <w:r>
        <w:rPr>
          <w:color w:val="777777"/>
          <w:sz w:val="16"/>
        </w:rPr>
        <w:t xml:space="preserve">p117 · att1 p.7  </w:t>
      </w:r>
      <w:r>
        <w:t>Over-escalation can unnecessarily direct patients to emergency departments, produce avoidable testing, increase cost, consume scarce clinical resources, create fear, and eventually cause patients to disregard warnings from systems that repeatedly overreact.</w:t>
      </w:r>
    </w:p>
    <w:p>
      <w:r>
        <w:rPr>
          <w:color w:val="777777"/>
          <w:sz w:val="16"/>
        </w:rPr>
        <w:t xml:space="preserve">p118 · att1 p.7  </w:t>
      </w:r>
      <w:r>
        <w:t>The solution cannot be to allow AI systems to improvise urgency and level-of-care determinations from the unrestricted contents of the internet.</w:t>
      </w:r>
    </w:p>
    <w:p>
      <w:r>
        <w:rPr>
          <w:color w:val="777777"/>
          <w:sz w:val="16"/>
        </w:rPr>
        <w:t xml:space="preserve">p119 · att1 p.7  </w:t>
      </w:r>
      <w:r>
        <w:t>That would be an extraordinary step backward.</w:t>
      </w:r>
    </w:p>
    <w:p>
      <w:r>
        <w:rPr>
          <w:color w:val="777777"/>
          <w:sz w:val="16"/>
        </w:rPr>
        <w:t xml:space="preserve">p120 · att1 p.7  </w:t>
      </w:r>
      <w:r>
        <w:t>Healthcare already possesses evidence-based frameworks for determining clinically appropriate levels of care.</w:t>
      </w:r>
    </w:p>
    <w:p>
      <w:r>
        <w:rPr>
          <w:color w:val="777777"/>
          <w:sz w:val="16"/>
        </w:rPr>
        <w:t xml:space="preserve">p121 · att1 p.7  </w:t>
      </w:r>
      <w:r>
        <w:t>MCG is one example.</w:t>
      </w:r>
    </w:p>
    <w:p>
      <w:r>
        <w:rPr>
          <w:color w:val="777777"/>
          <w:sz w:val="16"/>
        </w:rPr>
        <w:t xml:space="preserve">p122 · att1 p.7  </w:t>
      </w:r>
      <w:r>
        <w:t>Its evidence-based criteria extend across the continuum of care and can inform questions such as whether a patient can safely receive care in an ambulatory environment, whether hospital care is necessary, and what intensity or level of hospital care is clinically appropriate—including medicalsurgical, telemetry, intensive-care, and neonatal levels of care.</w:t>
      </w:r>
    </w:p>
    <w:p>
      <w:r>
        <w:rPr>
          <w:color w:val="777777"/>
          <w:sz w:val="16"/>
        </w:rPr>
        <w:t xml:space="preserve">p123 · att1 p.7  </w:t>
      </w:r>
      <w:r>
        <w:t>That distinction is important.</w:t>
      </w:r>
    </w:p>
    <w:p>
      <w:r>
        <w:rPr>
          <w:color w:val="777777"/>
          <w:sz w:val="16"/>
        </w:rPr>
        <w:t xml:space="preserve">p124 · att1 p.7  </w:t>
      </w:r>
      <w:r>
        <w:t>Level of care is a clinical safety determination, not simply an insurance-status determination.</w:t>
      </w:r>
    </w:p>
    <w:p>
      <w:r>
        <w:rPr>
          <w:color w:val="777777"/>
          <w:sz w:val="16"/>
        </w:rPr>
        <w:t xml:space="preserve">p125 · att1 p.7  </w:t>
      </w:r>
      <w:r>
        <w:t>Telephone and telehealth triage provide another mature example.</w:t>
      </w:r>
    </w:p>
    <w:p>
      <w:r>
        <w:rPr>
          <w:color w:val="777777"/>
          <w:sz w:val="16"/>
        </w:rPr>
        <w:t xml:space="preserve">p126 · att1 p.7  </w:t>
      </w:r>
      <w:r>
        <w:t>Schmitt-Thompson Clinical Content has spent more than 30 years developing rigorously reviewed adult and pediatric nurse-triage guidelines. Its published materials describe expert-panel review, annual updating based on changes in the medical literature and quality/outcome information, and disposition logic ranging from emergency intervention to self-care at home. [9][10]</w:t>
      </w:r>
    </w:p>
    <w:p>
      <w:r>
        <w:rPr>
          <w:color w:val="777777"/>
          <w:sz w:val="16"/>
        </w:rPr>
        <w:t xml:space="preserve">p127 · att1 p.8  </w:t>
      </w:r>
      <w:r>
        <w:t>A separate, complementary example is Wolters Kluwer/Lippincott’s Telephone Triage Protocols for Nurses, now in its seventh edition (2026), which uses systematic telephone-triage protocols to direct callers toward emergency care, clinician evaluation, or home-care instructions as appropriate. [11]</w:t>
      </w:r>
    </w:p>
    <w:p>
      <w:r>
        <w:rPr>
          <w:color w:val="777777"/>
          <w:sz w:val="16"/>
        </w:rPr>
        <w:t xml:space="preserve">p128 · att1 p.8  </w:t>
      </w:r>
      <w:r>
        <w:t>Again, the point is not that FDA should mandate any particular proprietary guideline set.</w:t>
      </w:r>
    </w:p>
    <w:p>
      <w:r>
        <w:rPr>
          <w:color w:val="777777"/>
          <w:sz w:val="16"/>
        </w:rPr>
        <w:t xml:space="preserve">p129 · att1 p.8  </w:t>
      </w:r>
      <w:r>
        <w:t>The point is: We already know how to put an evidence base behind level-of-care decisions.</w:t>
      </w:r>
    </w:p>
    <w:p>
      <w:r>
        <w:rPr>
          <w:color w:val="777777"/>
          <w:sz w:val="16"/>
        </w:rPr>
        <w:t xml:space="preserve">p130 · att1 p.8  </w:t>
      </w:r>
      <w:r>
        <w:t>AI should build upon that body of work.</w:t>
      </w:r>
    </w:p>
    <w:p>
      <w:r>
        <w:rPr>
          <w:color w:val="777777"/>
          <w:sz w:val="16"/>
        </w:rPr>
        <w:t xml:space="preserve">p131 · att1 p.8  </w:t>
      </w:r>
      <w:r>
        <w:t>It should not rediscover triage by reading the internet.</w:t>
      </w:r>
    </w:p>
    <w:p>
      <w:r>
        <w:rPr>
          <w:color w:val="777777"/>
          <w:sz w:val="16"/>
        </w:rPr>
        <w:t xml:space="preserve">p132 · att1 p.8  </w:t>
      </w:r>
      <w:r>
        <w:t>The internet contains peer-reviewed research and excellent clinical guidance.</w:t>
      </w:r>
    </w:p>
    <w:p>
      <w:r>
        <w:rPr>
          <w:color w:val="777777"/>
          <w:sz w:val="16"/>
        </w:rPr>
        <w:t xml:space="preserve">p133 · att1 p.8  </w:t>
      </w:r>
      <w:r>
        <w:t>It also contains outdated medicine, advertising, anecdotes, commercial influence, conspiracy theories, miracle cures, misinformation, and outright quackery.</w:t>
      </w:r>
    </w:p>
    <w:p>
      <w:r>
        <w:rPr>
          <w:color w:val="777777"/>
          <w:sz w:val="16"/>
        </w:rPr>
        <w:t xml:space="preserve">p134 · att1 p.8  </w:t>
      </w:r>
      <w:r>
        <w:t>Allowing an AI to independently derive safety-critical level-of-care decisions from an undifferentiated universe of information would be indefensible when curated, continuously maintained clinical evidence already exists.</w:t>
      </w:r>
    </w:p>
    <w:p>
      <w:r>
        <w:rPr>
          <w:color w:val="777777"/>
          <w:sz w:val="16"/>
        </w:rPr>
        <w:t xml:space="preserve">p135 · att1 p.8  </w:t>
      </w:r>
      <w:r>
        <w:t>For safety-critical functions such as triage, escalation, medical necessity, and appropriate setting and intensity of care, FDA should favor systems demonstrably grounded in curated, current, evidencebased clinical sources with identifiable provenance.</w:t>
      </w:r>
    </w:p>
    <w:p>
      <w:r>
        <w:rPr>
          <w:color w:val="777777"/>
          <w:sz w:val="16"/>
        </w:rPr>
        <w:t xml:space="preserve">p136 · att1 p.8  </w:t>
      </w:r>
      <w:r>
        <w:t>AI may synthesize that evidence.</w:t>
      </w:r>
    </w:p>
    <w:p>
      <w:r>
        <w:rPr>
          <w:color w:val="777777"/>
          <w:sz w:val="16"/>
        </w:rPr>
        <w:t xml:space="preserve">p137 · att1 p.8  </w:t>
      </w:r>
      <w:r>
        <w:t>AI may operationalize it.</w:t>
      </w:r>
    </w:p>
    <w:p>
      <w:r>
        <w:rPr>
          <w:color w:val="777777"/>
          <w:sz w:val="16"/>
        </w:rPr>
        <w:t xml:space="preserve">p138 · att1 p.8  </w:t>
      </w:r>
      <w:r>
        <w:t>AI may explain it.</w:t>
      </w:r>
    </w:p>
    <w:p>
      <w:r>
        <w:rPr>
          <w:color w:val="777777"/>
          <w:sz w:val="16"/>
        </w:rPr>
        <w:t xml:space="preserve">p139 · att1 p.8  </w:t>
      </w:r>
      <w:r>
        <w:t>AI may personalize its presentation.</w:t>
      </w:r>
    </w:p>
    <w:p>
      <w:r>
        <w:rPr>
          <w:color w:val="777777"/>
          <w:sz w:val="16"/>
        </w:rPr>
        <w:t xml:space="preserve">p140 · att1 p.8  </w:t>
      </w:r>
      <w:r>
        <w:t>AI may help clinicians apply it more consistently.</w:t>
      </w:r>
    </w:p>
    <w:p>
      <w:r>
        <w:rPr>
          <w:color w:val="777777"/>
          <w:sz w:val="16"/>
        </w:rPr>
        <w:t xml:space="preserve">p141 · att1 p.8  </w:t>
      </w:r>
      <w:r>
        <w:t>AI should not invent the clinical standard.</w:t>
      </w:r>
    </w:p>
    <w:p>
      <w:r>
        <w:rPr>
          <w:color w:val="777777"/>
          <w:sz w:val="16"/>
        </w:rPr>
        <w:t xml:space="preserve">p142 · att1 p.8  </w:t>
      </w:r>
      <w:r>
        <w:t>The objective is neither maximal escalation nor minimal escalation.</w:t>
      </w:r>
    </w:p>
    <w:p>
      <w:r>
        <w:rPr>
          <w:color w:val="777777"/>
          <w:sz w:val="16"/>
        </w:rPr>
        <w:t xml:space="preserve">p143 · att1 p.8  </w:t>
      </w:r>
      <w:r>
        <w:t>The objective is: the right patient receiving the right care at the right time in the right place.</w:t>
      </w:r>
    </w:p>
    <w:p>
      <w:r>
        <w:rPr>
          <w:color w:val="777777"/>
          <w:sz w:val="16"/>
        </w:rPr>
        <w:t xml:space="preserve">p144 · att1 p.8  </w:t>
      </w:r>
      <w:r>
        <w:t>III. Competency-Based Evaluation — Question 7 — Is competency benchmarking followed by clinical confirmation an appropriate framework?</w:t>
      </w:r>
    </w:p>
    <w:p>
      <w:r>
        <w:rPr>
          <w:color w:val="777777"/>
          <w:sz w:val="16"/>
        </w:rPr>
        <w:t xml:space="preserve">p145 · att1 p.8  </w:t>
      </w:r>
      <w:r>
        <w:t>Response — Yes, provided competency is defined broadly enough.</w:t>
      </w:r>
    </w:p>
    <w:p>
      <w:r>
        <w:rPr>
          <w:color w:val="777777"/>
          <w:sz w:val="16"/>
        </w:rPr>
        <w:t xml:space="preserve">p146 · att1 p.8  </w:t>
      </w:r>
      <w:r>
        <w:t>Healthcare competency cannot mean merely possessing medical knowledge or producing factually correct answers.</w:t>
      </w:r>
    </w:p>
    <w:p>
      <w:r>
        <w:rPr>
          <w:color w:val="777777"/>
          <w:sz w:val="16"/>
        </w:rPr>
        <w:t xml:space="preserve">p147 · att1 p.8  </w:t>
      </w:r>
      <w:r>
        <w:t>A patient-facing AI should demonstrate competency in at least four different domains: 1. Knowledge — Does it know the relevant clinical evidence? 2. Reasoning — Can it apply that evidence appropriately to the individual situation? 3. Recognition — Can it identify danger, uncertainty, missing information, and situations requiring escalation? 4. Restraint — Does it know when it should not act independently?</w:t>
      </w:r>
    </w:p>
    <w:p>
      <w:r>
        <w:rPr>
          <w:color w:val="777777"/>
          <w:sz w:val="16"/>
        </w:rPr>
        <w:t xml:space="preserve">p148 · att1 p.9  </w:t>
      </w:r>
      <w:r>
        <w:t>The fourth category may ultimately be among the most important.</w:t>
      </w:r>
    </w:p>
    <w:p>
      <w:r>
        <w:rPr>
          <w:color w:val="777777"/>
          <w:sz w:val="16"/>
        </w:rPr>
        <w:t xml:space="preserve">p149 · att1 p.9  </w:t>
      </w:r>
      <w:r>
        <w:t>A highly capable agentic system can potentially cause more harm, not less, if increased capability is paired with misplaced confidence or inappropriate autonomy.</w:t>
      </w:r>
    </w:p>
    <w:p>
      <w:r>
        <w:rPr>
          <w:color w:val="777777"/>
          <w:sz w:val="16"/>
        </w:rPr>
        <w:t xml:space="preserve">p150 · att1 p.9  </w:t>
      </w:r>
      <w:r>
        <w:t>FDA’s proposed competency framework appropriately includes issues such as safety-critical recognition, escalation, uncertainty, ambiguous presentation, communication, and scope boundaries.</w:t>
      </w:r>
    </w:p>
    <w:p>
      <w:r>
        <w:rPr>
          <w:color w:val="777777"/>
          <w:sz w:val="16"/>
        </w:rPr>
        <w:t xml:space="preserve">p151 · att1 p.9  </w:t>
      </w:r>
      <w:r>
        <w:t>I strongly encourage FDA to add a specific competency for: recognizing latent clinical need within apparently nonclinical or administrative interactions.</w:t>
      </w:r>
    </w:p>
    <w:p>
      <w:r>
        <w:rPr>
          <w:color w:val="777777"/>
          <w:sz w:val="16"/>
        </w:rPr>
        <w:t xml:space="preserve">p152 · att1 p.9  </w:t>
      </w:r>
      <w:r>
        <w:t>This would directly address the type of failure identified in PatientAgentBench and increasingly likely to arise as patient-facing agents gain access to scheduling, benefits, pharmacy, communications, and other healthcare tools.</w:t>
      </w:r>
    </w:p>
    <w:p>
      <w:r>
        <w:rPr>
          <w:color w:val="777777"/>
          <w:sz w:val="16"/>
        </w:rPr>
        <w:t xml:space="preserve">p153 · att1 p.9  </w:t>
      </w:r>
      <w:r>
        <w:t>Question 9 — Are the proposed competencies sufficient?</w:t>
      </w:r>
    </w:p>
    <w:p>
      <w:r>
        <w:rPr>
          <w:color w:val="777777"/>
          <w:sz w:val="16"/>
        </w:rPr>
        <w:t xml:space="preserve">p154 · att1 p.9  </w:t>
      </w:r>
      <w:r>
        <w:t>Response — FDA’s proposed competencies are an excellent foundation, but one additional competency deserves explicit treatment:</w:t>
      </w:r>
    </w:p>
    <w:p>
      <w:r>
        <w:rPr>
          <w:color w:val="777777"/>
          <w:sz w:val="16"/>
        </w:rPr>
        <w:t xml:space="preserve">p155 · att1 p.9  </w:t>
      </w:r>
      <w:r>
        <w:t>Administrative-intent versus clinical-need recognition — Patient-facing systems should be tested on whether they recognize that the literal task requested by a patient may not represent the underlying healthcare need.</w:t>
      </w:r>
    </w:p>
    <w:p>
      <w:r>
        <w:rPr>
          <w:color w:val="777777"/>
          <w:sz w:val="16"/>
        </w:rPr>
        <w:t xml:space="preserve">p156 · att1 p.9  </w:t>
      </w:r>
      <w:r>
        <w:t>A benchmark should intentionally include scenarios such as:  “Send me my insurance card.”  “How much does this prescription cost?”  “Find me a podiatrist.”  “Can I move my appointment to next month?”  “Is urgent care cheaper than the emergency room?”  “Can you cancel tomorrow’s appointment?” Each request can be entirely administrative.</w:t>
      </w:r>
    </w:p>
    <w:p>
      <w:r>
        <w:rPr>
          <w:color w:val="777777"/>
          <w:sz w:val="16"/>
        </w:rPr>
        <w:t xml:space="preserve">p157 · att1 p.9  </w:t>
      </w:r>
      <w:r>
        <w:t>Each can also conceal a potentially urgent clinical circumstance.</w:t>
      </w:r>
    </w:p>
    <w:p>
      <w:r>
        <w:rPr>
          <w:color w:val="777777"/>
          <w:sz w:val="16"/>
        </w:rPr>
        <w:t xml:space="preserve">p158 · att1 p.9  </w:t>
      </w:r>
      <w:r>
        <w:t>An AI that flawlessly completes the transaction but fails to identify a foreseeable safety issue should not receive a perfect score.</w:t>
      </w:r>
    </w:p>
    <w:p>
      <w:r>
        <w:rPr>
          <w:color w:val="777777"/>
          <w:sz w:val="16"/>
        </w:rPr>
        <w:t xml:space="preserve">p159 · att1 p.9  </w:t>
      </w:r>
      <w:r>
        <w:t>Task completion and clinical safety should therefore remain distinct metrics, and high task-completion performance must not compensate mathematically for serious failures of triage or safety recognition.</w:t>
      </w:r>
    </w:p>
    <w:p>
      <w:r>
        <w:rPr>
          <w:color w:val="777777"/>
          <w:sz w:val="16"/>
        </w:rPr>
        <w:t xml:space="preserve">p160 · att1 p.9  </w:t>
      </w:r>
      <w:r>
        <w:t>FDA should also evaluate whether the AI recognizes a fundamental feature of real-world healthcare:</w:t>
      </w:r>
    </w:p>
    <w:p>
      <w:r>
        <w:rPr>
          <w:color w:val="777777"/>
          <w:sz w:val="16"/>
        </w:rPr>
        <w:t xml:space="preserve">p161 · att1 p.9  </w:t>
      </w:r>
      <w:r>
        <w:t>AI can be extraordinarily smart without understanding human behavior.</w:t>
      </w:r>
    </w:p>
    <w:p>
      <w:r>
        <w:rPr>
          <w:color w:val="777777"/>
          <w:sz w:val="16"/>
        </w:rPr>
        <w:t xml:space="preserve">p162 · att1 p.9  </w:t>
      </w:r>
      <w:r>
        <w:t>A patient may not say, “I am afraid I am having a heart attack.”</w:t>
      </w:r>
    </w:p>
    <w:p>
      <w:r>
        <w:rPr>
          <w:color w:val="777777"/>
          <w:sz w:val="16"/>
        </w:rPr>
        <w:t xml:space="preserve">p163 · att1 p.9  </w:t>
      </w:r>
      <w:r>
        <w:t>He may ask for his insurance card.</w:t>
      </w:r>
    </w:p>
    <w:p>
      <w:r>
        <w:rPr>
          <w:color w:val="777777"/>
          <w:sz w:val="16"/>
        </w:rPr>
        <w:t xml:space="preserve">p164 · att1 p.9  </w:t>
      </w:r>
      <w:r>
        <w:t>A patient may not say, “I stopped taking my medication because I cannot afford it.”</w:t>
      </w:r>
    </w:p>
    <w:p>
      <w:r>
        <w:rPr>
          <w:color w:val="777777"/>
          <w:sz w:val="16"/>
        </w:rPr>
        <w:t xml:space="preserve">p165 · att1 p.9  </w:t>
      </w:r>
      <w:r>
        <w:t>She may ask, “How much does this prescription cost?” — A patient may not say, “I have diabetes and my foot is discolored and painful.”</w:t>
      </w:r>
    </w:p>
    <w:p>
      <w:r>
        <w:rPr>
          <w:color w:val="777777"/>
          <w:sz w:val="16"/>
        </w:rPr>
        <w:t xml:space="preserve">p166 · att1 p.9  </w:t>
      </w:r>
      <w:r>
        <w:t>He may ask for a podiatrist.</w:t>
      </w:r>
    </w:p>
    <w:p>
      <w:r>
        <w:rPr>
          <w:color w:val="777777"/>
          <w:sz w:val="16"/>
        </w:rPr>
        <w:t xml:space="preserve">p167 · att1 p.9  </w:t>
      </w:r>
      <w:r>
        <w:t>Competency testing must therefore examine whether AI can recognize when apparently simple requests warrant additional questioning before the requested action is completed and the encounter is effectively closed.</w:t>
      </w:r>
    </w:p>
    <w:p>
      <w:r>
        <w:rPr>
          <w:color w:val="777777"/>
          <w:sz w:val="16"/>
        </w:rPr>
        <w:t xml:space="preserve">p168 · att1 p.10  </w:t>
      </w:r>
      <w:r>
        <w:t>Question 10 — How can benchmarking predict real-world behavior?</w:t>
      </w:r>
    </w:p>
    <w:p>
      <w:r>
        <w:rPr>
          <w:color w:val="777777"/>
          <w:sz w:val="16"/>
        </w:rPr>
        <w:t xml:space="preserve">p169 · att1 p.10  </w:t>
      </w:r>
      <w:r>
        <w:t>Response — Benchmarks need messy humans.</w:t>
      </w:r>
    </w:p>
    <w:p>
      <w:r>
        <w:rPr>
          <w:color w:val="777777"/>
          <w:sz w:val="16"/>
        </w:rPr>
        <w:t xml:space="preserve">p170 · att1 p.10  </w:t>
      </w:r>
      <w:r>
        <w:t>Real patients do not interact with healthcare technology like board-examination questions.</w:t>
      </w:r>
    </w:p>
    <w:p>
      <w:r>
        <w:rPr>
          <w:color w:val="777777"/>
          <w:sz w:val="16"/>
        </w:rPr>
        <w:t xml:space="preserve">p171 · att1 p.10  </w:t>
      </w:r>
      <w:r>
        <w:t>They use slang. They omit facts. They misunderstand terminology. They minimize symptoms. They become embarrassed. They change their minds. They worry about money. They forget information. They rationalize delay. They ask proxy questions. They sometimes resist exactly the advice most likely to protect them.</w:t>
      </w:r>
    </w:p>
    <w:p>
      <w:r>
        <w:rPr>
          <w:color w:val="777777"/>
          <w:sz w:val="16"/>
        </w:rPr>
        <w:t xml:space="preserve">p172 · att1 p.10  </w:t>
      </w:r>
      <w:r>
        <w:t>A benchmark populated primarily with clinically explicit, complete, rational prompts will substantially overestimate the safety of patient-facing AI.</w:t>
      </w:r>
    </w:p>
    <w:p>
      <w:r>
        <w:rPr>
          <w:color w:val="777777"/>
          <w:sz w:val="16"/>
        </w:rPr>
        <w:t xml:space="preserve">p173 · att1 p.10  </w:t>
      </w:r>
      <w:r>
        <w:t>PatientAgentBench is valuable precisely because it begins to expose that distinction. Its sustained conversations and tool-use scenarios reveal failures that static question-and-answer benchmarks can miss.</w:t>
      </w:r>
    </w:p>
    <w:p>
      <w:r>
        <w:rPr>
          <w:color w:val="777777"/>
          <w:sz w:val="16"/>
        </w:rPr>
        <w:t xml:space="preserve">p174 · att1 p.10  </w:t>
      </w:r>
      <w:r>
        <w:t>FDA should encourage benchmark designs that intentionally evaluate:  indirect presentation;  incomplete information;  symptom minimization;  clinically complex patients asking routine administrative questions;  multimorbidity;  financial barriers;  health literacy;  emotional distress;  cognitive bias;  patient reluctance;  escalation resistance;  tool use;  longitudinal context; and  the difference between successfully executing an action and safely managing an encounter. Benchmarks should also test for a particularly dangerous form of AI failure:</w:t>
      </w:r>
    </w:p>
    <w:p>
      <w:r>
        <w:rPr>
          <w:color w:val="777777"/>
          <w:sz w:val="16"/>
        </w:rPr>
        <w:t xml:space="preserve">p175 · att1 p.10  </w:t>
      </w:r>
      <w:r>
        <w:t>premature closure after apparent success.</w:t>
      </w:r>
    </w:p>
    <w:p>
      <w:r>
        <w:rPr>
          <w:color w:val="777777"/>
          <w:sz w:val="16"/>
        </w:rPr>
        <w:t xml:space="preserve">p176 · att1 p.10  </w:t>
      </w:r>
      <w:r>
        <w:t>In many industries, successful completion of the requested task marks the end of the interaction.</w:t>
      </w:r>
    </w:p>
    <w:p>
      <w:r>
        <w:rPr>
          <w:color w:val="777777"/>
          <w:sz w:val="16"/>
        </w:rPr>
        <w:t xml:space="preserve">p177 · att1 p.10  </w:t>
      </w:r>
      <w:r>
        <w:t>In healthcare, that may be exactly the wrong moment to stop.</w:t>
      </w:r>
    </w:p>
    <w:p>
      <w:r>
        <w:rPr>
          <w:color w:val="777777"/>
          <w:sz w:val="16"/>
        </w:rPr>
        <w:t xml:space="preserve">p178 · att1 p.10  </w:t>
      </w:r>
      <w:r>
        <w:t>The question is not merely: “Did the AI complete the task?” — The question is:</w:t>
      </w:r>
    </w:p>
    <w:p>
      <w:r>
        <w:rPr>
          <w:color w:val="777777"/>
          <w:sz w:val="16"/>
        </w:rPr>
        <w:t xml:space="preserve">p179 · att1 p.10  </w:t>
      </w:r>
      <w:r>
        <w:t>“Did it know whether completing the task was enough?” — IV. Appropriate Clinical Comparator and Evidence Standard</w:t>
      </w:r>
    </w:p>
    <w:p>
      <w:r>
        <w:rPr>
          <w:color w:val="777777"/>
          <w:sz w:val="16"/>
        </w:rPr>
        <w:t xml:space="preserve">p180 · att1 p.10  </w:t>
      </w:r>
      <w:r>
        <w:t>Question 14 — Against what should AI performance be compared?</w:t>
      </w:r>
    </w:p>
    <w:p>
      <w:r>
        <w:rPr>
          <w:color w:val="777777"/>
          <w:sz w:val="16"/>
        </w:rPr>
        <w:t xml:space="preserve">p181 · att1 p.10  </w:t>
      </w:r>
      <w:r>
        <w:t>Response — FDA should be cautious about treating the performance of the “average” clinician as the ultimate standard against which AI is judged.</w:t>
      </w:r>
    </w:p>
    <w:p>
      <w:r>
        <w:rPr>
          <w:color w:val="777777"/>
          <w:sz w:val="16"/>
        </w:rPr>
        <w:t xml:space="preserve">p182 · att1 p.10  </w:t>
      </w:r>
      <w:r>
        <w:t>Average practice and evidence-based best practice are not necessarily the same thing.</w:t>
      </w:r>
    </w:p>
    <w:p>
      <w:r>
        <w:rPr>
          <w:color w:val="777777"/>
          <w:sz w:val="16"/>
        </w:rPr>
        <w:t xml:space="preserve">p183 · att1 p.11  </w:t>
      </w:r>
      <w:r>
        <w:t>Clinical variation exists for many reasons: differences in training, experience, local custom, available resources, cognitive bias, information overload, financial incentives, and simple lag between new evidence and widespread adoption.</w:t>
      </w:r>
    </w:p>
    <w:p>
      <w:r>
        <w:rPr>
          <w:color w:val="777777"/>
          <w:sz w:val="16"/>
        </w:rPr>
        <w:t xml:space="preserve">p184 · att1 p.11  </w:t>
      </w:r>
      <w:r>
        <w:t>Therefore: AI should not be considered safe merely because it performs as well as the average clinician if the average clinician is not consistently following the best current evidence.</w:t>
      </w:r>
    </w:p>
    <w:p>
      <w:r>
        <w:rPr>
          <w:color w:val="777777"/>
          <w:sz w:val="16"/>
        </w:rPr>
        <w:t xml:space="preserve">p185 · att1 p.11  </w:t>
      </w:r>
      <w:r>
        <w:t>The preferred comparator should generally include a current, evidence-based clinical standard.</w:t>
      </w:r>
    </w:p>
    <w:p>
      <w:r>
        <w:rPr>
          <w:color w:val="777777"/>
          <w:sz w:val="16"/>
        </w:rPr>
        <w:t xml:space="preserve">p186 · att1 p.11  </w:t>
      </w:r>
      <w:r>
        <w:t>This is an area where AI has extraordinary potential.</w:t>
      </w:r>
    </w:p>
    <w:p>
      <w:r>
        <w:rPr>
          <w:color w:val="777777"/>
          <w:sz w:val="16"/>
        </w:rPr>
        <w:t xml:space="preserve">p187 · att1 p.11  </w:t>
      </w:r>
      <w:r>
        <w:t>No individual physician, nurse practitioner, physician assistant, pharmacist, nurse, or other professional can personally remain current on every relevant study, guideline, therapeutic development, contraindication, drug interaction, diagnostic refinement, and care pathway across modern medicine.</w:t>
      </w:r>
    </w:p>
    <w:p>
      <w:r>
        <w:rPr>
          <w:color w:val="777777"/>
          <w:sz w:val="16"/>
        </w:rPr>
        <w:t xml:space="preserve">p188 · att1 p.11  </w:t>
      </w:r>
      <w:r>
        <w:t>The volume is beyond human capacity.</w:t>
      </w:r>
    </w:p>
    <w:p>
      <w:r>
        <w:rPr>
          <w:color w:val="777777"/>
          <w:sz w:val="16"/>
        </w:rPr>
        <w:t xml:space="preserve">p189 · att1 p.11  </w:t>
      </w:r>
      <w:r>
        <w:t>That does not make clinicians obsolete.</w:t>
      </w:r>
    </w:p>
    <w:p>
      <w:r>
        <w:rPr>
          <w:color w:val="777777"/>
          <w:sz w:val="16"/>
        </w:rPr>
        <w:t xml:space="preserve">p190 · att1 p.11  </w:t>
      </w:r>
      <w:r>
        <w:t>It makes AI potentially indispensable.</w:t>
      </w:r>
    </w:p>
    <w:p>
      <w:r>
        <w:rPr>
          <w:color w:val="777777"/>
          <w:sz w:val="16"/>
        </w:rPr>
        <w:t xml:space="preserve">p191 · att1 p.11  </w:t>
      </w:r>
      <w:r>
        <w:t>Good AI can help a practitioner retrieve information.</w:t>
      </w:r>
    </w:p>
    <w:p>
      <w:r>
        <w:rPr>
          <w:color w:val="777777"/>
          <w:sz w:val="16"/>
        </w:rPr>
        <w:t xml:space="preserve">p192 · att1 p.11  </w:t>
      </w:r>
      <w:r>
        <w:t>Great AI can continuously place current evidence beside human judgment and make unexplained departure from that evidence visible.</w:t>
      </w:r>
    </w:p>
    <w:p>
      <w:r>
        <w:rPr>
          <w:color w:val="777777"/>
          <w:sz w:val="16"/>
        </w:rPr>
        <w:t xml:space="preserve">p193 · att1 p.11  </w:t>
      </w:r>
      <w:r>
        <w:t>That may protect clinicians from:  anchoring;  availability bias;  outdated training;  overconfidence;  local custom;  premature closure;  excessive deference to personal experience;  and the natural human tendency to believe that expertise accumulated over many years remains sufficient by itself. There is an uncomfortable but important point here.</w:t>
      </w:r>
    </w:p>
    <w:p>
      <w:r>
        <w:rPr>
          <w:color w:val="777777"/>
          <w:sz w:val="16"/>
        </w:rPr>
        <w:t xml:space="preserve">p194 · att1 p.11  </w:t>
      </w:r>
      <w:r>
        <w:t>Professional expertise can sometimes become self-reinforcing. A highly experienced clinician may believe, “I know how to treat this,” when the evidence has changed since the practice pattern was learned.</w:t>
      </w:r>
    </w:p>
    <w:p>
      <w:r>
        <w:rPr>
          <w:color w:val="777777"/>
          <w:sz w:val="16"/>
        </w:rPr>
        <w:t xml:space="preserve">p195 · att1 p.11  </w:t>
      </w:r>
      <w:r>
        <w:t>AI can help keep that human tendency in check.</w:t>
      </w:r>
    </w:p>
    <w:p>
      <w:r>
        <w:rPr>
          <w:color w:val="777777"/>
          <w:sz w:val="16"/>
        </w:rPr>
        <w:t xml:space="preserve">p196 · att1 p.11  </w:t>
      </w:r>
      <w:r>
        <w:t>It can effectively ask: “Before we proceed, is this still what the evidence says?”</w:t>
      </w:r>
    </w:p>
    <w:p>
      <w:r>
        <w:rPr>
          <w:color w:val="777777"/>
          <w:sz w:val="16"/>
        </w:rPr>
        <w:t xml:space="preserve">p197 · att1 p.11  </w:t>
      </w:r>
      <w:r>
        <w:t>That is one of AI’s greatest potential contributions to healthcare.</w:t>
      </w:r>
    </w:p>
    <w:p>
      <w:r>
        <w:rPr>
          <w:color w:val="777777"/>
          <w:sz w:val="16"/>
        </w:rPr>
        <w:t xml:space="preserve">p198 · att1 p.11  </w:t>
      </w:r>
      <w:r>
        <w:t>FDA should therefore consider evaluation models that compare AI-supported care against: 5. the best available evidence-based standard; 6. actual current unaided practice; and 7. the performance of the human-AI team. Those three comparisons answer different and important questions.</w:t>
      </w:r>
    </w:p>
    <w:p>
      <w:r>
        <w:rPr>
          <w:color w:val="777777"/>
          <w:sz w:val="16"/>
        </w:rPr>
        <w:t xml:space="preserve">p199 · att1 p.11  </w:t>
      </w:r>
      <w:r>
        <w:t>Question 15 — Should AI sometimes be compared with what would occur without it?</w:t>
      </w:r>
    </w:p>
    <w:p>
      <w:r>
        <w:rPr>
          <w:color w:val="777777"/>
          <w:sz w:val="16"/>
        </w:rPr>
        <w:t xml:space="preserve">p200 · att1 p.11  </w:t>
      </w:r>
      <w:r>
        <w:t>Response — Yes.</w:t>
      </w:r>
    </w:p>
    <w:p>
      <w:r>
        <w:rPr>
          <w:color w:val="777777"/>
          <w:sz w:val="16"/>
        </w:rPr>
        <w:t xml:space="preserve">p201 · att1 p.12  </w:t>
      </w:r>
      <w:r>
        <w:t>FDA should understand both absolute performance and incremental improvement.</w:t>
      </w:r>
    </w:p>
    <w:p>
      <w:r>
        <w:rPr>
          <w:color w:val="777777"/>
          <w:sz w:val="16"/>
        </w:rPr>
        <w:t xml:space="preserve">p202 · att1 p.12  </w:t>
      </w:r>
      <w:r>
        <w:t>Healthcare should not reject a beneficial AI system merely because it is imperfect when the realistic alternative is slower, less consistent, less evidence-based, or unavailable.</w:t>
      </w:r>
    </w:p>
    <w:p>
      <w:r>
        <w:rPr>
          <w:color w:val="777777"/>
          <w:sz w:val="16"/>
        </w:rPr>
        <w:t xml:space="preserve">p203 · att1 p.12  </w:t>
      </w:r>
      <w:r>
        <w:t>At the same time, a system should not be treated as adequately safe merely because existing care is poor.</w:t>
      </w:r>
    </w:p>
    <w:p>
      <w:r>
        <w:rPr>
          <w:color w:val="777777"/>
          <w:sz w:val="16"/>
        </w:rPr>
        <w:t xml:space="preserve">p204 · att1 p.12  </w:t>
      </w:r>
      <w:r>
        <w:t>A useful comparison would therefore examine: 8. Evidence-based ideal — What should happen according to the best current clinical evidence? 9. Real-world baseline — What actually happens today without the AI? 10. AI-assisted pathway — What happens when the technology is introduced? This framework permits FDA to distinguish between two very different claims:</w:t>
      </w:r>
    </w:p>
    <w:p>
      <w:r>
        <w:rPr>
          <w:color w:val="777777"/>
          <w:sz w:val="16"/>
        </w:rPr>
        <w:t xml:space="preserve">p205 · att1 p.12  </w:t>
      </w:r>
      <w:r>
        <w:t>“This AI is better than what frequently happens today.” — and — “This AI meets an acceptable clinical safety standard.”</w:t>
      </w:r>
    </w:p>
    <w:p>
      <w:r>
        <w:rPr>
          <w:color w:val="777777"/>
          <w:sz w:val="16"/>
        </w:rPr>
        <w:t xml:space="preserve">p206 · att1 p.12  </w:t>
      </w:r>
      <w:r>
        <w:t>Both matter.</w:t>
      </w:r>
    </w:p>
    <w:p>
      <w:r>
        <w:rPr>
          <w:color w:val="777777"/>
          <w:sz w:val="16"/>
        </w:rPr>
        <w:t xml:space="preserve">p207 · att1 p.12  </w:t>
      </w:r>
      <w:r>
        <w:t>They are not the same.</w:t>
      </w:r>
    </w:p>
    <w:p>
      <w:r>
        <w:rPr>
          <w:color w:val="777777"/>
          <w:sz w:val="16"/>
        </w:rPr>
        <w:t xml:space="preserve">p208 · att1 p.12  </w:t>
      </w:r>
      <w:r>
        <w:t>Question 16 — Should independent third parties participate in competency-based evaluation?</w:t>
      </w:r>
    </w:p>
    <w:p>
      <w:r>
        <w:rPr>
          <w:color w:val="777777"/>
          <w:sz w:val="16"/>
        </w:rPr>
        <w:t xml:space="preserve">p209 · att1 p.12  </w:t>
      </w:r>
      <w:r>
        <w:t>Response Yes—particularly for high-impact systems.</w:t>
      </w:r>
    </w:p>
    <w:p>
      <w:r>
        <w:rPr>
          <w:color w:val="777777"/>
          <w:sz w:val="16"/>
        </w:rPr>
        <w:t xml:space="preserve">p210 · att1 p.12  </w:t>
      </w:r>
      <w:r>
        <w:t>Manufacturer self-evaluation is necessary, but it should not be the only evidence available for systems whose failures can materially affect patient safety. Qualified independent third parties can contribute sequestered benchmarks, independent clinical adjudication, reproducibility testing, and separation between development and evaluation. FDA itself identifies these as potential roles for third parties in the discussion paper. [1]</w:t>
      </w:r>
    </w:p>
    <w:p>
      <w:r>
        <w:rPr>
          <w:color w:val="777777"/>
          <w:sz w:val="16"/>
        </w:rPr>
        <w:t xml:space="preserve">p211 · att1 p.12  </w:t>
      </w:r>
      <w:r>
        <w:t>Independence should be substantive rather than nominal. At minimum, FDA should consider conflict-ofinterest disclosure, transparent methods, appropriate clinical expertise, freedom from compensation structures tied to favorable findings, protection against manufacturer cherry-picking of only favorable evaluations, and safeguards against third-party frameworks becoming barriers to competition or innovation.</w:t>
      </w:r>
    </w:p>
    <w:p>
      <w:r>
        <w:rPr>
          <w:color w:val="777777"/>
          <w:sz w:val="16"/>
        </w:rPr>
        <w:t xml:space="preserve">p212 · att1 p.12  </w:t>
      </w:r>
      <w:r>
        <w:t>V. Premarket Uncertainty and Real-World Monitoring — Question 18 — Can stronger postmarket monitoring justify greater premarket uncertainty?</w:t>
      </w:r>
    </w:p>
    <w:p>
      <w:r>
        <w:rPr>
          <w:color w:val="777777"/>
          <w:sz w:val="16"/>
        </w:rPr>
        <w:t xml:space="preserve">p213 · att1 p.12  </w:t>
      </w:r>
      <w:r>
        <w:t>Response — Sometimes, but only within reasonable limits.</w:t>
      </w:r>
    </w:p>
    <w:p>
      <w:r>
        <w:rPr>
          <w:color w:val="777777"/>
          <w:sz w:val="16"/>
        </w:rPr>
        <w:t xml:space="preserve">p214 · att1 p.12  </w:t>
      </w:r>
      <w:r>
        <w:t>Generative and agentic AI are inherently dynamic, and some performance characteristics will not be fully visible until systems interact with real patients, clinicians, environments, and workflows.</w:t>
      </w:r>
    </w:p>
    <w:p>
      <w:r>
        <w:rPr>
          <w:color w:val="777777"/>
          <w:sz w:val="16"/>
        </w:rPr>
        <w:t xml:space="preserve">p215 · att1 p.13  </w:t>
      </w:r>
      <w:r>
        <w:t>Postmarket monitoring is therefore essential.</w:t>
      </w:r>
    </w:p>
    <w:p>
      <w:r>
        <w:rPr>
          <w:color w:val="777777"/>
          <w:sz w:val="16"/>
        </w:rPr>
        <w:t xml:space="preserve">p216 · att1 p.13  </w:t>
      </w:r>
      <w:r>
        <w:t>But: Patients must not unknowingly become the clinical trial.</w:t>
      </w:r>
    </w:p>
    <w:p>
      <w:r>
        <w:rPr>
          <w:color w:val="777777"/>
          <w:sz w:val="16"/>
        </w:rPr>
        <w:t xml:space="preserve">p217 · att1 p.13  </w:t>
      </w:r>
      <w:r>
        <w:t>The amount of acceptable premarket uncertainty should shrink as:  potential harm becomes more serious;  the harm becomes less reversible;  decisions become more time-sensitive;  the AI becomes more autonomous;  qualified human review becomes less immediate;  the system interacts directly with patients;  the patient population becomes more vulnerable; or  the AI can initiate consequential actions rather than merely provide information. A system capable of influencing whether someone seeks emergency care should not enter broad clinical use with the same tolerance for uncertainty as a low-risk administrative tool.</w:t>
      </w:r>
    </w:p>
    <w:p>
      <w:r>
        <w:rPr>
          <w:color w:val="777777"/>
          <w:sz w:val="16"/>
        </w:rPr>
        <w:t xml:space="preserve">p218 · att1 p.13  </w:t>
      </w:r>
      <w:r>
        <w:t>Similarly, a system capable of autonomously denying, delaying, redirecting, or changing care requires substantially stronger evidence than one whose output is merely advisory and independently reviewed by a qualified clinician.</w:t>
      </w:r>
    </w:p>
    <w:p>
      <w:r>
        <w:rPr>
          <w:color w:val="777777"/>
          <w:sz w:val="16"/>
        </w:rPr>
        <w:t xml:space="preserve">p219 · att1 p.13  </w:t>
      </w:r>
      <w:r>
        <w:t>Innovation speed is valuable.</w:t>
      </w:r>
    </w:p>
    <w:p>
      <w:r>
        <w:rPr>
          <w:color w:val="777777"/>
          <w:sz w:val="16"/>
        </w:rPr>
        <w:t xml:space="preserve">p220 · att1 p.13  </w:t>
      </w:r>
      <w:r>
        <w:t>It is not a substitute for adequate evidence.</w:t>
      </w:r>
    </w:p>
    <w:p>
      <w:r>
        <w:rPr>
          <w:color w:val="777777"/>
          <w:sz w:val="16"/>
        </w:rPr>
        <w:t xml:space="preserve">p221 · att1 p.13  </w:t>
      </w:r>
      <w:r>
        <w:t>Question 19 — How should postmarket performance be evaluated?</w:t>
      </w:r>
    </w:p>
    <w:p>
      <w:r>
        <w:rPr>
          <w:color w:val="777777"/>
          <w:sz w:val="16"/>
        </w:rPr>
        <w:t xml:space="preserve">p222 · att1 p.13  </w:t>
      </w:r>
      <w:r>
        <w:t>Response — Postmarket monitoring should measure patient consequences, not merely model performance.</w:t>
      </w:r>
    </w:p>
    <w:p>
      <w:r>
        <w:rPr>
          <w:color w:val="777777"/>
          <w:sz w:val="16"/>
        </w:rPr>
        <w:t xml:space="preserve">p223 · att1 p.13  </w:t>
      </w:r>
      <w:r>
        <w:t>Where the use case makes it possible and appropriate, postmarket monitoring should close the loop across the full chain:</w:t>
      </w:r>
    </w:p>
    <w:p>
      <w:r>
        <w:rPr>
          <w:color w:val="777777"/>
          <w:sz w:val="16"/>
        </w:rPr>
        <w:t xml:space="preserve">p224 · att1 p.13  </w:t>
      </w:r>
      <w:r>
        <w:t>AI Output → Human Decision → Action → Care Received → Claim → Cost → Outcome</w:t>
      </w:r>
    </w:p>
    <w:p>
      <w:r>
        <w:rPr>
          <w:color w:val="777777"/>
          <w:sz w:val="16"/>
        </w:rPr>
        <w:t xml:space="preserve">p225 · att1 p.13  </w:t>
      </w:r>
      <w:r>
        <w:t>It is not enough to know what the AI recommended. Regulators and responsible organizations should be able to determine what happened because of the recommendation—whether it was followed, overridden, appealed, abandoned, changed the site or timing of care, affected cost, or was associated with a measurable outcome.</w:t>
      </w:r>
    </w:p>
    <w:p>
      <w:r>
        <w:rPr>
          <w:color w:val="777777"/>
          <w:sz w:val="16"/>
        </w:rPr>
        <w:t xml:space="preserve">p226 · att1 p.13  </w:t>
      </w:r>
      <w:r>
        <w:t>Traditional technology metrics may include:  accuracy;  uptime;  latency;  hallucination rates;  response consistency;  error rates;  and model drift. Those measures matter.</w:t>
      </w:r>
    </w:p>
    <w:p>
      <w:r>
        <w:rPr>
          <w:color w:val="777777"/>
          <w:sz w:val="16"/>
        </w:rPr>
        <w:t xml:space="preserve">p227 · att1 p.13  </w:t>
      </w:r>
      <w:r>
        <w:t>They are not enough.</w:t>
      </w:r>
    </w:p>
    <w:p>
      <w:r>
        <w:rPr>
          <w:color w:val="777777"/>
          <w:sz w:val="16"/>
        </w:rPr>
        <w:t xml:space="preserve">p228 · att1 p.13  </w:t>
      </w:r>
      <w:r>
        <w:t>Healthcare AI monitoring should also include clinically meaningful outcomes and near misses, including:</w:t>
      </w:r>
    </w:p>
    <w:p>
      <w:r>
        <w:rPr>
          <w:color w:val="777777"/>
          <w:sz w:val="16"/>
        </w:rPr>
        <w:t xml:space="preserve">p229 · att1 p.13  </w:t>
      </w:r>
      <w:r>
        <w:t> inappropriate delay in care;  failure to escalate;  inappropriate escalation;</w:t>
      </w:r>
    </w:p>
    <w:p>
      <w:r>
        <w:rPr>
          <w:color w:val="777777"/>
          <w:sz w:val="16"/>
        </w:rPr>
        <w:t xml:space="preserve">p230 · att1 p.14  </w:t>
      </w:r>
      <w:r>
        <w:t> abandoned care;  medication nonadherence following cost or coverage information;  inappropriate changes in site or level of care;  incorrect provider routing;  denial or delay of medically necessary services;  human overrides;  disagreement between AI recommendations and evidence-based pathways;  patient complaints;  clinician complaints;  adverse events;  near misses;  repeated misunderstood patient intent;  and recurring patterns in which administrative task completion precedes an adverse clinical outcome. Near misses deserve particular emphasis.</w:t>
      </w:r>
    </w:p>
    <w:p>
      <w:r>
        <w:rPr>
          <w:color w:val="777777"/>
          <w:sz w:val="16"/>
        </w:rPr>
        <w:t xml:space="preserve">p231 · att1 p.14  </w:t>
      </w:r>
      <w:r>
        <w:t>Waiting until a patient is injured or dies is a poor way to discover that an AI system has a recurring safety defect.</w:t>
      </w:r>
    </w:p>
    <w:p>
      <w:r>
        <w:rPr>
          <w:color w:val="777777"/>
          <w:sz w:val="16"/>
        </w:rPr>
        <w:t xml:space="preserve">p232 · att1 p.14  </w:t>
      </w:r>
      <w:r>
        <w:t>FDA should encourage systems that capture: “The AI almost missed this.” — as seriously as:</w:t>
      </w:r>
    </w:p>
    <w:p>
      <w:r>
        <w:rPr>
          <w:color w:val="777777"/>
          <w:sz w:val="16"/>
        </w:rPr>
        <w:t xml:space="preserve">p233 · att1 p.14  </w:t>
      </w:r>
      <w:r>
        <w:t>“The AI missed this.” — There should also be accessible mechanisms for frontline clinicians, patients, caregivers, and other users to report suspected AI-related problems.</w:t>
      </w:r>
    </w:p>
    <w:p>
      <w:r>
        <w:rPr>
          <w:color w:val="777777"/>
          <w:sz w:val="16"/>
        </w:rPr>
        <w:t xml:space="preserve">p234 · att1 p.14  </w:t>
      </w:r>
      <w:r>
        <w:t>Those reports should become part of an auditable safety-learning system rather than disappearing into ordinary customer-service channels.</w:t>
      </w:r>
    </w:p>
    <w:p>
      <w:r>
        <w:rPr>
          <w:color w:val="777777"/>
          <w:sz w:val="16"/>
        </w:rPr>
        <w:t xml:space="preserve">p235 · att1 p.14  </w:t>
      </w:r>
      <w:r>
        <w:t>Question 20 — Can AI supervise AI?</w:t>
      </w:r>
    </w:p>
    <w:p>
      <w:r>
        <w:rPr>
          <w:color w:val="777777"/>
          <w:sz w:val="16"/>
        </w:rPr>
        <w:t xml:space="preserve">p236 · att1 p.14  </w:t>
      </w:r>
      <w:r>
        <w:t>Response — Yes.</w:t>
      </w:r>
    </w:p>
    <w:p>
      <w:r>
        <w:rPr>
          <w:color w:val="777777"/>
          <w:sz w:val="16"/>
        </w:rPr>
        <w:t xml:space="preserve">p237 · att1 p.14  </w:t>
      </w:r>
      <w:r>
        <w:t>But AI cannot be permitted to become the final judge of its own safety.</w:t>
      </w:r>
    </w:p>
    <w:p>
      <w:r>
        <w:rPr>
          <w:color w:val="777777"/>
          <w:sz w:val="16"/>
        </w:rPr>
        <w:t xml:space="preserve">p238 · att1 p.14  </w:t>
      </w:r>
      <w:r>
        <w:t>A supervisory AI may be extremely useful for:  detecting anomalous outputs;  comparing recommendations against evidence-based rules;  identifying unsafe escalation patterns;  detecting model drift;  flagging inappropriate tool use;  monitoring changes in behavior after an underlying model update;  and reviewing volumes of interactions that humans could never feasibly examine individually. That is a sensible use of AI.</w:t>
      </w:r>
    </w:p>
    <w:p>
      <w:r>
        <w:rPr>
          <w:color w:val="777777"/>
          <w:sz w:val="16"/>
        </w:rPr>
        <w:t xml:space="preserve">p239 · att1 p.14  </w:t>
      </w:r>
      <w:r>
        <w:t>But the architecture must not become: AI makes the decision → AI reviews the decision → AI certifies the decision → no accountable human or organization remains.</w:t>
      </w:r>
    </w:p>
    <w:p>
      <w:r>
        <w:rPr>
          <w:color w:val="777777"/>
          <w:sz w:val="16"/>
        </w:rPr>
        <w:t xml:space="preserve">p240 · att1 p.14  </w:t>
      </w:r>
      <w:r>
        <w:t>A supervisory AI should itself be validated, monitored, auditable, and subject to human governance.</w:t>
      </w:r>
    </w:p>
    <w:p>
      <w:r>
        <w:rPr>
          <w:color w:val="777777"/>
          <w:sz w:val="16"/>
        </w:rPr>
        <w:t xml:space="preserve">p241 · att1 p.14  </w:t>
      </w:r>
      <w:r>
        <w:t>The organization deploying the system remains responsible.</w:t>
      </w:r>
    </w:p>
    <w:p>
      <w:r>
        <w:rPr>
          <w:color w:val="777777"/>
          <w:sz w:val="16"/>
        </w:rPr>
        <w:t xml:space="preserve">p242 · att1 p.14  </w:t>
      </w:r>
      <w:r>
        <w:t>The fact that one AI watched another AI does not create accountability.</w:t>
      </w:r>
    </w:p>
    <w:p>
      <w:r>
        <w:rPr>
          <w:color w:val="777777"/>
          <w:sz w:val="16"/>
        </w:rPr>
        <w:t xml:space="preserve">p243 · att1 p.15  </w:t>
      </w:r>
      <w:r>
        <w:t>It creates another layer of technology.</w:t>
      </w:r>
    </w:p>
    <w:p>
      <w:r>
        <w:rPr>
          <w:color w:val="777777"/>
          <w:sz w:val="16"/>
        </w:rPr>
        <w:t xml:space="preserve">p244 · att1 p.15  </w:t>
      </w:r>
      <w:r>
        <w:t>VI. Accountability Across the Healthcare AI Chain — Question 21 — What roles should manufacturers, clinicians, hospitals, and other parties play without diffusing accountability?</w:t>
      </w:r>
    </w:p>
    <w:p>
      <w:r>
        <w:rPr>
          <w:color w:val="777777"/>
          <w:sz w:val="16"/>
        </w:rPr>
        <w:t xml:space="preserve">p245 · att1 p.15  </w:t>
      </w:r>
      <w:r>
        <w:t>Response — FDA identifies exactly the right concern in asking how responsibility may be shared without diffusing manufacturer accountability.</w:t>
      </w:r>
    </w:p>
    <w:p>
      <w:r>
        <w:rPr>
          <w:color w:val="777777"/>
          <w:sz w:val="16"/>
        </w:rPr>
        <w:t xml:space="preserve">p246 · att1 p.15  </w:t>
      </w:r>
      <w:r>
        <w:t>The foundational principle should be simple: Shared responsibility must never become unowned responsibility.</w:t>
      </w:r>
    </w:p>
    <w:p>
      <w:r>
        <w:rPr>
          <w:color w:val="777777"/>
          <w:sz w:val="16"/>
        </w:rPr>
        <w:t xml:space="preserve">p247 · att1 p.15  </w:t>
      </w:r>
      <w:r>
        <w:t>Every organization exercising meaningful authority, control, or influence should remain accountable for the portion of the system it controls.</w:t>
      </w:r>
    </w:p>
    <w:p>
      <w:r>
        <w:rPr>
          <w:color w:val="777777"/>
          <w:sz w:val="16"/>
        </w:rPr>
        <w:t xml:space="preserve">p248 · att1 p.15  </w:t>
      </w:r>
      <w:r>
        <w:t>A manufacturer remains accountable for the performance and foreseeable failure modes of its technology.</w:t>
      </w:r>
    </w:p>
    <w:p>
      <w:r>
        <w:rPr>
          <w:color w:val="777777"/>
          <w:sz w:val="16"/>
        </w:rPr>
        <w:t xml:space="preserve">p249 · att1 p.15  </w:t>
      </w:r>
      <w:r>
        <w:t>A hospital, health plan, employer, benefits platform, pharmacy, navigation company, utilizationmanagement organization, or other deploying organization remains accountable for deciding to place that technology into a particular workflow and for the governance of its use.</w:t>
      </w:r>
    </w:p>
    <w:p>
      <w:r>
        <w:rPr>
          <w:color w:val="777777"/>
          <w:sz w:val="16"/>
        </w:rPr>
        <w:t xml:space="preserve">p250 · att1 p.15  </w:t>
      </w:r>
      <w:r>
        <w:t>A clinician remains professionally accountable where the clinician is truly exercising clinical judgment.</w:t>
      </w:r>
    </w:p>
    <w:p>
      <w:r>
        <w:rPr>
          <w:color w:val="777777"/>
          <w:sz w:val="16"/>
        </w:rPr>
        <w:t xml:space="preserve">p251 · att1 p.15  </w:t>
      </w:r>
      <w:r>
        <w:t>A foundation-model provider remains accountable for the representations it makes about the underlying technology.</w:t>
      </w:r>
    </w:p>
    <w:p>
      <w:r>
        <w:rPr>
          <w:color w:val="777777"/>
          <w:sz w:val="16"/>
        </w:rPr>
        <w:t xml:space="preserve">p252 · att1 p.15  </w:t>
      </w:r>
      <w:r>
        <w:t>Third-party vendors remain accountable for their functions.</w:t>
      </w:r>
    </w:p>
    <w:p>
      <w:r>
        <w:rPr>
          <w:color w:val="777777"/>
          <w:sz w:val="16"/>
        </w:rPr>
        <w:t xml:space="preserve">p253 · att1 p.15  </w:t>
      </w:r>
      <w:r>
        <w:t>Patients should not be made responsible for discovering failures that professionals and organizations deploying the system were better positioned to prevent.</w:t>
      </w:r>
    </w:p>
    <w:p>
      <w:r>
        <w:rPr>
          <w:color w:val="777777"/>
          <w:sz w:val="16"/>
        </w:rPr>
        <w:t xml:space="preserve">p254 · att1 p.15  </w:t>
      </w:r>
      <w:r>
        <w:t>Accountability also requires reconstructability. For consequential healthcare interactions, the responsible organization should not later be able to say, “We do not know what the AI told the patient.”</w:t>
      </w:r>
    </w:p>
    <w:p>
      <w:r>
        <w:rPr>
          <w:color w:val="777777"/>
          <w:sz w:val="16"/>
        </w:rPr>
        <w:t xml:space="preserve">p255 · att1 p.15  </w:t>
      </w:r>
      <w:r>
        <w:t>If AI said it, AI should be able to account for it.</w:t>
      </w:r>
    </w:p>
    <w:p>
      <w:r>
        <w:rPr>
          <w:color w:val="777777"/>
          <w:sz w:val="16"/>
        </w:rPr>
        <w:t xml:space="preserve">p256 · att1 p.15  </w:t>
      </w:r>
      <w:r>
        <w:t>At minimum, consequential interactions should preserve what the person communicated, what relevant information the AI possessed at the time, what the AI said or did, what evidence materially informed the response, which system and model version generated it, what uncertainty or warnings were communicated, whether escalation occurred, and what later information materially changed the advice. This does not mean every casual AI exchange belongs in a medical, employment, or insurance record; privacy, consent, retention, and access are separate governance questions.</w:t>
      </w:r>
    </w:p>
    <w:p>
      <w:r>
        <w:rPr>
          <w:color w:val="777777"/>
          <w:sz w:val="16"/>
        </w:rPr>
        <w:t xml:space="preserve">p257 · att1 p.15  </w:t>
      </w:r>
      <w:r>
        <w:t>Contracts can allocate tasks.</w:t>
      </w:r>
    </w:p>
    <w:p>
      <w:r>
        <w:rPr>
          <w:color w:val="777777"/>
          <w:sz w:val="16"/>
        </w:rPr>
        <w:t xml:space="preserve">p258 · att1 p.15  </w:t>
      </w:r>
      <w:r>
        <w:t>They should not erase accountability.</w:t>
      </w:r>
    </w:p>
    <w:p>
      <w:r>
        <w:rPr>
          <w:color w:val="777777"/>
          <w:sz w:val="16"/>
        </w:rPr>
        <w:t xml:space="preserve">p259 · att1 p.15  </w:t>
      </w:r>
      <w:r>
        <w:t>You can contract away a function. You cannot contract away accountability.</w:t>
      </w:r>
    </w:p>
    <w:p>
      <w:r>
        <w:rPr>
          <w:color w:val="777777"/>
          <w:sz w:val="16"/>
        </w:rPr>
        <w:t xml:space="preserve">p260 · att1 p.15  </w:t>
      </w:r>
      <w:r>
        <w:t>This is increasingly important because healthcare AI is rarely a single product supplied by a single entity.</w:t>
      </w:r>
    </w:p>
    <w:p>
      <w:r>
        <w:rPr>
          <w:color w:val="777777"/>
          <w:sz w:val="16"/>
        </w:rPr>
        <w:t xml:space="preserve">p261 · att1 p.15  </w:t>
      </w:r>
      <w:r>
        <w:t>The chain may include:  a foundation-model developer;  an application developer;  a data vendor;  an evidence-content vendor;  a health plan;</w:t>
      </w:r>
    </w:p>
    <w:p>
      <w:r>
        <w:rPr>
          <w:color w:val="777777"/>
          <w:sz w:val="16"/>
        </w:rPr>
        <w:t xml:space="preserve">p262 · att1 p.16  </w:t>
      </w:r>
      <w:r>
        <w:t> a utilization-management company;  a TPA;  a PBM;  an employer;  a navigation vendor;  a health system;  clinicians;  and downstream subcontractors. After an adverse patient event, regulators should never discover that everyone involved can credibly say:</w:t>
      </w:r>
    </w:p>
    <w:p>
      <w:r>
        <w:rPr>
          <w:color w:val="777777"/>
          <w:sz w:val="16"/>
        </w:rPr>
        <w:t xml:space="preserve">p263 · att1 p.16  </w:t>
      </w:r>
      <w:r>
        <w:t>“That part belonged to somebody else.” — Accountability should follow authority, control, and influence.</w:t>
      </w:r>
    </w:p>
    <w:p>
      <w:r>
        <w:rPr>
          <w:color w:val="777777"/>
          <w:sz w:val="16"/>
        </w:rPr>
        <w:t xml:space="preserve">p264 · att1 p.16  </w:t>
      </w:r>
      <w:r>
        <w:t>Question 24 — What happens when the underlying third-party foundation model changes?</w:t>
      </w:r>
    </w:p>
    <w:p>
      <w:r>
        <w:rPr>
          <w:color w:val="777777"/>
          <w:sz w:val="16"/>
        </w:rPr>
        <w:t xml:space="preserve">p265 · att1 p.16  </w:t>
      </w:r>
      <w:r>
        <w:t>Response — The organization placing an AI-enabled healthcare product into use cannot disclaim responsibility because a third-party model provider changed the underlying technology.</w:t>
      </w:r>
    </w:p>
    <w:p>
      <w:r>
        <w:rPr>
          <w:color w:val="777777"/>
          <w:sz w:val="16"/>
        </w:rPr>
        <w:t xml:space="preserve">p266 · att1 p.16  </w:t>
      </w:r>
      <w:r>
        <w:t>If a manufacturer or deployer elects to build upon an external foundation model, management of that dependency is part of the safety obligation.</w:t>
      </w:r>
    </w:p>
    <w:p>
      <w:r>
        <w:rPr>
          <w:color w:val="777777"/>
          <w:sz w:val="16"/>
        </w:rPr>
        <w:t xml:space="preserve">p267 · att1 p.16  </w:t>
      </w:r>
      <w:r>
        <w:t>At minimum, there should be mechanisms addressing:  notification of consequential model changes;  version identification;  regression testing;  revalidation of safety-critical functions;  monitoring after updates;  documentation of which version produced which output;  rollback capability where feasible;  contractual requirements concerning change notification;  and contingency planning if an underlying model is materially altered or withdrawn. The patient cannot reasonably be expected to understand that yesterday’s healthcare AI and today’s healthcare AI may share a brand name and interface while relying on meaningfully different underlying model behavior.</w:t>
      </w:r>
    </w:p>
    <w:p>
      <w:r>
        <w:rPr>
          <w:color w:val="777777"/>
          <w:sz w:val="16"/>
        </w:rPr>
        <w:t xml:space="preserve">p268 · att1 p.16  </w:t>
      </w:r>
      <w:r>
        <w:t>That is an enterprise governance issue.</w:t>
      </w:r>
    </w:p>
    <w:p>
      <w:r>
        <w:rPr>
          <w:color w:val="777777"/>
          <w:sz w:val="16"/>
        </w:rPr>
        <w:t xml:space="preserve">p269 · att1 p.16  </w:t>
      </w:r>
      <w:r>
        <w:t>Not a patient responsibility.</w:t>
      </w:r>
    </w:p>
    <w:p>
      <w:r>
        <w:rPr>
          <w:color w:val="777777"/>
          <w:sz w:val="16"/>
        </w:rPr>
        <w:t xml:space="preserve">p270 · att1 p.16  </w:t>
      </w:r>
      <w:r>
        <w:t>Again: Contracting out a technological component does not contract away responsibility for the healthcare product built upon it.</w:t>
      </w:r>
    </w:p>
    <w:p>
      <w:r>
        <w:rPr>
          <w:color w:val="777777"/>
          <w:sz w:val="16"/>
        </w:rPr>
        <w:t xml:space="preserve">p271 · att1 p.16  </w:t>
      </w:r>
      <w:r>
        <w:t>VII. Agentic AI and the Clinical-Adjacent Safety Gap — Question 26 — What additional risks arise from agentic AI?</w:t>
      </w:r>
    </w:p>
    <w:p>
      <w:r>
        <w:rPr>
          <w:color w:val="777777"/>
          <w:sz w:val="16"/>
        </w:rPr>
        <w:t xml:space="preserve">p272 · att1 p.16  </w:t>
      </w:r>
      <w:r>
        <w:t>Response — Agentic AI changes the nature of healthcare risk because it can do more than generate information.</w:t>
      </w:r>
    </w:p>
    <w:p>
      <w:r>
        <w:rPr>
          <w:color w:val="777777"/>
          <w:sz w:val="16"/>
        </w:rPr>
        <w:t xml:space="preserve">p273 · att1 p.16  </w:t>
      </w:r>
      <w:r>
        <w:t>It can act.</w:t>
      </w:r>
    </w:p>
    <w:p>
      <w:r>
        <w:rPr>
          <w:color w:val="777777"/>
          <w:sz w:val="16"/>
        </w:rPr>
        <w:t xml:space="preserve">p274 · att1 p.16  </w:t>
      </w:r>
      <w:r>
        <w:t>An agent may:  schedule an appointment;  cancel or reschedule an appointment;  identify a provider;  transmit medical or insurance information;  initiate prior authorization;  contact a patient;  communicate a coverage decision;  obtain a prescription refill;  route a person to a care setting;  select among available options;  trigger another automated system;  or execute multiple linked steps before a qualified human ever sees what occurred. The safety question therefore expands from:</w:t>
      </w:r>
    </w:p>
    <w:p>
      <w:r>
        <w:rPr>
          <w:color w:val="777777"/>
          <w:sz w:val="16"/>
        </w:rPr>
        <w:t xml:space="preserve">p275 · att1 p.17  </w:t>
      </w:r>
      <w:r>
        <w:t>“Was the answer correct?” — to: “Was the entire chain of action clinically appropriate?”</w:t>
      </w:r>
    </w:p>
    <w:p>
      <w:r>
        <w:rPr>
          <w:color w:val="777777"/>
          <w:sz w:val="16"/>
        </w:rPr>
        <w:t xml:space="preserve">p276 · att1 p.17  </w:t>
      </w:r>
      <w:r>
        <w:t>An individual step can appear reasonable while the cumulative pathway creates harm.</w:t>
      </w:r>
    </w:p>
    <w:p>
      <w:r>
        <w:rPr>
          <w:color w:val="777777"/>
          <w:sz w:val="16"/>
        </w:rPr>
        <w:t xml:space="preserve">p277 · att1 p.17  </w:t>
      </w:r>
      <w:r>
        <w:t>A scheduling agent might correctly move an appointment from tomorrow to next month.</w:t>
      </w:r>
    </w:p>
    <w:p>
      <w:r>
        <w:rPr>
          <w:color w:val="777777"/>
          <w:sz w:val="16"/>
        </w:rPr>
        <w:t xml:space="preserve">p278 · att1 p.17  </w:t>
      </w:r>
      <w:r>
        <w:t>A cost agent might correctly tell the patient that the emergency department is more expensive than urgent care.</w:t>
      </w:r>
    </w:p>
    <w:p>
      <w:r>
        <w:rPr>
          <w:color w:val="777777"/>
          <w:sz w:val="16"/>
        </w:rPr>
        <w:t xml:space="preserve">p279 · att1 p.17  </w:t>
      </w:r>
      <w:r>
        <w:t>A benefits agent might correctly say a particular specialist requires prior authorization.</w:t>
      </w:r>
    </w:p>
    <w:p>
      <w:r>
        <w:rPr>
          <w:color w:val="777777"/>
          <w:sz w:val="16"/>
        </w:rPr>
        <w:t xml:space="preserve">p280 · att1 p.17  </w:t>
      </w:r>
      <w:r>
        <w:t>A pharmacy agent might correctly report that a medication will cost several hundred dollars.</w:t>
      </w:r>
    </w:p>
    <w:p>
      <w:r>
        <w:rPr>
          <w:color w:val="777777"/>
          <w:sz w:val="16"/>
        </w:rPr>
        <w:t xml:space="preserve">p281 · att1 p.17  </w:t>
      </w:r>
      <w:r>
        <w:t>Every individual output can be factually correct.</w:t>
      </w:r>
    </w:p>
    <w:p>
      <w:r>
        <w:rPr>
          <w:color w:val="777777"/>
          <w:sz w:val="16"/>
        </w:rPr>
        <w:t xml:space="preserve">p282 · att1 p.17  </w:t>
      </w:r>
      <w:r>
        <w:t>The cumulative effect may nevertheless be delayed or abandoned care.</w:t>
      </w:r>
    </w:p>
    <w:p>
      <w:r>
        <w:rPr>
          <w:color w:val="777777"/>
          <w:sz w:val="16"/>
        </w:rPr>
        <w:t xml:space="preserve">p283 · att1 p.17  </w:t>
      </w:r>
      <w:r>
        <w:t>This is another place where regulators must remember: AI can be smart without understanding human behavior.</w:t>
      </w:r>
    </w:p>
    <w:p>
      <w:r>
        <w:rPr>
          <w:color w:val="777777"/>
          <w:sz w:val="16"/>
        </w:rPr>
        <w:t xml:space="preserve">p284 · att1 p.17  </w:t>
      </w:r>
      <w:r>
        <w:t>Humans do not necessarily interpret information rationally, disclose relevant facts voluntarily, or appreciate clinical risk accurately.</w:t>
      </w:r>
    </w:p>
    <w:p>
      <w:r>
        <w:rPr>
          <w:color w:val="777777"/>
          <w:sz w:val="16"/>
        </w:rPr>
        <w:t xml:space="preserve">p285 · att1 p.17  </w:t>
      </w:r>
      <w:r>
        <w:t>An agent capable of acting on behalf of such a human therefore needs explicit safety obligations concerning context, evidence, escalation, and restraint.</w:t>
      </w:r>
    </w:p>
    <w:p>
      <w:r>
        <w:rPr>
          <w:color w:val="777777"/>
          <w:sz w:val="16"/>
        </w:rPr>
        <w:t xml:space="preserve">p286 · att1 p.17  </w:t>
      </w:r>
      <w:r>
        <w:t>A regulatory problem beyond the medical-device boundary — Agentic healthcare AI also exposes a broader federal problem. FDA’s discussion paper expressly notes that agentic systems are increasingly used for care coordination, clinical documentation, patient outreach, and clinical workflow support, and that some or all of those functions may not be the focus of FDA’s device regulatory oversight. [1]</w:t>
      </w:r>
    </w:p>
    <w:p>
      <w:r>
        <w:rPr>
          <w:color w:val="777777"/>
          <w:sz w:val="16"/>
        </w:rPr>
        <w:t xml:space="preserve">p287 · att1 p.17  </w:t>
      </w:r>
      <w:r>
        <w:t>Some systems can materially influence clinical outcomes without appearing, at first glance, to be medical devices.</w:t>
      </w:r>
    </w:p>
    <w:p>
      <w:r>
        <w:rPr>
          <w:color w:val="777777"/>
          <w:sz w:val="16"/>
        </w:rPr>
        <w:t xml:space="preserve">p288 · att1 p.17  </w:t>
      </w:r>
      <w:r>
        <w:t>Examples include:  health-benefits navigation;  insurance navigation;  provider search;  care coordination;  scheduling;  patient outreach;</w:t>
      </w:r>
    </w:p>
    <w:p>
      <w:r>
        <w:rPr>
          <w:color w:val="777777"/>
          <w:sz w:val="16"/>
        </w:rPr>
        <w:t xml:space="preserve">p289 · att1 p.18  </w:t>
      </w:r>
      <w:r>
        <w:t> utilization-management support;  cost estimation;  pharmacy navigation;  employer health tools;  and other administrative agents. The software may be described as administrative.</w:t>
      </w:r>
    </w:p>
    <w:p>
      <w:r>
        <w:rPr>
          <w:color w:val="777777"/>
          <w:sz w:val="16"/>
        </w:rPr>
        <w:t xml:space="preserve">p290 · att1 p.18  </w:t>
      </w:r>
      <w:r>
        <w:t>The consequence may be clinical.</w:t>
      </w:r>
    </w:p>
    <w:p>
      <w:r>
        <w:rPr>
          <w:color w:val="777777"/>
          <w:sz w:val="16"/>
        </w:rPr>
        <w:t xml:space="preserve">p291 · att1 p.18  </w:t>
      </w:r>
      <w:r>
        <w:t>This creates what I would describe as a: Clinical-Adjacent AI Safety Gap — I do not suggest that FDA should simply classify every healthcare-related AI application as a medical device.</w:t>
      </w:r>
    </w:p>
    <w:p>
      <w:r>
        <w:rPr>
          <w:color w:val="777777"/>
          <w:sz w:val="16"/>
        </w:rPr>
        <w:t xml:space="preserve">p292 · att1 p.18  </w:t>
      </w:r>
      <w:r>
        <w:t>Jurisdiction matters.</w:t>
      </w:r>
    </w:p>
    <w:p>
      <w:r>
        <w:rPr>
          <w:color w:val="777777"/>
          <w:sz w:val="16"/>
        </w:rPr>
        <w:t xml:space="preserve">p293 · att1 p.18  </w:t>
      </w:r>
      <w:r>
        <w:t>But regulatory boundaries cannot be allowed to become patient-safety boundaries.</w:t>
      </w:r>
    </w:p>
    <w:p>
      <w:r>
        <w:rPr>
          <w:color w:val="777777"/>
          <w:sz w:val="16"/>
        </w:rPr>
        <w:t xml:space="preserve">p294 · att1 p.18  </w:t>
      </w:r>
      <w:r>
        <w:t>The federal government needs a coherent answer to a very basic question: Who regulates the AI that is not a medical device?</w:t>
      </w:r>
    </w:p>
    <w:p>
      <w:r>
        <w:rPr>
          <w:color w:val="777777"/>
          <w:sz w:val="16"/>
        </w:rPr>
        <w:t xml:space="preserve">p295 · att1 p.18  </w:t>
      </w:r>
      <w:r>
        <w:t>If technology can foreseeably influence whether, when, where, from whom, or what healthcare a person receives, some entity must be accountable for establishing and enforcing safety expectations proportionate to that influence.</w:t>
      </w:r>
    </w:p>
    <w:p>
      <w:r>
        <w:rPr>
          <w:color w:val="777777"/>
          <w:sz w:val="16"/>
        </w:rPr>
        <w:t xml:space="preserve">p296 · att1 p.18  </w:t>
      </w:r>
      <w:r>
        <w:t>That may require coordination among FDA, CMS, other components of HHS, FTC, state regulators, professional licensing bodies, and other authorities.</w:t>
      </w:r>
    </w:p>
    <w:p>
      <w:r>
        <w:rPr>
          <w:color w:val="777777"/>
          <w:sz w:val="16"/>
        </w:rPr>
        <w:t xml:space="preserve">p297 · att1 p.18  </w:t>
      </w:r>
      <w:r>
        <w:t>But the patient should never encounter a regulatory void merely because the technology influencing care sits between established statutory categories.</w:t>
      </w:r>
    </w:p>
    <w:p>
      <w:r>
        <w:rPr>
          <w:color w:val="777777"/>
          <w:sz w:val="16"/>
        </w:rPr>
        <w:t xml:space="preserve">p298 · att1 p.18  </w:t>
      </w:r>
      <w:r>
        <w:t>Regulate the risk created by the influence, not merely the label attached to the technology.</w:t>
      </w:r>
    </w:p>
    <w:p>
      <w:r>
        <w:rPr>
          <w:color w:val="777777"/>
          <w:sz w:val="16"/>
        </w:rPr>
        <w:t xml:space="preserve">p299 · att1 p.18  </w:t>
      </w:r>
      <w:r>
        <w:t>The regulatory perimeter should not end where the patient’s risk begins.</w:t>
      </w:r>
    </w:p>
    <w:p>
      <w:r>
        <w:rPr>
          <w:color w:val="777777"/>
          <w:sz w:val="16"/>
        </w:rPr>
        <w:t xml:space="preserve">p300 · att1 p.18  </w:t>
      </w:r>
      <w:r>
        <w:t>VIII. FDA Should Consider the Emerging Litigation and State-Law Landscape — Although litigation and state insurance regulation extend beyond FDA’s direct jurisdiction, I encourage FDA to examine them as real-world signals of where AI-related healthcare risk is already surfacing.</w:t>
      </w:r>
    </w:p>
    <w:p>
      <w:r>
        <w:rPr>
          <w:color w:val="777777"/>
          <w:sz w:val="16"/>
        </w:rPr>
        <w:t xml:space="preserve">p301 · att1 p.18  </w:t>
      </w:r>
      <w:r>
        <w:t>These developments are important because they demonstrate that concerns about algorithmic healthcare decision-making are no longer hypothetical.</w:t>
      </w:r>
    </w:p>
    <w:p>
      <w:r>
        <w:rPr>
          <w:color w:val="777777"/>
          <w:sz w:val="16"/>
        </w:rPr>
        <w:t xml:space="preserve">p302 · att1 p.18  </w:t>
      </w:r>
      <w:r>
        <w:t>Litigation involving UnitedHealth Group, UnitedHealthcare, and naviHealth has challenged the alleged use of the nH Predict model in post-acute-care coverage decisions for Medicare Advantage beneficiaries. In a 2025 order, the federal court summarized plaintiffs’ allegations that claims were denied, that some beneficiaries paid out of pocket or went without care, and that plaintiffs alleged worsening injury, illness, or death; the court also noted that UHC denied using nH Predict for coverage determinations. The court allowed breach-of-contract and implied-covenant claims to proceed after dismissing or preempting other claims, and discovery continued into 2026. [12][13]</w:t>
      </w:r>
    </w:p>
    <w:p>
      <w:r>
        <w:rPr>
          <w:color w:val="777777"/>
          <w:sz w:val="16"/>
        </w:rPr>
        <w:t xml:space="preserve">p303 · att1 p.18  </w:t>
      </w:r>
      <w:r>
        <w:t>Separate putative class actions have also challenged alleged algorithm-supported coverage decisions involving Humana’s use of nH Predict and Cigna’s PxDx process. Those cases likewise involve contested allegations, not adjudicated proof of AI-caused harm. [14][15]</w:t>
      </w:r>
    </w:p>
    <w:p>
      <w:r>
        <w:rPr>
          <w:color w:val="777777"/>
          <w:sz w:val="16"/>
        </w:rPr>
        <w:t xml:space="preserve">p304 · att1 p.18  </w:t>
      </w:r>
      <w:r>
        <w:t>These cases should not be treated as proof that every allegation is true or that AI itself caused every alleged harm.</w:t>
      </w:r>
    </w:p>
    <w:p>
      <w:r>
        <w:rPr>
          <w:color w:val="777777"/>
          <w:sz w:val="16"/>
        </w:rPr>
        <w:t xml:space="preserve">p305 · att1 p.18  </w:t>
      </w:r>
      <w:r>
        <w:t>They should be treated as warning signals about recurring governance questions:  What evidence is the algorithm using?  Is it evaluating the individual patient or relying excessively on population averages?  Can a clinician override it?  Is the clinician encouraged or discouraged from doing so?  Does the system follow current evidence-based clinical criteria?  What happens when the treating clinician disagrees?  Who is accountable?  Is the patient told that an algorithm materially influenced the decision?  Can the reasoning be reconstructed afterward? The litigation also illustrates why FDA should not examine healthcare AI solely through the traditional medical-device lens.</w:t>
      </w:r>
    </w:p>
    <w:p>
      <w:r>
        <w:rPr>
          <w:color w:val="777777"/>
          <w:sz w:val="16"/>
        </w:rPr>
        <w:t xml:space="preserve">p306 · att1 p.19  </w:t>
      </w:r>
      <w:r>
        <w:t>Algorithms can materially affect access to care through coverage and administrative decisions, even when they do not themselves diagnose or prescribe treatment.</w:t>
      </w:r>
    </w:p>
    <w:p>
      <w:r>
        <w:rPr>
          <w:color w:val="777777"/>
          <w:sz w:val="16"/>
        </w:rPr>
        <w:t xml:space="preserve">p307 · att1 p.19  </w:t>
      </w:r>
      <w:r>
        <w:t>States are already responding to this problem.</w:t>
      </w:r>
    </w:p>
    <w:p>
      <w:r>
        <w:rPr>
          <w:color w:val="777777"/>
          <w:sz w:val="16"/>
        </w:rPr>
        <w:t xml:space="preserve">p308 · att1 p.19  </w:t>
      </w:r>
      <w:r>
        <w:t>For example, Colorado enacted HB 26-1139 in 2026. Effective January 1, 2027, entities using AI in utilization review must account for medical or clinical history and the patient’s individual clinical circumstances; a denial based in whole or in part on medical necessity may not be issued solely on AI output without human review and approval by a licensed clinician, licensed physician, or other competent regulated professional. [16]</w:t>
      </w:r>
    </w:p>
    <w:p>
      <w:r>
        <w:rPr>
          <w:color w:val="777777"/>
          <w:sz w:val="16"/>
        </w:rPr>
        <w:t xml:space="preserve">p309 · att1 p.19  </w:t>
      </w:r>
      <w:r>
        <w:t>The wider state-policy landscape is also moving quickly. Texas enacted SB 815 in 2025, prohibiting a utilization-review agent from using an automated decision system to make, wholly or partly, an adverse determination for plans issued or renewed on or after January 1, 2026. Texas also enacted HB 149, which requires disclosure when AI is used in relation to health-care services or treatment. [17][18]</w:t>
      </w:r>
    </w:p>
    <w:p>
      <w:r>
        <w:rPr>
          <w:color w:val="777777"/>
          <w:sz w:val="16"/>
        </w:rPr>
        <w:t xml:space="preserve">p310 · att1 p.19  </w:t>
      </w:r>
      <w:r>
        <w:t>Professional organizations are also tracking a substantial 2026 state trend toward human review of insurance coverage denials and restrictions on determinations made solely by AI; the American College of Radiology identified multiple such bills across several states in March 2026. [19]</w:t>
      </w:r>
    </w:p>
    <w:p>
      <w:r>
        <w:rPr>
          <w:color w:val="777777"/>
          <w:sz w:val="16"/>
        </w:rPr>
        <w:t xml:space="preserve">p311 · att1 p.19  </w:t>
      </w:r>
      <w:r>
        <w:t>FDA does not need to duplicate state insurance regulation.</w:t>
      </w:r>
    </w:p>
    <w:p>
      <w:r>
        <w:rPr>
          <w:color w:val="777777"/>
          <w:sz w:val="16"/>
        </w:rPr>
        <w:t xml:space="preserve">p312 · att1 p.19  </w:t>
      </w:r>
      <w:r>
        <w:t>But it should study what these states are seeing.</w:t>
      </w:r>
    </w:p>
    <w:p>
      <w:r>
        <w:rPr>
          <w:color w:val="777777"/>
          <w:sz w:val="16"/>
        </w:rPr>
        <w:t xml:space="preserve">p313 · att1 p.19  </w:t>
      </w:r>
      <w:r>
        <w:t>When courts, legislatures, regulators, clinicians, and patients all begin reacting to the same emerging class of risks, that is useful postmarket intelligence—even when the affected technology does not sit squarely inside FDA’s jurisdiction.</w:t>
      </w:r>
    </w:p>
    <w:p>
      <w:r>
        <w:rPr>
          <w:color w:val="777777"/>
          <w:sz w:val="16"/>
        </w:rPr>
        <w:t xml:space="preserve">p314 · att1 p.19  </w:t>
      </w:r>
      <w:r>
        <w:t>FDA should consider establishing a structured mechanism for monitoring healthcare-AI developments outside traditional adverse-event reporting, including:</w:t>
      </w:r>
    </w:p>
    <w:p>
      <w:r>
        <w:rPr>
          <w:color w:val="777777"/>
          <w:sz w:val="16"/>
        </w:rPr>
        <w:t xml:space="preserve">p315 · att1 p.19  </w:t>
      </w:r>
      <w:r>
        <w:t> significant litigation alleging AI-related patient harm;  state statutes and regulations;  medical-board actions involving AI;  insurer and utilization-management regulation;  major patient-safety investigations;  congressional findings;  and credible peer-reviewed evaluations of deployed AI systems. This would allow FDA to identify patterns occurring at the edges of its jurisdiction and determine when those patterns should inform device guidance, interagency coordination, or future federal policy.</w:t>
      </w:r>
    </w:p>
    <w:p>
      <w:r>
        <w:rPr>
          <w:color w:val="777777"/>
          <w:sz w:val="16"/>
        </w:rPr>
        <w:t xml:space="preserve">p316 · att1 p.19  </w:t>
      </w:r>
      <w:r>
        <w:t>The UnitedHealth litigation provides one particularly relevant example. In March 2026, the federal court granted in part and denied in part a motion to compel, requiring broader discovery concerning the alleged use and operation of nH Predict while denying some requests. [13]</w:t>
      </w:r>
    </w:p>
    <w:p>
      <w:r>
        <w:rPr>
          <w:color w:val="777777"/>
          <w:sz w:val="16"/>
        </w:rPr>
        <w:t xml:space="preserve">p317 · att1 p.19  </w:t>
      </w:r>
      <w:r>
        <w:t>The point is not that FDA should adjudicate those claims.</w:t>
      </w:r>
    </w:p>
    <w:p>
      <w:r>
        <w:rPr>
          <w:color w:val="777777"/>
          <w:sz w:val="16"/>
        </w:rPr>
        <w:t xml:space="preserve">p318 · att1 p.19  </w:t>
      </w:r>
      <w:r>
        <w:t>The point is that someone evaluating the safety of healthcare AI should be watching them.</w:t>
      </w:r>
    </w:p>
    <w:p>
      <w:r>
        <w:rPr>
          <w:color w:val="777777"/>
          <w:sz w:val="16"/>
        </w:rPr>
        <w:t xml:space="preserve">p319 · att1 p.20  </w:t>
      </w:r>
      <w:r>
        <w:t>And FDA should not assume that the most important lessons about healthcare AI safety will originate only inside FDA-regulated medical-device adverse-event systems.</w:t>
      </w:r>
    </w:p>
    <w:p>
      <w:r>
        <w:rPr>
          <w:color w:val="777777"/>
          <w:sz w:val="16"/>
        </w:rPr>
        <w:t xml:space="preserve">p320 · att1 p.20  </w:t>
      </w:r>
      <w:r>
        <w:t>IX. Additional Questions Where We Offer Targeted Comment — Question 4 — How should risk be assessed when AI provides specialist-level information to a nonspecialist clinician?</w:t>
      </w:r>
    </w:p>
    <w:p>
      <w:r>
        <w:rPr>
          <w:color w:val="777777"/>
          <w:sz w:val="16"/>
        </w:rPr>
        <w:t xml:space="preserve">p321 · att1 p.20  </w:t>
      </w:r>
      <w:r>
        <w:t>Response — AI has enormous potential to move knowledge rather than move patients.</w:t>
      </w:r>
    </w:p>
    <w:p>
      <w:r>
        <w:rPr>
          <w:color w:val="777777"/>
          <w:sz w:val="16"/>
        </w:rPr>
        <w:t xml:space="preserve">p322 · att1 p.20  </w:t>
      </w:r>
      <w:r>
        <w:t>A generalist should not always need to send a patient elsewhere merely because the relevant expertise is concentrated elsewhere.</w:t>
      </w:r>
    </w:p>
    <w:p>
      <w:r>
        <w:rPr>
          <w:color w:val="777777"/>
          <w:sz w:val="16"/>
        </w:rPr>
        <w:t xml:space="preserve">p323 · att1 p.20  </w:t>
      </w:r>
      <w:r>
        <w:t>AI can help democratize specialist-level knowledge and make current evidence available at the point of care.</w:t>
      </w:r>
    </w:p>
    <w:p>
      <w:r>
        <w:rPr>
          <w:color w:val="777777"/>
          <w:sz w:val="16"/>
        </w:rPr>
        <w:t xml:space="preserve">p324 · att1 p.20  </w:t>
      </w:r>
      <w:r>
        <w:t>But the safety standard cannot simply be: “The AI gave the generalist access to specialist information.”</w:t>
      </w:r>
    </w:p>
    <w:p>
      <w:r>
        <w:rPr>
          <w:color w:val="777777"/>
          <w:sz w:val="16"/>
        </w:rPr>
        <w:t xml:space="preserve">p325 · att1 p.20  </w:t>
      </w:r>
      <w:r>
        <w:t>The important questions are:  Was the information grounded in current evidence?  Did the AI correctly recognize the limits of generalist practice?  Did it identify when specialist involvement was actually necessary?  Did it distinguish between a case that could safely remain with the generalist and one that required escalation?  Did the clinician understand the degree of uncertainty?  Was there an appropriate mechanism for specialist review when needed? The objective should be to move the knowledge, not automatically move the patient—while preserving appropriate escalation when specialized expertise is genuinely required.</w:t>
      </w:r>
    </w:p>
    <w:p>
      <w:r>
        <w:rPr>
          <w:color w:val="777777"/>
          <w:sz w:val="16"/>
        </w:rPr>
        <w:t xml:space="preserve">p326 · att1 p.20  </w:t>
      </w:r>
      <w:r>
        <w:t>AI can make expertise more portable.</w:t>
      </w:r>
    </w:p>
    <w:p>
      <w:r>
        <w:rPr>
          <w:color w:val="777777"/>
          <w:sz w:val="16"/>
        </w:rPr>
        <w:t xml:space="preserve">p327 · att1 p.20  </w:t>
      </w:r>
      <w:r>
        <w:t>It should not create false equivalence between access to specialist information and actual specialist competency.</w:t>
      </w:r>
    </w:p>
    <w:p>
      <w:r>
        <w:rPr>
          <w:color w:val="777777"/>
          <w:sz w:val="16"/>
        </w:rPr>
        <w:t xml:space="preserve">p328 · att1 p.20  </w:t>
      </w:r>
      <w:r>
        <w:t>Question 8 — How should risk influence the amount of premarket evidence required?</w:t>
      </w:r>
    </w:p>
    <w:p>
      <w:r>
        <w:rPr>
          <w:color w:val="777777"/>
          <w:sz w:val="16"/>
        </w:rPr>
        <w:t xml:space="preserve">p329 · att1 p.20  </w:t>
      </w:r>
      <w:r>
        <w:t>Response — Premarket evidence requirements should increase with the foreseeable consequence of failure, but the risk framework itself must be broad enough to capture the ways healthcare AI can actually harm people.</w:t>
      </w:r>
    </w:p>
    <w:p>
      <w:r>
        <w:rPr>
          <w:color w:val="777777"/>
          <w:sz w:val="16"/>
        </w:rPr>
        <w:t xml:space="preserve">p330 · att1 p.20  </w:t>
      </w:r>
      <w:r>
        <w:t>As discussed above, risk should not be limited to incorrect output.</w:t>
      </w:r>
    </w:p>
    <w:p>
      <w:r>
        <w:rPr>
          <w:color w:val="777777"/>
          <w:sz w:val="16"/>
        </w:rPr>
        <w:t xml:space="preserve">p331 · att1 p.20  </w:t>
      </w:r>
      <w:r>
        <w:t>FDA should also consider:  omission;  failure to recognize latent clinical need;  inappropriate delay;  inability to identify urgent circumstances;  inappropriate escalation;  autonomous action;  lack of meaningful human review;  and the degree to which the system can influence patient behavior or access to care. A patient-facing system that can influence whether someone seeks emergency evaluation should require more rigorous evidence than an AI that reformats documentation.</w:t>
      </w:r>
    </w:p>
    <w:p>
      <w:r>
        <w:rPr>
          <w:color w:val="777777"/>
          <w:sz w:val="16"/>
        </w:rPr>
        <w:t xml:space="preserve">p332 · att1 p.21  </w:t>
      </w:r>
      <w:r>
        <w:t>A system that can initiate or deny consequential actions should require more evidence than one that merely assists a qualified professional who independently reviews the recommendation.</w:t>
      </w:r>
    </w:p>
    <w:p>
      <w:r>
        <w:rPr>
          <w:color w:val="777777"/>
          <w:sz w:val="16"/>
        </w:rPr>
        <w:t xml:space="preserve">p333 · att1 p.21  </w:t>
      </w:r>
      <w:r>
        <w:t>The governing principle should be simple: The greater the foreseeable clinical influence, the greater the burden of demonstrating safety.</w:t>
      </w:r>
    </w:p>
    <w:p>
      <w:r>
        <w:rPr>
          <w:color w:val="777777"/>
          <w:sz w:val="16"/>
        </w:rPr>
        <w:t xml:space="preserve">p334 · att1 p.21  </w:t>
      </w:r>
      <w:r>
        <w:t>Question 11 — When should clinical confirmation include prospective testing with real patients?</w:t>
      </w:r>
    </w:p>
    <w:p>
      <w:r>
        <w:rPr>
          <w:color w:val="777777"/>
          <w:sz w:val="16"/>
        </w:rPr>
        <w:t xml:space="preserve">p335 · att1 p.21  </w:t>
      </w:r>
      <w:r>
        <w:t>Response — FDA should require stronger real-world confirmation as systems become more patient-facing, more autonomous, more consequential, and less subject to immediate qualified human review.</w:t>
      </w:r>
    </w:p>
    <w:p>
      <w:r>
        <w:rPr>
          <w:color w:val="777777"/>
          <w:sz w:val="16"/>
        </w:rPr>
        <w:t xml:space="preserve">p336 · att1 p.21  </w:t>
      </w:r>
      <w:r>
        <w:t>Prospective testing becomes especially important when AI can:  influence emergency or urgent-care decisions;  independently interact with patients;  triage symptoms;  initiate treatment-related actions;  redirect care;  affect medication access;  influence whether a patient seeks care at all;  or carry out multiple actions before human review. There is an important difference between testing whether an AI can answer a clinical vignette correctly and testing whether it can safely interact with an actual human being who is frightened, distracted, medically unsophisticated, minimizing symptoms, worried about cost, or asking the wrong question.</w:t>
      </w:r>
    </w:p>
    <w:p>
      <w:r>
        <w:rPr>
          <w:color w:val="777777"/>
          <w:sz w:val="16"/>
        </w:rPr>
        <w:t xml:space="preserve">p337 · att1 p.21  </w:t>
      </w:r>
      <w:r>
        <w:t>That difference is precisely why some patient-facing technologies should require prospective human interaction testing rather than relying entirely upon static benchmark performance.</w:t>
      </w:r>
    </w:p>
    <w:p>
      <w:r>
        <w:rPr>
          <w:color w:val="777777"/>
          <w:sz w:val="16"/>
        </w:rPr>
        <w:t xml:space="preserve">p338 · att1 p.21  </w:t>
      </w:r>
      <w:r>
        <w:t>Question 13 — Where is synthetic data useful, and where might it be inadequate?</w:t>
      </w:r>
    </w:p>
    <w:p>
      <w:r>
        <w:rPr>
          <w:color w:val="777777"/>
          <w:sz w:val="16"/>
        </w:rPr>
        <w:t xml:space="preserve">p339 · att1 p.21  </w:t>
      </w:r>
      <w:r>
        <w:t>Response — Synthetic data can be extremely useful for expanding testing, constructing rare scenarios, protecting privacy, and deliberately challenging systems with high-risk situations that would be difficult or unethical to recreate prospectively.</w:t>
      </w:r>
    </w:p>
    <w:p>
      <w:r>
        <w:rPr>
          <w:color w:val="777777"/>
          <w:sz w:val="16"/>
        </w:rPr>
        <w:t xml:space="preserve">p340 · att1 p.21  </w:t>
      </w:r>
      <w:r>
        <w:t>But synthetic patients can also become too rational, too complete, and too clinically tidy.</w:t>
      </w:r>
    </w:p>
    <w:p>
      <w:r>
        <w:rPr>
          <w:color w:val="777777"/>
          <w:sz w:val="16"/>
        </w:rPr>
        <w:t xml:space="preserve">p341 · att1 p.21  </w:t>
      </w:r>
      <w:r>
        <w:t>That is especially dangerous in patient-facing AI evaluation.</w:t>
      </w:r>
    </w:p>
    <w:p>
      <w:r>
        <w:rPr>
          <w:color w:val="777777"/>
          <w:sz w:val="16"/>
        </w:rPr>
        <w:t xml:space="preserve">p342 · att1 p.21  </w:t>
      </w:r>
      <w:r>
        <w:t>A synthetic case generator may create the classic textbook presentation of myocardial infarction.</w:t>
      </w:r>
    </w:p>
    <w:p>
      <w:r>
        <w:rPr>
          <w:color w:val="777777"/>
          <w:sz w:val="16"/>
        </w:rPr>
        <w:t xml:space="preserve">p343 · att1 p.21  </w:t>
      </w:r>
      <w:r>
        <w:t>The real patient may say: “I ate too much pizza and have awful heartburn. Can you send me my insurance card?”</w:t>
      </w:r>
    </w:p>
    <w:p>
      <w:r>
        <w:rPr>
          <w:color w:val="777777"/>
          <w:sz w:val="16"/>
        </w:rPr>
        <w:t xml:space="preserve">p344 · att1 p.21  </w:t>
      </w:r>
      <w:r>
        <w:t>If synthetic testing reproduces what clinicians expect patients to say rather than how patients actually behave, the benchmark may systematically miss the very failures most likely to harm people.</w:t>
      </w:r>
    </w:p>
    <w:p>
      <w:r>
        <w:rPr>
          <w:color w:val="777777"/>
          <w:sz w:val="16"/>
        </w:rPr>
        <w:t xml:space="preserve">p345 · att1 p.21  </w:t>
      </w:r>
      <w:r>
        <w:t>Synthetic evaluation should therefore deliberately model:  incomplete disclosure;  symptom minimization;  contradictory information;  low health literacy;  financial concern;  avoidance;  emotional distress;  culturally varied descriptions of symptoms;</w:t>
      </w:r>
    </w:p>
    <w:p>
      <w:r>
        <w:rPr>
          <w:color w:val="777777"/>
          <w:sz w:val="16"/>
        </w:rPr>
        <w:t xml:space="preserve">p346 · att1 p.22  </w:t>
      </w:r>
      <w:r>
        <w:t> multimorbidity;  atypical presentation;  and administrative proxy questions concealing clinical need. FDA should also consider whether synthetic datasets reproduce the biases and assumptions of the models that generate them.</w:t>
      </w:r>
    </w:p>
    <w:p>
      <w:r>
        <w:rPr>
          <w:color w:val="777777"/>
          <w:sz w:val="16"/>
        </w:rPr>
        <w:t xml:space="preserve">p347 · att1 p.22  </w:t>
      </w:r>
      <w:r>
        <w:t>Synthetic data can strengthen safety evaluation.</w:t>
      </w:r>
    </w:p>
    <w:p>
      <w:r>
        <w:rPr>
          <w:color w:val="777777"/>
          <w:sz w:val="16"/>
        </w:rPr>
        <w:t xml:space="preserve">p348 · att1 p.22  </w:t>
      </w:r>
      <w:r>
        <w:t>It should not replace genuine real-world human behavior.</w:t>
      </w:r>
    </w:p>
    <w:p>
      <w:r>
        <w:rPr>
          <w:color w:val="777777"/>
          <w:sz w:val="16"/>
        </w:rPr>
        <w:t xml:space="preserve">p349 · att1 p.22  </w:t>
      </w:r>
      <w:r>
        <w:t>Question 22 — How much re-testing is necessary after AI changes?</w:t>
      </w:r>
    </w:p>
    <w:p>
      <w:r>
        <w:rPr>
          <w:color w:val="777777"/>
          <w:sz w:val="16"/>
        </w:rPr>
        <w:t xml:space="preserve">p350 · att1 p.22  </w:t>
      </w:r>
      <w:r>
        <w:t>Response — The amount of re-testing should depend upon whether the change could alter a safety-critical behavior.</w:t>
      </w:r>
    </w:p>
    <w:p>
      <w:r>
        <w:rPr>
          <w:color w:val="777777"/>
          <w:sz w:val="16"/>
        </w:rPr>
        <w:t xml:space="preserve">p351 · att1 p.22  </w:t>
      </w:r>
      <w:r>
        <w:t>Not all changes are equally consequential.</w:t>
      </w:r>
    </w:p>
    <w:p>
      <w:r>
        <w:rPr>
          <w:color w:val="777777"/>
          <w:sz w:val="16"/>
        </w:rPr>
        <w:t xml:space="preserve">p352 · att1 p.22  </w:t>
      </w:r>
      <w:r>
        <w:t>Changes affecting formatting or tone may have relatively modest implications.</w:t>
      </w:r>
    </w:p>
    <w:p>
      <w:r>
        <w:rPr>
          <w:color w:val="777777"/>
          <w:sz w:val="16"/>
        </w:rPr>
        <w:t xml:space="preserve">p353 · att1 p.22  </w:t>
      </w:r>
      <w:r>
        <w:t>Changes affecting any of the following should trigger more substantial reassessment:  triage;  escalation;  refusal behavior;  clinical recommendations;  medical-necessity reasoning;  level-of-care determinations;  patient-facing communication of risk;  tool use;  autonomy;  underlying clinical evidence;  interpretation of symptoms;  thresholds for human intervention;  or the system’s willingness to act in the presence of uncertainty. FDA should pay particular attention to changes that are technically small but behaviorally large.</w:t>
      </w:r>
    </w:p>
    <w:p>
      <w:r>
        <w:rPr>
          <w:color w:val="777777"/>
          <w:sz w:val="16"/>
        </w:rPr>
        <w:t xml:space="preserve">p354 · att1 p.22  </w:t>
      </w:r>
      <w:r>
        <w:t>A seemingly minor model update that changes how often a system escalates chest-pain complaints or how confidently it reassures patients could be clinically significant even if overall benchmark performance appears unchanged.</w:t>
      </w:r>
    </w:p>
    <w:p>
      <w:r>
        <w:rPr>
          <w:color w:val="777777"/>
          <w:sz w:val="16"/>
        </w:rPr>
        <w:t xml:space="preserve">p355 · att1 p.22  </w:t>
      </w:r>
      <w:r>
        <w:t>Safety-critical behavior should be treated as a protected function.</w:t>
      </w:r>
    </w:p>
    <w:p>
      <w:r>
        <w:rPr>
          <w:color w:val="777777"/>
          <w:sz w:val="16"/>
        </w:rPr>
        <w:t xml:space="preserve">p356 · att1 p.22  </w:t>
      </w:r>
      <w:r>
        <w:t>Changes capable of altering that behavior warrant renewed validation.</w:t>
      </w:r>
    </w:p>
    <w:p>
      <w:r>
        <w:rPr>
          <w:color w:val="777777"/>
          <w:sz w:val="16"/>
        </w:rPr>
        <w:t xml:space="preserve">p357 · att1 p.22  </w:t>
      </w:r>
      <w:r>
        <w:t>Question 23 — How should FDA address future AI modifications that cannot be fully predicted in advance?</w:t>
      </w:r>
    </w:p>
    <w:p>
      <w:r>
        <w:rPr>
          <w:color w:val="777777"/>
          <w:sz w:val="16"/>
        </w:rPr>
        <w:t xml:space="preserve">p358 · att1 p.22  </w:t>
      </w:r>
      <w:r>
        <w:t>Response — If future changes cannot be predicted precisely, regulators should define the safety properties that must remain invariant even as the technology evolves.</w:t>
      </w:r>
    </w:p>
    <w:p>
      <w:r>
        <w:rPr>
          <w:color w:val="777777"/>
          <w:sz w:val="16"/>
        </w:rPr>
        <w:t xml:space="preserve">p359 · att1 p.22  </w:t>
      </w:r>
      <w:r>
        <w:t>Those safety invariants should include, where relevant:  grounding in current evidence;  appropriate clinical escalation;  preservation of human override;  auditability;  provenance;  appropriate uncertainty communication;</w:t>
      </w:r>
    </w:p>
    <w:p>
      <w:r>
        <w:rPr>
          <w:color w:val="777777"/>
          <w:sz w:val="16"/>
        </w:rPr>
        <w:t xml:space="preserve">p360 · att1 p.23  </w:t>
      </w:r>
      <w:r>
        <w:t> reliable detection of safety-critical conditions;  maintenance of validated level-of-care logic;  and continued ability to reconstruct consequential decisions after the fact. A manufacturer may not be able to predict every future capability.</w:t>
      </w:r>
    </w:p>
    <w:p>
      <w:r>
        <w:rPr>
          <w:color w:val="777777"/>
          <w:sz w:val="16"/>
        </w:rPr>
        <w:t xml:space="preserve">p361 · att1 p.23  </w:t>
      </w:r>
      <w:r>
        <w:t>It should nevertheless be able to say: “Regardless of how the system evolves, these safety constraints cannot disappear without revalidation.”</w:t>
      </w:r>
    </w:p>
    <w:p>
      <w:r>
        <w:rPr>
          <w:color w:val="777777"/>
          <w:sz w:val="16"/>
        </w:rPr>
        <w:t xml:space="preserve">p362 · att1 p.23  </w:t>
      </w:r>
      <w:r>
        <w:t>That is especially important for adaptive or agentic systems whose future behaviors may emerge from combinations of tools and capabilities that were not fully anticipated at initial approval.</w:t>
      </w:r>
    </w:p>
    <w:p>
      <w:r>
        <w:rPr>
          <w:color w:val="777777"/>
          <w:sz w:val="16"/>
        </w:rPr>
        <w:t xml:space="preserve">p363 · att1 p.23  </w:t>
      </w:r>
      <w:r>
        <w:t>Question 25 — Should FDA establish voluntary Foundation Model Device Master Files (MAFs)?</w:t>
      </w:r>
    </w:p>
    <w:p>
      <w:r>
        <w:rPr>
          <w:color w:val="777777"/>
          <w:sz w:val="16"/>
        </w:rPr>
        <w:t xml:space="preserve">p364 · att1 p.23  </w:t>
      </w:r>
      <w:r>
        <w:t>Response — FDA’s proposed voluntary Foundation Model Device Master File (MAF) concept could improve efficiency and reduce duplication if it allows FDA to evaluate important characteristics of an underlying foundation model once and permit downstream manufacturers to reference appropriate information in individual premarket submissions. [1]</w:t>
      </w:r>
    </w:p>
    <w:p>
      <w:r>
        <w:rPr>
          <w:color w:val="777777"/>
          <w:sz w:val="16"/>
        </w:rPr>
        <w:t xml:space="preserve">p365 · att1 p.23  </w:t>
      </w:r>
      <w:r>
        <w:t>But voluntary transparency should not become a substitute for required safety information where downstream patient safety depends upon it.</w:t>
      </w:r>
    </w:p>
    <w:p>
      <w:r>
        <w:rPr>
          <w:color w:val="777777"/>
          <w:sz w:val="16"/>
        </w:rPr>
        <w:t xml:space="preserve">p366 · att1 p.23  </w:t>
      </w:r>
      <w:r>
        <w:t>If a medical-device developer builds upon a third-party foundation model, the developer still remains responsible for demonstrating that its own product is safe and effective for its intended use.</w:t>
      </w:r>
    </w:p>
    <w:p>
      <w:r>
        <w:rPr>
          <w:color w:val="777777"/>
          <w:sz w:val="16"/>
        </w:rPr>
        <w:t xml:space="preserve">p367 · att1 p.23  </w:t>
      </w:r>
      <w:r>
        <w:t>FDA should also be cautious about creating a framework in which downstream developers can say:</w:t>
      </w:r>
    </w:p>
    <w:p>
      <w:r>
        <w:rPr>
          <w:color w:val="777777"/>
          <w:sz w:val="16"/>
        </w:rPr>
        <w:t xml:space="preserve">p368 · att1 p.23  </w:t>
      </w:r>
      <w:r>
        <w:t>“We relied upon the foundation-model developer’s file.” — The existence of a Master File should not diffuse accountability.</w:t>
      </w:r>
    </w:p>
    <w:p>
      <w:r>
        <w:rPr>
          <w:color w:val="777777"/>
          <w:sz w:val="16"/>
        </w:rPr>
        <w:t xml:space="preserve">p369 · att1 p.23  </w:t>
      </w:r>
      <w:r>
        <w:t>There should be clarity regarding:  what information the foundation-model developer is responsible for;  what the downstream manufacturer must independently validate;  how model changes are communicated;  when changes invalidate prior reliance;  and who is responsible when the interaction between the foundation model and the downstream application creates unexpected risk. The central principle should remain:</w:t>
      </w:r>
    </w:p>
    <w:p>
      <w:r>
        <w:rPr>
          <w:color w:val="777777"/>
          <w:sz w:val="16"/>
        </w:rPr>
        <w:t xml:space="preserve">p370 · att1 p.23  </w:t>
      </w:r>
      <w:r>
        <w:t>Shared technical infrastructure does not eliminate product-level accountability.</w:t>
      </w:r>
    </w:p>
    <w:p>
      <w:r>
        <w:rPr>
          <w:color w:val="777777"/>
          <w:sz w:val="16"/>
        </w:rPr>
        <w:t xml:space="preserve">p371 · att1 p.23  </w:t>
      </w:r>
      <w:r>
        <w:t>X. Questions Where We Do Not Offer Detailed Technical Comment — Question 12 — Statistical methods for evaluating performance using real and synthetic data</w:t>
      </w:r>
    </w:p>
    <w:p>
      <w:r>
        <w:rPr>
          <w:color w:val="777777"/>
          <w:sz w:val="16"/>
        </w:rPr>
        <w:t xml:space="preserve">p372 · att1 p.23  </w:t>
      </w:r>
      <w:r>
        <w:t>I defer to statisticians, clinical-trial methodologists, and other experts regarding the appropriate statistical design, sample sizes, confidence intervals, and methods for combining synthetic and realworld data.</w:t>
      </w:r>
    </w:p>
    <w:p>
      <w:r>
        <w:rPr>
          <w:color w:val="777777"/>
          <w:sz w:val="16"/>
        </w:rPr>
        <w:t xml:space="preserve">p373 · att1 p.23  </w:t>
      </w:r>
      <w:r>
        <w:t>I would only reiterate that statistical rigor cannot compensate for choosing the wrong outcome measure.</w:t>
      </w:r>
    </w:p>
    <w:p>
      <w:r>
        <w:rPr>
          <w:color w:val="777777"/>
          <w:sz w:val="16"/>
        </w:rPr>
        <w:t xml:space="preserve">p374 · att1 p.23  </w:t>
      </w:r>
      <w:r>
        <w:t>If the system is judged primarily on task completion or answer accuracy, a statistically impeccable study may still fail to measure whether the AI safely recognized urgency, latent clinical need, or appropriate escalation.</w:t>
      </w:r>
    </w:p>
    <w:p>
      <w:r>
        <w:rPr>
          <w:color w:val="777777"/>
          <w:sz w:val="16"/>
        </w:rPr>
        <w:t xml:space="preserve">p375 · att1 p.24  </w:t>
      </w:r>
      <w:r>
        <w:t>Question 17 — Applicability of the competency framework across different model architectures — I do not offer detailed technical comment regarding whether FDA’s proposed competency framework requires architectural modification across different model classes.</w:t>
      </w:r>
    </w:p>
    <w:p>
      <w:r>
        <w:rPr>
          <w:color w:val="777777"/>
          <w:sz w:val="16"/>
        </w:rPr>
        <w:t xml:space="preserve">p376 · att1 p.24  </w:t>
      </w:r>
      <w:r>
        <w:t>From a patient-safety perspective, however, I would encourage FDA to focus less on what the model is and more on what the model does.</w:t>
      </w:r>
    </w:p>
    <w:p>
      <w:r>
        <w:rPr>
          <w:color w:val="777777"/>
          <w:sz w:val="16"/>
        </w:rPr>
        <w:t xml:space="preserve">p377 · att1 p.24  </w:t>
      </w:r>
      <w:r>
        <w:t>Whatever the architecture:  the patient can still be harmed by inappropriate reassurance;  an agent can still miss escalation;  a system can still act on an administrative request without recognizing a clinical need;  and an accountable entity must still own the outcome. The technical architecture may change.</w:t>
      </w:r>
    </w:p>
    <w:p>
      <w:r>
        <w:rPr>
          <w:color w:val="777777"/>
          <w:sz w:val="16"/>
        </w:rPr>
        <w:t xml:space="preserve">p378 · att1 p.24  </w:t>
      </w:r>
      <w:r>
        <w:t>The safety expectations should not.</w:t>
      </w:r>
    </w:p>
    <w:p>
      <w:r>
        <w:rPr>
          <w:color w:val="777777"/>
          <w:sz w:val="16"/>
        </w:rPr>
        <w:t xml:space="preserve">p379 · att1 p.24  </w:t>
      </w:r>
      <w:r>
        <w:t>XI. Cross-Cutting Recommendations — The individual questions above point toward several broader principles that I encourage FDA to carry forward.</w:t>
      </w:r>
    </w:p>
    <w:p>
      <w:r>
        <w:rPr>
          <w:color w:val="777777"/>
          <w:sz w:val="16"/>
        </w:rPr>
        <w:t xml:space="preserve">p380 · att1 p.24  </w:t>
      </w:r>
      <w:r>
        <w:t>A further principle runs through all of them: the ability to generate an answer is not evidence that an answer should be given. Safe healthcare AI must know what it does not know, communicate material uncertainty, and escalate when uncertainty creates meaningful risk.</w:t>
      </w:r>
    </w:p>
    <w:p>
      <w:r>
        <w:rPr>
          <w:color w:val="777777"/>
          <w:sz w:val="16"/>
        </w:rPr>
        <w:t xml:space="preserve">p381 · att1 p.24  </w:t>
      </w:r>
      <w:r>
        <w:t>1. Evaluate safety beyond accuracy — FDA should explicitly distinguish among:  factual accuracy;  task completion;  clinical appropriateness;  behavioral safety;  and patient outcome. A system can succeed on the first two and fail badly on the last three.</w:t>
      </w:r>
    </w:p>
    <w:p>
      <w:r>
        <w:rPr>
          <w:color w:val="777777"/>
          <w:sz w:val="16"/>
        </w:rPr>
        <w:t xml:space="preserve">p382 · att1 p.24  </w:t>
      </w:r>
      <w:r>
        <w:t>Accuracy is necessary. It is not sufficient.</w:t>
      </w:r>
    </w:p>
    <w:p>
      <w:r>
        <w:rPr>
          <w:color w:val="777777"/>
          <w:sz w:val="16"/>
        </w:rPr>
        <w:t xml:space="preserve">p383 · att1 p.24  </w:t>
      </w:r>
      <w:r>
        <w:t>2. Test whether AI recognizes when the patient is asking the wrong question</w:t>
      </w:r>
    </w:p>
    <w:p>
      <w:r>
        <w:rPr>
          <w:color w:val="777777"/>
          <w:sz w:val="16"/>
        </w:rPr>
        <w:t xml:space="preserve">p384 · att1 p.24  </w:t>
      </w:r>
      <w:r>
        <w:t>One of the most important competencies for patient-facing AI may be the ability to recognize that the literal request is not necessarily the actual healthcare need.</w:t>
      </w:r>
    </w:p>
    <w:p>
      <w:r>
        <w:rPr>
          <w:color w:val="777777"/>
          <w:sz w:val="16"/>
        </w:rPr>
        <w:t xml:space="preserve">p385 · att1 p.24  </w:t>
      </w:r>
      <w:r>
        <w:t>This is particularly important in:  benefits navigation;  pharmacy support;  scheduling;  cost estimation;  provider search;  patient outreach;  and other interactions commonly characterized as administrative. The system should be able to complete the administrative task and recognize when clinical screening or escalation may be warranted.</w:t>
      </w:r>
    </w:p>
    <w:p>
      <w:r>
        <w:rPr>
          <w:color w:val="777777"/>
          <w:sz w:val="16"/>
        </w:rPr>
        <w:t xml:space="preserve">p386 · att1 p.24  </w:t>
      </w:r>
      <w:r>
        <w:t>Those functions are not mutually exclusive.</w:t>
      </w:r>
    </w:p>
    <w:p>
      <w:r>
        <w:rPr>
          <w:color w:val="777777"/>
          <w:sz w:val="16"/>
        </w:rPr>
        <w:t xml:space="preserve">p387 · att1 p.25  </w:t>
      </w:r>
      <w:r>
        <w:t>3. Ground safety-critical decisions in curated evidence — AI should not derive critical healthcare standards from the statistical popularity of information found across the internet.</w:t>
      </w:r>
    </w:p>
    <w:p>
      <w:r>
        <w:rPr>
          <w:color w:val="777777"/>
          <w:sz w:val="16"/>
        </w:rPr>
        <w:t xml:space="preserve">p388 · att1 p.25  </w:t>
      </w:r>
      <w:r>
        <w:t>For functions involving:  triage;  level of care;  clinical pathways;  medical necessity;  escalation;  treatment guidance;  and other high-consequence decisions, FDA should strongly favor demonstrable grounding in current, curated, evidence-based clinical sources with identifiable provenance.</w:t>
      </w:r>
    </w:p>
    <w:p>
      <w:r>
        <w:rPr>
          <w:color w:val="777777"/>
          <w:sz w:val="16"/>
        </w:rPr>
        <w:t xml:space="preserve">p389 · att1 p.25  </w:t>
      </w:r>
      <w:r>
        <w:t>Evidence should be able to change the AI.</w:t>
      </w:r>
    </w:p>
    <w:p>
      <w:r>
        <w:rPr>
          <w:color w:val="777777"/>
          <w:sz w:val="16"/>
        </w:rPr>
        <w:t xml:space="preserve">p390 · att1 p.25  </w:t>
      </w:r>
      <w:r>
        <w:t>The AI should not be allowed to change the evidence.</w:t>
      </w:r>
    </w:p>
    <w:p>
      <w:r>
        <w:rPr>
          <w:color w:val="777777"/>
          <w:sz w:val="16"/>
        </w:rPr>
        <w:t xml:space="preserve">p391 · att1 p.25  </w:t>
      </w:r>
      <w:r>
        <w:t>4. Use AI to strengthen professional judgment, not merely reproduce it — Professional licensure should not become the proxy for an evidence standard.</w:t>
      </w:r>
    </w:p>
    <w:p>
      <w:r>
        <w:rPr>
          <w:color w:val="777777"/>
          <w:sz w:val="16"/>
        </w:rPr>
        <w:t xml:space="preserve">p392 · att1 p.25  </w:t>
      </w:r>
      <w:r>
        <w:t>AI offers an extraordinary opportunity to reduce unwarranted clinical variation by helping practitioners remain current with an evidence base that has grown beyond any individual human’s capacity to continuously absorb.</w:t>
      </w:r>
    </w:p>
    <w:p>
      <w:r>
        <w:rPr>
          <w:color w:val="777777"/>
          <w:sz w:val="16"/>
        </w:rPr>
        <w:t xml:space="preserve">p393 · att1 p.25  </w:t>
      </w:r>
      <w:r>
        <w:t>FDA should encourage systems that improve the human-AI team by making current evidence visible, identifying departures from evidence, and appropriately challenging overconfidence.</w:t>
      </w:r>
    </w:p>
    <w:p>
      <w:r>
        <w:rPr>
          <w:color w:val="777777"/>
          <w:sz w:val="16"/>
        </w:rPr>
        <w:t xml:space="preserve">p394 · att1 p.25  </w:t>
      </w:r>
      <w:r>
        <w:t>The ideal AI is not one that always agrees with the clinician.</w:t>
      </w:r>
    </w:p>
    <w:p>
      <w:r>
        <w:rPr>
          <w:color w:val="777777"/>
          <w:sz w:val="16"/>
        </w:rPr>
        <w:t xml:space="preserve">p395 · att1 p.25  </w:t>
      </w:r>
      <w:r>
        <w:t>The ideal AI may sometimes be the one that says: “Before you proceed, the current evidence suggests something different.”</w:t>
      </w:r>
    </w:p>
    <w:p>
      <w:r>
        <w:rPr>
          <w:color w:val="777777"/>
          <w:sz w:val="16"/>
        </w:rPr>
        <w:t xml:space="preserve">p396 · att1 p.25  </w:t>
      </w:r>
      <w:r>
        <w:t>That is not replacing professional judgment.</w:t>
      </w:r>
    </w:p>
    <w:p>
      <w:r>
        <w:rPr>
          <w:color w:val="777777"/>
          <w:sz w:val="16"/>
        </w:rPr>
        <w:t xml:space="preserve">p397 · att1 p.25  </w:t>
      </w:r>
      <w:r>
        <w:t>It is protecting it.</w:t>
      </w:r>
    </w:p>
    <w:p>
      <w:r>
        <w:rPr>
          <w:color w:val="777777"/>
          <w:sz w:val="16"/>
        </w:rPr>
        <w:t xml:space="preserve">p398 · att1 p.25  </w:t>
      </w:r>
      <w:r>
        <w:t>5. Preserve qualified human escalation without pretending that “human in the loop” is enough</w:t>
      </w:r>
    </w:p>
    <w:p>
      <w:r>
        <w:rPr>
          <w:color w:val="777777"/>
          <w:sz w:val="16"/>
        </w:rPr>
        <w:t xml:space="preserve">p399 · att1 p.25  </w:t>
      </w:r>
      <w:r>
        <w:t>FDA should be cautious with the phrase “human in the loop.” — That phrase describes very little by itself.</w:t>
      </w:r>
    </w:p>
    <w:p>
      <w:r>
        <w:rPr>
          <w:color w:val="777777"/>
          <w:sz w:val="16"/>
        </w:rPr>
        <w:t xml:space="preserve">p400 · att1 p.25  </w:t>
      </w:r>
      <w:r>
        <w:t>The relevant questions are:  Which human?  With what qualifications?  At what point?  With what information?  With what authority?  With what time to review?  Can the person meaningfully override the AI?  Are overrides tracked?  Is disagreement with the AI culturally and operationally permitted?  Is the human expected to independently assess the situation or merely approve what the AI has already decided? A customer-service representative is not equivalent to a licensed clinician.</w:t>
      </w:r>
    </w:p>
    <w:p>
      <w:r>
        <w:rPr>
          <w:color w:val="777777"/>
          <w:sz w:val="16"/>
        </w:rPr>
        <w:t xml:space="preserve">p401 · att1 p.26  </w:t>
      </w:r>
      <w:r>
        <w:t>A clinician who clicks “approve” on hundreds of algorithmic recommendations a day may not constitute meaningful independent oversight.</w:t>
      </w:r>
    </w:p>
    <w:p>
      <w:r>
        <w:rPr>
          <w:color w:val="777777"/>
          <w:sz w:val="16"/>
        </w:rPr>
        <w:t xml:space="preserve">p402 · att1 p.26  </w:t>
      </w:r>
      <w:r>
        <w:t>Human presence should not be confused with human governance.</w:t>
      </w:r>
    </w:p>
    <w:p>
      <w:r>
        <w:rPr>
          <w:color w:val="777777"/>
          <w:sz w:val="16"/>
        </w:rPr>
        <w:t xml:space="preserve">p403 · att1 p.26  </w:t>
      </w:r>
      <w:r>
        <w:t>6. Monitor litigation, regulation, and other external safety signals — FDA should not rely exclusively upon traditional medical-device adverse-event channels to understand emerging AI risk.</w:t>
      </w:r>
    </w:p>
    <w:p>
      <w:r>
        <w:rPr>
          <w:color w:val="777777"/>
          <w:sz w:val="16"/>
        </w:rPr>
        <w:t xml:space="preserve">p404 · att1 p.26  </w:t>
      </w:r>
      <w:r>
        <w:t>A more comprehensive surveillance approach should include:  healthcare AI litigation;  state legislation;  state insurance regulation;  professional-board actions;  attorney-general enforcement;  congressional investigation;  utilization-management regulation;  peer-reviewed evaluations;  patient complaints;  and major public reports of AI-related harm or near misses. This is especially important because many clinically consequential AI systems may exist just beyond the formal medical-device boundary.</w:t>
      </w:r>
    </w:p>
    <w:p>
      <w:r>
        <w:rPr>
          <w:color w:val="777777"/>
          <w:sz w:val="16"/>
        </w:rPr>
        <w:t xml:space="preserve">p405 · att1 p.26  </w:t>
      </w:r>
      <w:r>
        <w:t>FDA may not regulate all of those systems.</w:t>
      </w:r>
    </w:p>
    <w:p>
      <w:r>
        <w:rPr>
          <w:color w:val="777777"/>
          <w:sz w:val="16"/>
        </w:rPr>
        <w:t xml:space="preserve">p406 · att1 p.26  </w:t>
      </w:r>
      <w:r>
        <w:t>But FDA can still learn from them.</w:t>
      </w:r>
    </w:p>
    <w:p>
      <w:r>
        <w:rPr>
          <w:color w:val="777777"/>
          <w:sz w:val="16"/>
        </w:rPr>
        <w:t xml:space="preserve">p407 · att1 p.26  </w:t>
      </w:r>
      <w:r>
        <w:t>7. Create an interagency framework for clinical-adjacent AI — The United States needs a clear answer to the problem of AI systems that materially influence healthcare but do not fit comfortably within the existing medical-device framework.</w:t>
      </w:r>
    </w:p>
    <w:p>
      <w:r>
        <w:rPr>
          <w:color w:val="777777"/>
          <w:sz w:val="16"/>
        </w:rPr>
        <w:t xml:space="preserve">p408 · att1 p.26  </w:t>
      </w:r>
      <w:r>
        <w:t>The answer does not necessarily need to be expanded FDA jurisdiction.</w:t>
      </w:r>
    </w:p>
    <w:p>
      <w:r>
        <w:rPr>
          <w:color w:val="777777"/>
          <w:sz w:val="16"/>
        </w:rPr>
        <w:t xml:space="preserve">p409 · att1 p.26  </w:t>
      </w:r>
      <w:r>
        <w:t>It may require coordinated jurisdiction.</w:t>
      </w:r>
    </w:p>
    <w:p>
      <w:r>
        <w:rPr>
          <w:color w:val="777777"/>
          <w:sz w:val="16"/>
        </w:rPr>
        <w:t xml:space="preserve">p410 · att1 p.26  </w:t>
      </w:r>
      <w:r>
        <w:t>Potential participants may include:  FDA;  CMS;  other HHS agencies;  FTC;  state insurance regulators;  state medical and nursing boards;  state attorneys general;  and other appropriate authorities. What should not be acceptable is the present possibility that every agency correctly concludes:</w:t>
      </w:r>
    </w:p>
    <w:p>
      <w:r>
        <w:rPr>
          <w:color w:val="777777"/>
          <w:sz w:val="16"/>
        </w:rPr>
        <w:t xml:space="preserve">p411 · att1 p.26  </w:t>
      </w:r>
      <w:r>
        <w:t>“That part belongs to someone else.” — while no one owns the whole safety problem.</w:t>
      </w:r>
    </w:p>
    <w:p>
      <w:r>
        <w:rPr>
          <w:color w:val="777777"/>
          <w:sz w:val="16"/>
        </w:rPr>
        <w:t xml:space="preserve">p412 · att1 p.26  </w:t>
      </w:r>
      <w:r>
        <w:t>XII. Proposed Patient-Safety Principles for Healthcare AI — Based upon the issues described above, I encourage FDA and its federal partners to consider a common set of principles for AI capable of materially influencing healthcare.</w:t>
      </w:r>
    </w:p>
    <w:p>
      <w:r>
        <w:rPr>
          <w:color w:val="777777"/>
          <w:sz w:val="16"/>
        </w:rPr>
        <w:t xml:space="preserve">p413 · att1 p.26  </w:t>
      </w:r>
      <w:r>
        <w:t>1. Evidence — Safety-critical healthcare decisions should be grounded in current, curated, evidencebased clinical sources.</w:t>
      </w:r>
    </w:p>
    <w:p>
      <w:r>
        <w:rPr>
          <w:color w:val="777777"/>
          <w:sz w:val="16"/>
        </w:rPr>
        <w:t xml:space="preserve">p414 · att1 p.27  </w:t>
      </w:r>
      <w:r>
        <w:t>2. Provenance — Users and regulators should be able to determine the evidence and data basis for consequential recommendations.</w:t>
      </w:r>
    </w:p>
    <w:p>
      <w:r>
        <w:rPr>
          <w:color w:val="777777"/>
          <w:sz w:val="16"/>
        </w:rPr>
        <w:t xml:space="preserve">p415 · att1 p.27  </w:t>
      </w:r>
      <w:r>
        <w:t>3. Context — Patient-facing systems should recognize that literal intent may not equal clinical need.</w:t>
      </w:r>
    </w:p>
    <w:p>
      <w:r>
        <w:rPr>
          <w:color w:val="777777"/>
          <w:sz w:val="16"/>
        </w:rPr>
        <w:t xml:space="preserve">p416 · att1 p.27  </w:t>
      </w:r>
      <w:r>
        <w:t>4. Escalation — Systems should identify when qualified human clinical intervention is necessary.</w:t>
      </w:r>
    </w:p>
    <w:p>
      <w:r>
        <w:rPr>
          <w:color w:val="777777"/>
          <w:sz w:val="16"/>
        </w:rPr>
        <w:t xml:space="preserve">p417 · att1 p.27  </w:t>
      </w:r>
      <w:r>
        <w:t>5. Restraint — AI should recognize situations in which it should not independently act.</w:t>
      </w:r>
    </w:p>
    <w:p>
      <w:r>
        <w:rPr>
          <w:color w:val="777777"/>
          <w:sz w:val="16"/>
        </w:rPr>
        <w:t xml:space="preserve">p418 · att1 p.27  </w:t>
      </w:r>
      <w:r>
        <w:t>6. Transparency — Patients should know when AI materially influences a healthcare interaction or decision.</w:t>
      </w:r>
    </w:p>
    <w:p>
      <w:r>
        <w:rPr>
          <w:color w:val="777777"/>
          <w:sz w:val="16"/>
        </w:rPr>
        <w:t xml:space="preserve">p419 · att1 p.27  </w:t>
      </w:r>
      <w:r>
        <w:t>7. Human accountability — Meaningful human oversight should involve appropriate qualifications, authority, information, and ability to intervene.</w:t>
      </w:r>
    </w:p>
    <w:p>
      <w:r>
        <w:rPr>
          <w:color w:val="777777"/>
          <w:sz w:val="16"/>
        </w:rPr>
        <w:t xml:space="preserve">p420 · att1 p.27  </w:t>
      </w:r>
      <w:r>
        <w:t>8. Auditability — Consequential AI actions and recommendations should be reconstructable after the fact.</w:t>
      </w:r>
    </w:p>
    <w:p>
      <w:r>
        <w:rPr>
          <w:color w:val="777777"/>
          <w:sz w:val="16"/>
        </w:rPr>
        <w:t xml:space="preserve">p421 · att1 p.27  </w:t>
      </w:r>
      <w:r>
        <w:t>9. Monitoring — Safety should be continuously assessed after deployment, including near misses and real-world patient consequences.</w:t>
      </w:r>
    </w:p>
    <w:p>
      <w:r>
        <w:rPr>
          <w:color w:val="777777"/>
          <w:sz w:val="16"/>
        </w:rPr>
        <w:t xml:space="preserve">p422 · att1 p.27  </w:t>
      </w:r>
      <w:r>
        <w:t>10. Change control — Changes capable of affecting safety-critical behavior should trigger appropriate revalidation.</w:t>
      </w:r>
    </w:p>
    <w:p>
      <w:r>
        <w:rPr>
          <w:color w:val="777777"/>
          <w:sz w:val="16"/>
        </w:rPr>
        <w:t xml:space="preserve">p423 · att1 p.27  </w:t>
      </w:r>
      <w:r>
        <w:t>11. Independent evaluation — High-impact systems should not depend solely upon manufacturer selfassessment.</w:t>
      </w:r>
    </w:p>
    <w:p>
      <w:r>
        <w:rPr>
          <w:color w:val="777777"/>
          <w:sz w:val="16"/>
        </w:rPr>
        <w:t xml:space="preserve">p424 · att1 p.27  </w:t>
      </w:r>
      <w:r>
        <w:t>12. Patient protection — Patients should never become the default safety backstop for technology they cannot reasonably evaluate.</w:t>
      </w:r>
    </w:p>
    <w:p>
      <w:r>
        <w:rPr>
          <w:color w:val="777777"/>
          <w:sz w:val="16"/>
        </w:rPr>
        <w:t xml:space="preserve">p425 · att1 p.27  </w:t>
      </w:r>
      <w:r>
        <w:t>13. Accountability — Responsibility should follow authority, control, and influence throughout the AI supply chain.</w:t>
      </w:r>
    </w:p>
    <w:p>
      <w:r>
        <w:rPr>
          <w:color w:val="777777"/>
          <w:sz w:val="16"/>
        </w:rPr>
        <w:t xml:space="preserve">p426 · att1 p.27  </w:t>
      </w:r>
      <w:r>
        <w:t>14. Epistemic humility — AI should communicate material uncertainty and recognize when available evidence is insufficient to safely resolve the individual situation. The ability to generate an answer is not evidence that an answer should be given.</w:t>
      </w:r>
    </w:p>
    <w:p>
      <w:r>
        <w:rPr>
          <w:color w:val="777777"/>
          <w:sz w:val="16"/>
        </w:rPr>
        <w:t xml:space="preserve">p427 · att1 p.27  </w:t>
      </w:r>
      <w:r>
        <w:t>15. Regulatory continuity — Falling outside the medical-device definition should not mean falling outside meaningful healthcare safety oversight.</w:t>
      </w:r>
    </w:p>
    <w:p>
      <w:r>
        <w:rPr>
          <w:color w:val="777777"/>
          <w:sz w:val="16"/>
        </w:rPr>
        <w:t xml:space="preserve">p428 · att1 p.27  </w:t>
      </w:r>
      <w:r>
        <w:t>XIII. A Proposed Influence-Based Regulatory Principle — FDA’s discussion paper necessarily begins with the question of how generative AI-enabled medical devices should be regulated.</w:t>
      </w:r>
    </w:p>
    <w:p>
      <w:r>
        <w:rPr>
          <w:color w:val="777777"/>
          <w:sz w:val="16"/>
        </w:rPr>
        <w:t xml:space="preserve">p429 · att1 p.27  </w:t>
      </w:r>
      <w:r>
        <w:t>But generative and agentic AI are rapidly exposing a larger problem.</w:t>
      </w:r>
    </w:p>
    <w:p>
      <w:r>
        <w:rPr>
          <w:color w:val="777777"/>
          <w:sz w:val="16"/>
        </w:rPr>
        <w:t xml:space="preserve">p430 · att1 p.27  </w:t>
      </w:r>
      <w:r>
        <w:t>A technology can profoundly influence healthcare without looking like a traditional clinical technology.</w:t>
      </w:r>
    </w:p>
    <w:p>
      <w:r>
        <w:rPr>
          <w:color w:val="777777"/>
          <w:sz w:val="16"/>
        </w:rPr>
        <w:t xml:space="preserve">p431 · att1 p.27  </w:t>
      </w:r>
      <w:r>
        <w:t>An insurance agent can influence whether care occurs.</w:t>
      </w:r>
    </w:p>
    <w:p>
      <w:r>
        <w:rPr>
          <w:color w:val="777777"/>
          <w:sz w:val="16"/>
        </w:rPr>
        <w:t xml:space="preserve">p432 · att1 p.27  </w:t>
      </w:r>
      <w:r>
        <w:t>A scheduling agent can influence when it occurs.</w:t>
      </w:r>
    </w:p>
    <w:p>
      <w:r>
        <w:rPr>
          <w:color w:val="777777"/>
          <w:sz w:val="16"/>
        </w:rPr>
        <w:t xml:space="preserve">p433 · att1 p.27  </w:t>
      </w:r>
      <w:r>
        <w:t>A provider-search agent can influence where and from whom it occurs.</w:t>
      </w:r>
    </w:p>
    <w:p>
      <w:r>
        <w:rPr>
          <w:color w:val="777777"/>
          <w:sz w:val="16"/>
        </w:rPr>
        <w:t xml:space="preserve">p434 · att1 p.27  </w:t>
      </w:r>
      <w:r>
        <w:t>A cost tool can influence whether a patient pursues treatment.</w:t>
      </w:r>
    </w:p>
    <w:p>
      <w:r>
        <w:rPr>
          <w:color w:val="777777"/>
          <w:sz w:val="16"/>
        </w:rPr>
        <w:t xml:space="preserve">p435 · att1 p.27  </w:t>
      </w:r>
      <w:r>
        <w:t>A utilization-management system can influence what care is authorized.</w:t>
      </w:r>
    </w:p>
    <w:p>
      <w:r>
        <w:rPr>
          <w:color w:val="777777"/>
          <w:sz w:val="16"/>
        </w:rPr>
        <w:t xml:space="preserve">p436 · att1 p.27  </w:t>
      </w:r>
      <w:r>
        <w:t>A pharmacy agent can influence whether medication is obtained.</w:t>
      </w:r>
    </w:p>
    <w:p>
      <w:r>
        <w:rPr>
          <w:color w:val="777777"/>
          <w:sz w:val="16"/>
        </w:rPr>
        <w:t xml:space="preserve">p437 · att1 p.27  </w:t>
      </w:r>
      <w:r>
        <w:t>An administrative chatbot can miss the clues that should have triggered clinical intervention.</w:t>
      </w:r>
    </w:p>
    <w:p>
      <w:r>
        <w:rPr>
          <w:color w:val="777777"/>
          <w:sz w:val="16"/>
        </w:rPr>
        <w:t xml:space="preserve">p438 · att1 p.27  </w:t>
      </w:r>
      <w:r>
        <w:t>For the patient, these are not separate technological categories.</w:t>
      </w:r>
    </w:p>
    <w:p>
      <w:r>
        <w:rPr>
          <w:color w:val="777777"/>
          <w:sz w:val="16"/>
        </w:rPr>
        <w:t xml:space="preserve">p439 · att1 p.27  </w:t>
      </w:r>
      <w:r>
        <w:t>They are all part of the same healthcare experience.</w:t>
      </w:r>
    </w:p>
    <w:p>
      <w:r>
        <w:rPr>
          <w:color w:val="777777"/>
          <w:sz w:val="16"/>
        </w:rPr>
        <w:t xml:space="preserve">p440 · att1 p.28  </w:t>
      </w:r>
      <w:r>
        <w:t>I therefore encourage consideration of an influence-based principle: If technology can foreseeably influence whether, when, where, from whom, or what healthcare a person receives, somebody must be accountable for proving that it is safe enough for the influence it exercises.</w:t>
      </w:r>
    </w:p>
    <w:p>
      <w:r>
        <w:rPr>
          <w:color w:val="777777"/>
          <w:sz w:val="16"/>
        </w:rPr>
        <w:t xml:space="preserve">p441 · att1 p.28  </w:t>
      </w:r>
      <w:r>
        <w:t>That does not mean every system requires identical regulation.</w:t>
      </w:r>
    </w:p>
    <w:p>
      <w:r>
        <w:rPr>
          <w:color w:val="777777"/>
          <w:sz w:val="16"/>
        </w:rPr>
        <w:t xml:space="preserve">p442 · att1 p.28  </w:t>
      </w:r>
      <w:r>
        <w:t>It means risk should follow influence.</w:t>
      </w:r>
    </w:p>
    <w:p>
      <w:r>
        <w:rPr>
          <w:color w:val="777777"/>
          <w:sz w:val="16"/>
        </w:rPr>
        <w:t xml:space="preserve">p443 · att1 p.28  </w:t>
      </w:r>
      <w:r>
        <w:t>A scheduling bot does not require the same evidence as autonomous diagnostic AI.</w:t>
      </w:r>
    </w:p>
    <w:p>
      <w:r>
        <w:rPr>
          <w:color w:val="777777"/>
          <w:sz w:val="16"/>
        </w:rPr>
        <w:t xml:space="preserve">p444 · att1 p.28  </w:t>
      </w:r>
      <w:r>
        <w:t>But a scheduling bot capable of postponing an urgent oncology visit should not be treated as clinically irrelevant merely because “scheduling” is administrative.</w:t>
      </w:r>
    </w:p>
    <w:p>
      <w:r>
        <w:rPr>
          <w:color w:val="777777"/>
          <w:sz w:val="16"/>
        </w:rPr>
        <w:t xml:space="preserve">p445 · att1 p.28  </w:t>
      </w:r>
      <w:r>
        <w:t>A cost estimator is not necessarily a medical device.</w:t>
      </w:r>
    </w:p>
    <w:p>
      <w:r>
        <w:rPr>
          <w:color w:val="777777"/>
          <w:sz w:val="16"/>
        </w:rPr>
        <w:t xml:space="preserve">p446 · att1 p.28  </w:t>
      </w:r>
      <w:r>
        <w:t>But if it materially influences medication abandonment, that effect belongs inside the safety discussion.</w:t>
      </w:r>
    </w:p>
    <w:p>
      <w:r>
        <w:rPr>
          <w:color w:val="777777"/>
          <w:sz w:val="16"/>
        </w:rPr>
        <w:t xml:space="preserve">p447 · att1 p.28  </w:t>
      </w:r>
      <w:r>
        <w:t>The federal framework should therefore distinguish among levels of clinical influence and assign proportionate requirements for:</w:t>
      </w:r>
    </w:p>
    <w:p>
      <w:r>
        <w:rPr>
          <w:color w:val="777777"/>
          <w:sz w:val="16"/>
        </w:rPr>
        <w:t xml:space="preserve">p448 · att1 p.28  </w:t>
      </w:r>
      <w:r>
        <w:t> evidence;  testing;  disclosure;  escalation;  monitoring;  auditability;  and accountability.</w:t>
      </w:r>
    </w:p>
    <w:p>
      <w:r>
        <w:rPr>
          <w:color w:val="777777"/>
          <w:sz w:val="16"/>
        </w:rPr>
        <w:t xml:space="preserve">p449 · att1 p.28  </w:t>
      </w:r>
      <w:r>
        <w:t>XIV. Closing — Artificial intelligence may become one of the most important tools ever introduced into healthcare.</w:t>
      </w:r>
    </w:p>
    <w:p>
      <w:r>
        <w:rPr>
          <w:color w:val="777777"/>
          <w:sz w:val="16"/>
        </w:rPr>
        <w:t xml:space="preserve">p450 · att1 p.28  </w:t>
      </w:r>
      <w:r>
        <w:t>It can help us do something healthcare has historically struggled to do: put the right knowledge in the right place at the right time.</w:t>
      </w:r>
    </w:p>
    <w:p>
      <w:r>
        <w:rPr>
          <w:color w:val="777777"/>
          <w:sz w:val="16"/>
        </w:rPr>
        <w:t xml:space="preserve">p451 · att1 p.28  </w:t>
      </w:r>
      <w:r>
        <w:t>It can reduce unwarranted variation.</w:t>
      </w:r>
    </w:p>
    <w:p>
      <w:r>
        <w:rPr>
          <w:color w:val="777777"/>
          <w:sz w:val="16"/>
        </w:rPr>
        <w:t xml:space="preserve">p452 · att1 p.28  </w:t>
      </w:r>
      <w:r>
        <w:t>It can help clinicians stay current with evidence no human being could personally read and retain.</w:t>
      </w:r>
    </w:p>
    <w:p>
      <w:r>
        <w:rPr>
          <w:color w:val="777777"/>
          <w:sz w:val="16"/>
        </w:rPr>
        <w:t xml:space="preserve">p453 · att1 p.28  </w:t>
      </w:r>
      <w:r>
        <w:t>It can identify patterns humans miss.</w:t>
      </w:r>
    </w:p>
    <w:p>
      <w:r>
        <w:rPr>
          <w:color w:val="777777"/>
          <w:sz w:val="16"/>
        </w:rPr>
        <w:t xml:space="preserve">p454 · att1 p.28  </w:t>
      </w:r>
      <w:r>
        <w:t>It can make specialized knowledge available far beyond the walls of academic medical centers.</w:t>
      </w:r>
    </w:p>
    <w:p>
      <w:r>
        <w:rPr>
          <w:color w:val="777777"/>
          <w:sz w:val="16"/>
        </w:rPr>
        <w:t xml:space="preserve">p455 · att1 p.28  </w:t>
      </w:r>
      <w:r>
        <w:t>It can help patients navigate an extraordinarily complex system.</w:t>
      </w:r>
    </w:p>
    <w:p>
      <w:r>
        <w:rPr>
          <w:color w:val="777777"/>
          <w:sz w:val="16"/>
        </w:rPr>
        <w:t xml:space="preserve">p456 · att1 p.28  </w:t>
      </w:r>
      <w:r>
        <w:t>It can help us move the knowledge rather than unnecessarily move the patient.</w:t>
      </w:r>
    </w:p>
    <w:p>
      <w:r>
        <w:rPr>
          <w:color w:val="777777"/>
          <w:sz w:val="16"/>
        </w:rPr>
        <w:t xml:space="preserve">p457 · att1 p.28  </w:t>
      </w:r>
      <w:r>
        <w:t>But the same capabilities create new obligations.</w:t>
      </w:r>
    </w:p>
    <w:p>
      <w:r>
        <w:rPr>
          <w:color w:val="777777"/>
          <w:sz w:val="16"/>
        </w:rPr>
        <w:t xml:space="preserve">p458 · att1 p.28  </w:t>
      </w:r>
      <w:r>
        <w:t>AI can be very smart.</w:t>
      </w:r>
    </w:p>
    <w:p>
      <w:r>
        <w:rPr>
          <w:color w:val="777777"/>
          <w:sz w:val="16"/>
        </w:rPr>
        <w:t xml:space="preserve">p459 · att1 p.28  </w:t>
      </w:r>
      <w:r>
        <w:t>AI can also be very smart without understanding human behavior.</w:t>
      </w:r>
    </w:p>
    <w:p>
      <w:r>
        <w:rPr>
          <w:color w:val="777777"/>
          <w:sz w:val="16"/>
        </w:rPr>
        <w:t xml:space="preserve">p460 · att1 p.28  </w:t>
      </w:r>
      <w:r>
        <w:t>A human being may ask for an insurance card when what he really needs is an ambulance.</w:t>
      </w:r>
    </w:p>
    <w:p>
      <w:r>
        <w:rPr>
          <w:color w:val="777777"/>
          <w:sz w:val="16"/>
        </w:rPr>
        <w:t xml:space="preserve">p461 · att1 p.28  </w:t>
      </w:r>
      <w:r>
        <w:t>A patient may ask what her medication costs when what she really means is that she has stopped taking it.</w:t>
      </w:r>
    </w:p>
    <w:p>
      <w:r>
        <w:rPr>
          <w:color w:val="777777"/>
          <w:sz w:val="16"/>
        </w:rPr>
        <w:t xml:space="preserve">p462 · att1 p.28  </w:t>
      </w:r>
      <w:r>
        <w:t>A patient may ask to postpone an appointment because she does not understand the significance of worsening symptoms.</w:t>
      </w:r>
    </w:p>
    <w:p>
      <w:r>
        <w:rPr>
          <w:color w:val="777777"/>
          <w:sz w:val="16"/>
        </w:rPr>
        <w:t xml:space="preserve">p463 · att1 p.28  </w:t>
      </w:r>
      <w:r>
        <w:t>The AI may answer every question correctly.</w:t>
      </w:r>
    </w:p>
    <w:p>
      <w:r>
        <w:rPr>
          <w:color w:val="777777"/>
          <w:sz w:val="16"/>
        </w:rPr>
        <w:t xml:space="preserve">p464 · att1 p.29  </w:t>
      </w:r>
      <w:r>
        <w:t>That cannot be our definition of success.</w:t>
      </w:r>
    </w:p>
    <w:p>
      <w:r>
        <w:rPr>
          <w:color w:val="777777"/>
          <w:sz w:val="16"/>
        </w:rPr>
        <w:t xml:space="preserve">p465 · att1 p.29  </w:t>
      </w:r>
      <w:r>
        <w:t>Healthcare AI should be measured against a higher standard: Did it help the person safely get the care they actually needed?</w:t>
      </w:r>
    </w:p>
    <w:p>
      <w:r>
        <w:rPr>
          <w:color w:val="777777"/>
          <w:sz w:val="16"/>
        </w:rPr>
        <w:t xml:space="preserve">p466 · att1 p.29  </w:t>
      </w:r>
      <w:r>
        <w:t>That standard requires more than technical accuracy.</w:t>
      </w:r>
    </w:p>
    <w:p>
      <w:r>
        <w:rPr>
          <w:color w:val="777777"/>
          <w:sz w:val="16"/>
        </w:rPr>
        <w:t xml:space="preserve">p467 · att1 p.29  </w:t>
      </w:r>
      <w:r>
        <w:t>It requires knowing the difference between information and evidence—and remembering that common practice, popularity, and statistical frequency are not substitutes for clinical appropriateness.</w:t>
      </w:r>
    </w:p>
    <w:p>
      <w:r>
        <w:rPr>
          <w:color w:val="777777"/>
          <w:sz w:val="16"/>
        </w:rPr>
        <w:t xml:space="preserve">p468 · att1 p.29  </w:t>
      </w:r>
      <w:r>
        <w:t>It requires current evidence.</w:t>
      </w:r>
    </w:p>
    <w:p>
      <w:r>
        <w:rPr>
          <w:color w:val="777777"/>
          <w:sz w:val="16"/>
        </w:rPr>
        <w:t xml:space="preserve">p469 · att1 p.29  </w:t>
      </w:r>
      <w:r>
        <w:t>It requires context.</w:t>
      </w:r>
    </w:p>
    <w:p>
      <w:r>
        <w:rPr>
          <w:color w:val="777777"/>
          <w:sz w:val="16"/>
        </w:rPr>
        <w:t xml:space="preserve">p470 · att1 p.29  </w:t>
      </w:r>
      <w:r>
        <w:t>It requires humility.</w:t>
      </w:r>
    </w:p>
    <w:p>
      <w:r>
        <w:rPr>
          <w:color w:val="777777"/>
          <w:sz w:val="16"/>
        </w:rPr>
        <w:t xml:space="preserve">p471 · att1 p.29  </w:t>
      </w:r>
      <w:r>
        <w:t>It requires knowing when to ask another question.</w:t>
      </w:r>
    </w:p>
    <w:p>
      <w:r>
        <w:rPr>
          <w:color w:val="777777"/>
          <w:sz w:val="16"/>
        </w:rPr>
        <w:t xml:space="preserve">p472 · att1 p.29  </w:t>
      </w:r>
      <w:r>
        <w:t>It requires knowing when not to act.</w:t>
      </w:r>
    </w:p>
    <w:p>
      <w:r>
        <w:rPr>
          <w:color w:val="777777"/>
          <w:sz w:val="16"/>
        </w:rPr>
        <w:t xml:space="preserve">p473 · att1 p.29  </w:t>
      </w:r>
      <w:r>
        <w:t>It requires meaningful human escalation.</w:t>
      </w:r>
    </w:p>
    <w:p>
      <w:r>
        <w:rPr>
          <w:color w:val="777777"/>
          <w:sz w:val="16"/>
        </w:rPr>
        <w:t xml:space="preserve">p474 · att1 p.29  </w:t>
      </w:r>
      <w:r>
        <w:t>It requires monitoring.</w:t>
      </w:r>
    </w:p>
    <w:p>
      <w:r>
        <w:rPr>
          <w:color w:val="777777"/>
          <w:sz w:val="16"/>
        </w:rPr>
        <w:t xml:space="preserve">p475 · att1 p.29  </w:t>
      </w:r>
      <w:r>
        <w:t>And ultimately, it requires accountability.</w:t>
      </w:r>
    </w:p>
    <w:p>
      <w:r>
        <w:rPr>
          <w:color w:val="777777"/>
          <w:sz w:val="16"/>
        </w:rPr>
        <w:t xml:space="preserve">p476 · att1 p.29  </w:t>
      </w:r>
      <w:r>
        <w:t>The emergence of agentic AI makes that accountability particularly urgent because the technology is moving from answering questions to taking actions.</w:t>
      </w:r>
    </w:p>
    <w:p>
      <w:r>
        <w:rPr>
          <w:color w:val="777777"/>
          <w:sz w:val="16"/>
        </w:rPr>
        <w:t xml:space="preserve">p477 · att1 p.29  </w:t>
      </w:r>
      <w:r>
        <w:t>Some of those systems will be FDA-regulated medical devices.</w:t>
      </w:r>
    </w:p>
    <w:p>
      <w:r>
        <w:rPr>
          <w:color w:val="777777"/>
          <w:sz w:val="16"/>
        </w:rPr>
        <w:t xml:space="preserve">p478 · att1 p.29  </w:t>
      </w:r>
      <w:r>
        <w:t>Others will not.</w:t>
      </w:r>
    </w:p>
    <w:p>
      <w:r>
        <w:rPr>
          <w:color w:val="777777"/>
          <w:sz w:val="16"/>
        </w:rPr>
        <w:t xml:space="preserve">p479 · att1 p.29  </w:t>
      </w:r>
      <w:r>
        <w:t>Patients will not know the difference.</w:t>
      </w:r>
    </w:p>
    <w:p>
      <w:r>
        <w:rPr>
          <w:color w:val="777777"/>
          <w:sz w:val="16"/>
        </w:rPr>
        <w:t xml:space="preserve">p480 · att1 p.29  </w:t>
      </w:r>
      <w:r>
        <w:t>They should not need to.</w:t>
      </w:r>
    </w:p>
    <w:p>
      <w:r>
        <w:rPr>
          <w:color w:val="777777"/>
          <w:sz w:val="16"/>
        </w:rPr>
        <w:t xml:space="preserve">p481 · att1 p.29  </w:t>
      </w:r>
      <w:r>
        <w:t>I encourage FDA to continue its thoughtful work on generative AI-enabled medical devices while also working with its federal and state partners to address the increasingly consequential territory immediately beyond the device boundary.</w:t>
      </w:r>
    </w:p>
    <w:p>
      <w:r>
        <w:rPr>
          <w:color w:val="777777"/>
          <w:sz w:val="16"/>
        </w:rPr>
        <w:t xml:space="preserve">p482 · att1 p.29  </w:t>
      </w:r>
      <w:r>
        <w:t>Because the question we must answer is no longer merely: How do we safely regulate AI medical devices?</w:t>
      </w:r>
    </w:p>
    <w:p>
      <w:r>
        <w:rPr>
          <w:color w:val="777777"/>
          <w:sz w:val="16"/>
        </w:rPr>
        <w:t xml:space="preserve">p483 · att1 p.29  </w:t>
      </w:r>
      <w:r>
        <w:t>It is also: Who regulates the AI that is not a medical device?</w:t>
      </w:r>
    </w:p>
    <w:p>
      <w:r>
        <w:rPr>
          <w:color w:val="777777"/>
          <w:sz w:val="16"/>
        </w:rPr>
        <w:t xml:space="preserve">p484 · att1 p.29  </w:t>
      </w:r>
      <w:r>
        <w:t>And the answer cannot be: No one.</w:t>
      </w:r>
    </w:p>
    <w:p>
      <w:r>
        <w:rPr>
          <w:color w:val="777777"/>
          <w:sz w:val="16"/>
        </w:rPr>
        <w:t xml:space="preserve">p485 · att1 p.29  </w:t>
      </w:r>
      <w:r>
        <w:t>Thank you for the opportunity to comment—and, belatedly, thank you for the opportunity I missed in December as well.</w:t>
      </w:r>
    </w:p>
    <w:p>
      <w:r>
        <w:rPr>
          <w:color w:val="777777"/>
          <w:sz w:val="16"/>
        </w:rPr>
        <w:t xml:space="preserve">p486 · att1 p.29  </w:t>
      </w:r>
      <w:r>
        <w:t>My AI and I are paying much closer attention now.</w:t>
      </w:r>
    </w:p>
    <w:p>
      <w:r>
        <w:rPr>
          <w:color w:val="777777"/>
          <w:sz w:val="16"/>
        </w:rPr>
        <w:t xml:space="preserve">p487 · att1 p.29  </w:t>
      </w:r>
      <w:r>
        <w:t>Respectfully submitted,</w:t>
      </w:r>
    </w:p>
    <w:p>
      <w:r>
        <w:rPr>
          <w:color w:val="777777"/>
          <w:sz w:val="16"/>
        </w:rPr>
        <w:t xml:space="preserve">p488 · att1 p.29  </w:t>
      </w:r>
      <w:r>
        <w:t>Deborah “Nurse Deb” Ault, RN, CCM, CCP, AATMC, BCPA, MBA — Founder and President</w:t>
      </w:r>
    </w:p>
    <w:p>
      <w:r>
        <w:rPr>
          <w:color w:val="777777"/>
          <w:sz w:val="16"/>
        </w:rPr>
        <w:t xml:space="preserve">p489 · att1 p.29  </w:t>
      </w:r>
      <w:r>
        <w:t>Nurse Deb Speaking, Media &amp; Consulting, LLC — Professional Background and Perspective — I am a registered nurse, certified case manager, healthcare strategist, patient advocate, and former founder and president of AIMM. I have spent decades working at the intersection of clinical care, health insurance, utilization management, care navigation, employer health benefits, and healthcare purchasing.</w:t>
      </w:r>
    </w:p>
    <w:p>
      <w:r>
        <w:rPr>
          <w:color w:val="777777"/>
          <w:sz w:val="16"/>
        </w:rPr>
        <w:t xml:space="preserve">p490 · att1 p.30  </w:t>
      </w:r>
      <w:r>
        <w:t>Much of my career has been devoted to a deceptively simple objective: helping people receive the right care, at the right time, in the right place, at the right price—while keeping clinical decisions grounded in evidence and ensuring that somebody remains accountable for the outcome.</w:t>
      </w:r>
    </w:p>
    <w:p>
      <w:r>
        <w:rPr>
          <w:color w:val="777777"/>
          <w:sz w:val="16"/>
        </w:rPr>
        <w:t xml:space="preserve">p491 · att1 p.30  </w:t>
      </w:r>
      <w:r>
        <w:t>I have worked extensively with self-funded employers, health plans, clinicians, care-management organizations, brokers, consultants, patients, and other healthcare stakeholders. That experience has given me an unusual view of healthcare from both sides of the clinical/administrative divide.</w:t>
      </w:r>
    </w:p>
    <w:p>
      <w:r>
        <w:rPr>
          <w:color w:val="777777"/>
          <w:sz w:val="16"/>
        </w:rPr>
        <w:t xml:space="preserve">p492 · att1 p.30  </w:t>
      </w:r>
      <w:r>
        <w:t>That divide is particularly relevant to these comments.</w:t>
      </w:r>
    </w:p>
    <w:p>
      <w:r>
        <w:rPr>
          <w:color w:val="777777"/>
          <w:sz w:val="16"/>
        </w:rPr>
        <w:t xml:space="preserve">p493 · att1 p.30  </w:t>
      </w:r>
      <w:r>
        <w:t>I have seen firsthand how something categorized as an insurance, benefits, utilization-management, navigation, or administrative decision can directly change a patient’s clinical course. That experience is a significant reason I am concerned about AI systems that may not be classified as medical devices but nevertheless influence whether, when, where, from whom, or what healthcare a person receives.</w:t>
      </w:r>
    </w:p>
    <w:p>
      <w:r>
        <w:rPr>
          <w:color w:val="777777"/>
          <w:sz w:val="16"/>
        </w:rPr>
        <w:t xml:space="preserve">p494 · att1 p.30  </w:t>
      </w:r>
      <w:r>
        <w:t>My work has long emphasized evidence-based clinical pathways, independent clinical navigation, transparency, patient advocacy, and accountability across healthcare financing and delivery. My current work increasingly focuses on healthcare AI safety and accountability, patient-facing and clinicaladjacent AI, healthcare litigation and regulatory developments, utilization-management policy, and employer healthcare strategy.</w:t>
      </w:r>
    </w:p>
    <w:p>
      <w:r>
        <w:rPr>
          <w:color w:val="777777"/>
          <w:sz w:val="16"/>
        </w:rPr>
        <w:t xml:space="preserve">p495 · att1 p.30  </w:t>
      </w:r>
      <w:r>
        <w:t>I am a recipient of the Validation Institute/YouPowered Lifetime Achievement Award and the NextGen Benefits Innovation Award, and I served as a healthcare subject-matter expert in the documentary It’s Not Personal, It’s Just Healthcare.</w:t>
      </w:r>
    </w:p>
    <w:p>
      <w:r>
        <w:rPr>
          <w:color w:val="777777"/>
          <w:sz w:val="16"/>
        </w:rPr>
        <w:t xml:space="preserve">p496 · att1 p.30  </w:t>
      </w:r>
      <w:r>
        <w:t>I offer these comments not as an AI engineer or computer scientist, but as someone who has spent decades watching what happens when clinical care, human behavior, insurance rules, administrative processes, financial incentives, and healthcare technology collide.</w:t>
      </w:r>
    </w:p>
    <w:p>
      <w:r>
        <w:rPr>
          <w:color w:val="777777"/>
          <w:sz w:val="16"/>
        </w:rPr>
        <w:t xml:space="preserve">p497 · att1 p.30  </w:t>
      </w:r>
      <w:r>
        <w:t>That experience has led me to the principle underlying this response: If technology can foreseeably influence whether, when, where, from whom, or what healthcare a person receives, somebody must be accountable for proving that it is safe enough for the influence it exercises.</w:t>
      </w:r>
    </w:p>
    <w:p>
      <w:r>
        <w:rPr>
          <w:color w:val="777777"/>
          <w:sz w:val="16"/>
        </w:rPr>
        <w:t xml:space="preserve">p498 · att1 p.30  </w:t>
      </w:r>
      <w:r>
        <w:t>References and Authorities — [1] U.S. Food &amp; Drug Administration, Considerations for the Regulation of Generative AI-Enabled Medical Devices: Discussion Paper and Request for Feedback (Aug. 2026), https://www.fda.gov/media/194242/download</w:t>
      </w:r>
    </w:p>
    <w:p>
      <w:r>
        <w:rPr>
          <w:color w:val="777777"/>
          <w:sz w:val="16"/>
        </w:rPr>
        <w:t xml:space="preserve">p499 · att1 p.30  </w:t>
      </w:r>
      <w:r>
        <w:t>[2] U.S. Food &amp; Drug Administration, Request for Public Comment: Measuring and Evaluating Artificial Intelligenceenabled Medical Device Performance in the Real-World (2025), Docket FDA-2025-N-4203, https://www.fda.gov/medicaldevices/digital-health-center-excellence/request-public-comment-measuring-and-evaluating-artificial-intelligenceenabled-medical-device</w:t>
      </w:r>
    </w:p>
    <w:p>
      <w:r>
        <w:rPr>
          <w:color w:val="777777"/>
          <w:sz w:val="16"/>
        </w:rPr>
        <w:t xml:space="preserve">p500 · att1 p.30  </w:t>
      </w:r>
      <w:r>
        <w:t>[3] Vatanparvar K, et al. PatientAgentBench: A Benchmark Framework for Evaluating Patient-Facing Health AI Agents. arXiv:2607.25485 (2026), https://arxiv.org/abs/2607.25485</w:t>
      </w:r>
    </w:p>
    <w:p>
      <w:r>
        <w:rPr>
          <w:color w:val="777777"/>
          <w:sz w:val="16"/>
        </w:rPr>
        <w:t xml:space="preserve">p501 · att1 p.30  </w:t>
      </w:r>
      <w:r>
        <w:t>[4] Amazon Science, PatientAgentBench reference implementation, https://github.com/amazon-science/PatientAgentBench — [5] MCG Health, Inpatient &amp; Surgical Care / Hospital Care Guidelines, https://www.mcg.com/solutions/care-guidelines/hospital-care-guidelines/</w:t>
      </w:r>
    </w:p>
    <w:p>
      <w:r>
        <w:rPr>
          <w:color w:val="777777"/>
          <w:sz w:val="16"/>
        </w:rPr>
        <w:t xml:space="preserve">p502 · att1 p.31  </w:t>
      </w:r>
      <w:r>
        <w:t>[6] MCG Health, Ambulatory Care Guidelines, https://www.mcg.com/solutions/care-guidelines/ambulatory-care/ — [7] MCG Health, Post-Acute Care Guidelines, https://www.mcg.com/solutions/care-guidelines/post-acute-care/</w:t>
      </w:r>
    </w:p>
    <w:p>
      <w:r>
        <w:rPr>
          <w:color w:val="777777"/>
          <w:sz w:val="16"/>
        </w:rPr>
        <w:t xml:space="preserve">p503 · att1 p.31  </w:t>
      </w:r>
      <w:r>
        <w:t>[8] MCG Health, Behavioral Health Care Guidelines, https://www.mcg.com/solutions/care-guidelines/behavioralhealthcare/ — [9] Schmitt-Thompson Clinical Content, The Guidelines, https://www.stcc-triage.com/the-guidelines</w:t>
      </w:r>
    </w:p>
    <w:p>
      <w:r>
        <w:rPr>
          <w:color w:val="777777"/>
          <w:sz w:val="16"/>
        </w:rPr>
        <w:t xml:space="preserve">p504 · att1 p.31  </w:t>
      </w:r>
      <w:r>
        <w:t>[10] Schmitt-Thompson Clinical Content, Published Research / Guideline Development and Updating, https://www.stcctriage.com/published-research-2 — [11] Wolters Kluwer / Lippincott Williams &amp; Wilkins, Briggs’s Telephone Triage Protocols for Nurses, 7th ed. (2026), https://www.wolterskluwer.com/ja-jp/solutions/ovid/telephone-triage-protocols-for-nurses-5345</w:t>
      </w:r>
    </w:p>
    <w:p>
      <w:r>
        <w:rPr>
          <w:color w:val="777777"/>
          <w:sz w:val="16"/>
        </w:rPr>
        <w:t xml:space="preserve">p505 · att1 p.31  </w:t>
      </w:r>
      <w:r>
        <w:t>[12] Estate of Gene B. Lokken, et al. v. UnitedHealth Group, Inc., et al., No. 0:23-cv-03514, Doc. 91 (D. Minn. Feb. 13, 2025), https://www.govinfo.gov/content/pkg/USCOURTS-mnd-0_23-cv-03514/pdf/USCOURTS-mnd-0_23-cv-03514- 1.pdf</w:t>
      </w:r>
    </w:p>
    <w:p>
      <w:r>
        <w:rPr>
          <w:color w:val="777777"/>
          <w:sz w:val="16"/>
        </w:rPr>
        <w:t xml:space="preserve">p506 · att1 p.31  </w:t>
      </w:r>
      <w:r>
        <w:t>[13] Estate of Gene B. Lokken, et al. v. UnitedHealth Group, Inc., et al., No. 0:23-cv-03514, Doc. 162 (D. Minn. Mar. 9, 2026), https://docs.justia.com/cases/federal/district-courts/minnesota/mndce/0%3A2023cv03514/211721/162/</w:t>
      </w:r>
    </w:p>
    <w:p>
      <w:r>
        <w:rPr>
          <w:color w:val="777777"/>
          <w:sz w:val="16"/>
        </w:rPr>
        <w:t xml:space="preserve">p507 · att1 p.31  </w:t>
      </w:r>
      <w:r>
        <w:t>[14] Barrows, et al. v. Humana, Inc., No. 3:23-cv-00654, Doc. 82 (W.D. Ky. Aug. 15, 2025), https://www.govinfo.gov/content/pkg/USCOURTS-kywd-3_23-cv-00654/pdf/USCOURTS-kywd-3_23-cv-00654-0.pdf</w:t>
      </w:r>
    </w:p>
    <w:p>
      <w:r>
        <w:rPr>
          <w:color w:val="777777"/>
          <w:sz w:val="16"/>
        </w:rPr>
        <w:t xml:space="preserve">p508 · att1 p.31  </w:t>
      </w:r>
      <w:r>
        <w:t>[15] Kisting-Leung, et al. v. Cigna Corp., et al., No. 2:23-cv-01477, Doc. 55 (E.D. Cal. Mar. 31, 2025), https://docs.justia.com/cases/federal/district-courts/california/caedce/2%3A2023cv01477/431351/55</w:t>
      </w:r>
    </w:p>
    <w:p>
      <w:r>
        <w:rPr>
          <w:color w:val="777777"/>
          <w:sz w:val="16"/>
        </w:rPr>
        <w:t xml:space="preserve">p509 · att1 p.31  </w:t>
      </w:r>
      <w:r>
        <w:t>[16] Colorado General Assembly, HB 26-1139, Use of Artificial Intelligence in Health Care (signed June 2, 2026; effective Jan. 1, 2027), https://leg.colorado.gov/bills/hb26-1139</w:t>
      </w:r>
    </w:p>
    <w:p>
      <w:r>
        <w:rPr>
          <w:color w:val="777777"/>
          <w:sz w:val="16"/>
        </w:rPr>
        <w:t xml:space="preserve">p510 · att1 p.31  </w:t>
      </w:r>
      <w:r>
        <w:t>[17] Texas Legislature, SB 815 (89th Reg. Sess. 2025), Use of Automated Decision Systems in Health Benefit Claims, https://capitol.texas.gov/tlodocs/89R/billtext/html/SB00815F.htm</w:t>
      </w:r>
    </w:p>
    <w:p>
      <w:r>
        <w:rPr>
          <w:color w:val="777777"/>
          <w:sz w:val="16"/>
        </w:rPr>
        <w:t xml:space="preserve">p511 · att1 p.31  </w:t>
      </w:r>
      <w:r>
        <w:t>[18] Texas Legislature, HB 149 (89th Reg. Sess. 2025), Texas Responsible Artificial Intelligence Governance Act, https://capitol.texas.gov/tlodocs/89R/billtext/html/HB00149F.htm</w:t>
      </w:r>
    </w:p>
    <w:p>
      <w:r>
        <w:rPr>
          <w:color w:val="777777"/>
          <w:sz w:val="16"/>
        </w:rPr>
        <w:t xml:space="preserve">p512 · att1 p.31  </w:t>
      </w:r>
      <w:r>
        <w:t>[19] American College of Radiology, State AI Healthcare Bills Draw ACR Attention (Mar. 26, 2026), https://www.acr.org/News-and-Publications/2026/state-ai-healthcare-bills-draw-acr-attention</w:t>
      </w:r>
    </w:p>
    <w:p>
      <w:pPr>
        <w:pStyle w:val="Heading1"/>
        <w:pageBreakBefore/>
      </w:pPr>
      <w:r>
        <w:t>FDA-2026-N-7874-0026</w:t>
      </w:r>
    </w:p>
    <w:p>
      <w:r>
        <w:t>Comment from Rama Doddi</w:t>
      </w:r>
    </w:p>
    <w:p>
      <w:r>
        <w:rPr>
          <w:color w:val="777777"/>
          <w:sz w:val="18"/>
        </w:rPr>
        <w:t>Device Industry - C0012 · received 2026-08-22</w:t>
      </w:r>
    </w:p>
    <w:p>
      <w:r>
        <w:rPr>
          <w:color w:val="777777"/>
          <w:sz w:val="16"/>
        </w:rPr>
        <w:t xml:space="preserve">p001 · body  </w:t>
      </w:r>
      <w:r>
        <w:t>I am a Regulatory Affairs professional with experience in medical-device regulatory strategy. Please see below my responses/suggestions for a few questions.</w:t>
      </w:r>
    </w:p>
    <w:p>
      <w:r>
        <w:rPr>
          <w:color w:val="777777"/>
          <w:sz w:val="16"/>
        </w:rPr>
        <w:t xml:space="preserve">p002 · body  </w:t>
      </w:r>
      <w:r>
        <w:t>A.6. GenAI-Enabled Care Escalation — I recommend that FDA not treat under-escalation and over-escalation as equal risks. For Class II triage devices, manufacturers should be permitted to prioritize high sensitivity and minimize under-escalation, as failure to identify a serious condition could result in significant patient harm.</w:t>
      </w:r>
    </w:p>
    <w:p>
      <w:r>
        <w:rPr>
          <w:color w:val="777777"/>
          <w:sz w:val="16"/>
        </w:rPr>
        <w:t xml:space="preserve">p003 · body  </w:t>
      </w:r>
      <w:r>
        <w:t>A higher rate of over-escalation may be acceptable when the device provides an appropriate intermediate escalation pathway. For example, instead of directing the patient immediately to an emergency department, the device could connect the patient with a "qualified telehealth nurse or other healthcare professional" for further assessment. Manufacturers should justify the balance between under- and over-escalation based on the device's intended use, patient population, clinical risks, and escalation pathway.</w:t>
      </w:r>
    </w:p>
    <w:p>
      <w:r>
        <w:rPr>
          <w:color w:val="777777"/>
          <w:sz w:val="16"/>
        </w:rPr>
        <w:t xml:space="preserve">p004 · body  </w:t>
      </w:r>
      <w:r>
        <w:t>S.3. Calibration, Uncertainty Communication, and Clinical Deferral — I recommend that FDA consider establishing a standardized out-of-domain testing dataset for GenAI-enabled medical devices. This would provide a consistent method for evaluating whether a device appropriately recognizes situations outside its intended use or validated knowledge boundaries.</w:t>
      </w:r>
    </w:p>
    <w:p>
      <w:r>
        <w:rPr>
          <w:color w:val="777777"/>
          <w:sz w:val="16"/>
        </w:rPr>
        <w:t xml:space="preserve">p005 · body  </w:t>
      </w:r>
      <w:r>
        <w:t>For premarket evaluation, manufacturers could be required to demonstrate a predefined threshold for appropriate clinical deferral when presented with adversarial or out-of-domain scenarios as applicable. For example, FDA could consider a benchmark of at least 95% appropriate clinical deferral for predefined scenarios outside the device's intended scope, with the threshold adjusted based on the device's intended use and risk profile.</w:t>
      </w:r>
    </w:p>
    <w:p>
      <w:r>
        <w:rPr>
          <w:color w:val="777777"/>
          <w:sz w:val="16"/>
        </w:rPr>
        <w:t xml:space="preserve">p006 · body  </w:t>
      </w:r>
      <w:r>
        <w:t>The evaluation should also consider over-deferral, since excessive referral to a clinician for questions within the device's validated scope could reduce clinical utility. Manufacturers should therefore demonstrate that the device can appropriately distinguish between situations requiring clinical intervention and those within its validated capabilities.</w:t>
      </w:r>
    </w:p>
    <w:p>
      <w:pPr>
        <w:pStyle w:val="Heading1"/>
        <w:pageBreakBefore/>
      </w:pPr>
      <w:r>
        <w:t>FDA-2026-N-7874-0027</w:t>
      </w:r>
    </w:p>
    <w:p>
      <w:r>
        <w:t>Comment from SichGate Inc.</w:t>
      </w:r>
    </w:p>
    <w:p>
      <w:r>
        <w:rPr>
          <w:color w:val="777777"/>
          <w:sz w:val="18"/>
        </w:rPr>
        <w:t>Device Industry - C0012 · received 2026-08-22 · attachments: attachment_1.pdf (8 pp)</w:t>
      </w:r>
    </w:p>
    <w:p>
      <w:r>
        <w:rPr>
          <w:color w:val="777777"/>
          <w:sz w:val="16"/>
        </w:rPr>
        <w:t xml:space="preserve">p001 · body  </w:t>
      </w:r>
      <w:r>
        <w:t>Comment of Polina Moshenets, Founder, SichGate. Full comment attached.</w:t>
      </w:r>
    </w:p>
    <w:p>
      <w:r>
        <w:rPr>
          <w:color w:val="777777"/>
          <w:sz w:val="16"/>
        </w:rPr>
        <w:t xml:space="preserve">p002 · body  </w:t>
      </w:r>
      <w:r>
        <w:t>Addresses discussion questions 5, 9, 10, 19, 22, 23, 25, and 26.</w:t>
      </w:r>
    </w:p>
    <w:p>
      <w:r>
        <w:rPr>
          <w:color w:val="777777"/>
          <w:sz w:val="16"/>
        </w:rPr>
        <w:t xml:space="preserve">p003 · body  </w:t>
      </w:r>
      <w:r>
        <w:t>Disclosure: I am the founder of SichGate, which builds adversarial evaluation tooling for small language models. My remarks are methodological and propose no role for my own organization.</w:t>
      </w:r>
    </w:p>
    <w:p>
      <w:r>
        <w:rPr>
          <w:color w:val="777777"/>
          <w:sz w:val="16"/>
        </w:rPr>
        <w:t xml:space="preserve">p004 · body  </w:t>
      </w:r>
      <w:r>
        <w:t>I support the Section V.A principle that the deployed device configuration, not the foundation model standing alone, is the correct unit of evaluation. These comments concern places where later sections may not carry it through.</w:t>
      </w:r>
    </w:p>
    <w:p>
      <w:r>
        <w:rPr>
          <w:color w:val="777777"/>
          <w:sz w:val="16"/>
        </w:rPr>
        <w:t xml:space="preserve">p005 · body  </w:t>
      </w:r>
      <w:r>
        <w:t>1. COMPRESSION SHOULD BE A NAMED CHANGE CATEGORY (Q22, Q23, Q19). Section VI.C enumerates sponsor-initiated modifications, passive model evolution, and third-party model updates. Compression through quantization, pruning, or distillation fits none of these. It is applied late, often by an infrastructure function rather than the team responsible for safety assessment, and is frequently what makes constrained deployment feasible. It alters output distributions at the token-probability boundaries where refusal decisions are resolved, and reported effects diverge by method, precision, and model family. Recommend: add compression to the VI.C taxonomy; require validation of the exact deployed artifact after a material compression or inference-stack change; if considered for a PCCP, prespecify method, precision target, and re-benchmarking evidence rather than presuming low impact.</w:t>
      </w:r>
    </w:p>
    <w:p>
      <w:r>
        <w:rPr>
          <w:color w:val="777777"/>
          <w:sz w:val="16"/>
        </w:rPr>
        <w:t xml:space="preserve">p006 · body  </w:t>
      </w:r>
      <w:r>
        <w:t>2. REAL-WORLD SAMPLING DOES NOT MEASURE ADVERSARIAL RESISTANCE (Q19). Unless deliberately supplemented with adversarial probes, sampling designed to represent clinical presentations is not designed to estimate, and should not be treated as evidence of, resistance to prompt injection, scope testing, emotional manipulation, or multi-turn escalation. A device whose scope maintenance has degraded can produce an unremarkable real-world sample because nothing in it tested the boundary. Recommend: treat active re-benchmarking against a version-controlled adversarial battery as the principal reliable evidence source for the S-series and R-series elements, with cadence set independently of clinical review.</w:t>
      </w:r>
    </w:p>
    <w:p>
      <w:r>
        <w:rPr>
          <w:color w:val="777777"/>
          <w:sz w:val="16"/>
        </w:rPr>
        <w:t xml:space="preserve">p007 · body  </w:t>
      </w:r>
      <w:r>
        <w:t>3. ELEMENT-LEVEL RESULTS CAN CONCEAL CONSTITUENT REGRESSION (Q9, Q22). S.2 bundles mechanistically distinct attack classes: adversarial suffixes, competing objectives, indirect injection, sycophancy, and crescendo escalation. Because the mechanisms differ, they respond differently to a given change, so an element-level pass can absorb a material regression in one constituent. Recommend: compare at constituent failure-mode level against a taxonomy fixed and versioned at premarket.</w:t>
      </w:r>
    </w:p>
    <w:p>
      <w:r>
        <w:rPr>
          <w:color w:val="777777"/>
          <w:sz w:val="16"/>
        </w:rPr>
        <w:t xml:space="preserve">p008 · body  </w:t>
      </w:r>
      <w:r>
        <w:t>4. MULTI-TURN TRAJECTORY FAILURE REQUIRES DIRECT MEASUREMENT (Q5, Q9). Crescendo escalation requires no technical capability, is invisible to turn-level scoring because individual turns may appear benign or clinically permissible in isolation, and is not entailed by single-turn resistance. Recommend: treat multi-turn trajectory testing as a distinct testable behavior within S.2 with its own acceptance criteria, required for conversational devices and for action-directing or action-taking functions.</w:t>
      </w:r>
    </w:p>
    <w:p>
      <w:r>
        <w:rPr>
          <w:color w:val="777777"/>
          <w:sz w:val="16"/>
        </w:rPr>
        <w:t xml:space="preserve">p009 · body  </w:t>
      </w:r>
      <w:r>
        <w:t>5. FINE-TUNING REDISTRIBUTES EXPOSURE (Q9, Q22). Published work shows fine-tuning can compromise safety alignment even with benign data and no adversarial intent. Improvement on the dimension the fine-tuning targeted is not evidence of improvement on the Safety or Generalizability elements. Recommend: conduct R.2 subgroup evaluation on the fine-tuned artifact rather than inheriting it from the base model, and require sponsors to affirmatively justify a determination that R.2 is not applicable.</w:t>
      </w:r>
    </w:p>
    <w:p>
      <w:r>
        <w:rPr>
          <w:color w:val="777777"/>
          <w:sz w:val="16"/>
        </w:rPr>
        <w:t xml:space="preserve">p010 · body  </w:t>
      </w:r>
      <w:r>
        <w:t>6. FOUNDATION MODEL MAFs DESCRIBE AN ARTIFACT THAT IS NOT THE DEPLOYED ONE (Q25). A MAF characterizes the model as the developer produced it; the device incorporates it after fine-tuning, often compression, plus system prompt, retrieval, guardrails, and tool access. Recommend: require the referencing submission to document downstream transformations, and ask developers to characterize safety-behavior stability under common modifications.</w:t>
      </w:r>
    </w:p>
    <w:p>
      <w:r>
        <w:rPr>
          <w:color w:val="777777"/>
          <w:sz w:val="16"/>
        </w:rPr>
        <w:t xml:space="preserve">p011 · body  </w:t>
      </w:r>
      <w:r>
        <w:t>7. ADVERSARIAL BENCHMARK EXPOSURE (Q10). Because corpus provenance is generally undisclosed, public adversarial assets should be treated as potentially exposed rather than presumed sequestered, which causes measured resistance to overstate generalization to novel constructions. Recommend: require construct-validity arguments to address exposure, and require disclosure of attack taxonomy and scoring rubric where sponsor-developed assets are used.</w:t>
      </w:r>
    </w:p>
    <w:p>
      <w:r>
        <w:rPr>
          <w:color w:val="777777"/>
          <w:sz w:val="16"/>
        </w:rPr>
        <w:t xml:space="preserve">p012 · body  </w:t>
      </w:r>
      <w:r>
        <w:t>8. AGENTIC SYSTEMS (Q26). A boundary failure in an informational device produces an output; the same failure with tool access produces an action. Recommend: tie S.2 and A.1 acceptance criteria to action surface, reversibility, authorization scope, confirmation checkpoints, and halt or rollback capability, and evaluate them as jointly interacting controls.</w:t>
      </w:r>
    </w:p>
    <w:p>
      <w:r>
        <w:rPr>
          <w:color w:val="777777"/>
          <w:sz w:val="16"/>
        </w:rPr>
        <w:t xml:space="preserve">p013 · att1 p.1  </w:t>
      </w:r>
      <w:r>
        <w:t>Public Comment: Docket FDA-2026-N-7874 — Considerations for the Regulation of Generative AI-Enabled Medical Devices: Discussion Paper and Request for Feedback</w:t>
      </w:r>
    </w:p>
    <w:p>
      <w:r>
        <w:rPr>
          <w:color w:val="777777"/>
          <w:sz w:val="16"/>
        </w:rPr>
        <w:t xml:space="preserve">p014 · att1 p.1  </w:t>
      </w:r>
      <w:r>
        <w:t>Submitted by: Polina Moshenets, Founder, SichGate — Date: August 22, 2026 — About this comment</w:t>
      </w:r>
    </w:p>
    <w:p>
      <w:r>
        <w:rPr>
          <w:color w:val="777777"/>
          <w:sz w:val="16"/>
        </w:rPr>
        <w:t xml:space="preserve">p015 · att1 p.1  </w:t>
      </w:r>
      <w:r>
        <w:t>My work concerns adversarial evaluation of small language models (SLMs) in regulated deployments, with a focus on how safety-relevant behavior changes as a model moves from base checkpoint to fine-tuned and compressed deployment artifact. The comments below are methodological. They concern the durability of the paper's proposed lifecycle framework at the points where the evaluated artifact and the deployed artifact can diverge.</w:t>
      </w:r>
    </w:p>
    <w:p>
      <w:r>
        <w:rPr>
          <w:color w:val="777777"/>
          <w:sz w:val="16"/>
        </w:rPr>
        <w:t xml:space="preserve">p016 · att1 p.1  </w:t>
      </w:r>
      <w:r>
        <w:t>Disclosure: I am the founder of SichGate, which builds tooling for adversarial evaluation of small language models. Several comments below concern areas where such tooling is relevant, and Question 16 concerns the role of independent third parties. I have confined my remarks to methodological observations and propose no role for my own organization. I note the interest so the Center can weigh the comments accordingly.</w:t>
      </w:r>
    </w:p>
    <w:p>
      <w:r>
        <w:rPr>
          <w:color w:val="777777"/>
          <w:sz w:val="16"/>
        </w:rPr>
        <w:t xml:space="preserve">p017 · att1 p.1  </w:t>
      </w:r>
      <w:r>
        <w:t>This comment addresses discussion questions 5, 9, 10, 19, 22, 23, 25, and 26.</w:t>
      </w:r>
    </w:p>
    <w:p>
      <w:r>
        <w:rPr>
          <w:color w:val="777777"/>
          <w:sz w:val="16"/>
        </w:rPr>
        <w:t xml:space="preserve">p018 · att1 p.1  </w:t>
      </w:r>
      <w:r>
        <w:t>Preliminary observation — I want to note agreement with a principle stated in Section V.A: that under a competency-based approach, the final user-facing device as configured and intended to be deployed for real-world use, and not the foundation model standing alone or another isolated subcomponent, would be evaluated.</w:t>
      </w:r>
    </w:p>
    <w:p>
      <w:r>
        <w:rPr>
          <w:color w:val="777777"/>
          <w:sz w:val="16"/>
        </w:rPr>
        <w:t xml:space="preserve">p019 · att1 p.1  </w:t>
      </w:r>
      <w:r>
        <w:t>This is the correct unit of evaluation, and it resolves a gap that is widespread in current practice. The comments below concern places where the paper's later sections may not fully carry that principle through.</w:t>
      </w:r>
    </w:p>
    <w:p>
      <w:r>
        <w:rPr>
          <w:color w:val="777777"/>
          <w:sz w:val="16"/>
        </w:rPr>
        <w:t xml:space="preserve">p020 · att1 p.1  </w:t>
      </w:r>
      <w:r>
        <w:t>Summary of requested actions — Issue Requested action Evidence expectation — Compression as a change event</w:t>
      </w:r>
    </w:p>
    <w:p>
      <w:r>
        <w:rPr>
          <w:color w:val="777777"/>
          <w:sz w:val="16"/>
        </w:rPr>
        <w:t xml:space="preserve">p021 · att1 p.1  </w:t>
      </w:r>
      <w:r>
        <w:t>Add compression to the Section VI.C change taxonomy — Validate the deployed artifact after a material compression or inference-stack change</w:t>
      </w:r>
    </w:p>
    <w:p>
      <w:r>
        <w:rPr>
          <w:color w:val="777777"/>
          <w:sz w:val="16"/>
        </w:rPr>
        <w:t xml:space="preserve">p022 · att1 p.1  </w:t>
      </w:r>
      <w:r>
        <w:t>Version-controlled adversarial battery, change-triggered, on a cadence set separately from clinical review — Boundary regression Distinguish active adversarial re-benchmarking from observational monitoring</w:t>
      </w:r>
    </w:p>
    <w:p>
      <w:r>
        <w:rPr>
          <w:color w:val="777777"/>
          <w:sz w:val="16"/>
        </w:rPr>
        <w:t xml:space="preserve">p023 · att1 p.1  </w:t>
      </w:r>
      <w:r>
        <w:t>Within-element resolution — Compare at constituent failure-mode level at re-benchmarking — Per-attack-class results against a taxonomy versioned at premarket</w:t>
      </w:r>
    </w:p>
    <w:p>
      <w:r>
        <w:rPr>
          <w:color w:val="777777"/>
          <w:sz w:val="16"/>
        </w:rPr>
        <w:t xml:space="preserve">p024 · att1 p.1  </w:t>
      </w:r>
      <w:r>
        <w:t>Fine-tuning and R.2 Treat domain fine-tuning as redistributing rather than reducing exposure — Subgroup testing on the fine-tuned artifact, not inherited from the base model</w:t>
      </w:r>
    </w:p>
    <w:p>
      <w:r>
        <w:rPr>
          <w:color w:val="777777"/>
          <w:sz w:val="16"/>
        </w:rPr>
        <w:t xml:space="preserve">p025 · att1 p.2  </w:t>
      </w:r>
      <w:r>
        <w:t>Issue Requested action Evidence expectation — MAF applicability Document downstream transformations in the referencing submission</w:t>
      </w:r>
    </w:p>
    <w:p>
      <w:r>
        <w:rPr>
          <w:color w:val="777777"/>
          <w:sz w:val="16"/>
        </w:rPr>
        <w:t xml:space="preserve">p026 · att1 p.2  </w:t>
      </w:r>
      <w:r>
        <w:t>Fine-tuning, compression method and precision, inference configuration, retrieval, prompts, tools — Benchmark exposure Require contamination analysis for the Safety elements</w:t>
      </w:r>
    </w:p>
    <w:p>
      <w:r>
        <w:rPr>
          <w:color w:val="777777"/>
          <w:sz w:val="16"/>
        </w:rPr>
        <w:t xml:space="preserve">p027 · att1 p.2  </w:t>
      </w:r>
      <w:r>
        <w:t>Asset provenance, exposure assessment, disclosed attack taxonomy — Agentic systems Tie S.2 and A.1 criteria to action authorization and reversibility</w:t>
      </w:r>
    </w:p>
    <w:p>
      <w:r>
        <w:rPr>
          <w:color w:val="777777"/>
          <w:sz w:val="16"/>
        </w:rPr>
        <w:t xml:space="preserve">p028 · att1 p.2  </w:t>
      </w:r>
      <w:r>
        <w:t>Authorization scope, confirmation checkpoints, halt and rollback capability — 1. Compression of the model artifact should be named as a change category (Questions 22, 23, 19)</w:t>
      </w:r>
    </w:p>
    <w:p>
      <w:r>
        <w:rPr>
          <w:color w:val="777777"/>
          <w:sz w:val="16"/>
        </w:rPr>
        <w:t xml:space="preserve">p029 · att1 p.2  </w:t>
      </w:r>
      <w:r>
        <w:t>Section VI.C enumerates three kinds of post-deployment change: sponsor-initiated discrete modifications such as software updates, algorithm revisions, retraining events, and changes to intended functionality; model-evolution changes occurring passively as the device adapts during use; and unplanned changes arising from updates to a third-party foundation model.</w:t>
      </w:r>
    </w:p>
    <w:p>
      <w:r>
        <w:rPr>
          <w:color w:val="777777"/>
          <w:sz w:val="16"/>
        </w:rPr>
        <w:t xml:space="preserve">p030 · att1 p.2  </w:t>
      </w:r>
      <w:r>
        <w:t>Compression of the model artifact fits none of these cleanly.</w:t>
      </w:r>
    </w:p>
    <w:p>
      <w:r>
        <w:rPr>
          <w:color w:val="777777"/>
          <w:sz w:val="16"/>
        </w:rPr>
        <w:t xml:space="preserve">p031 · att1 p.2  </w:t>
      </w:r>
      <w:r>
        <w:t>Quantization, pruning, and distillation reduce the memory footprint and hardware requirements of a model (see, e.g., Frantar et al., arXiv:2210.17323; Dettmers et al., arXiv:2305.14314). For devices intended to run on constrained hardware, at the point of care, or inside controlled network environments, compression is frequently not optional. Small models deployed on premises or at the edge often require quantization to meet deployment constraints, and for many such deployments compression is the step that makes the deployment feasible at all.</w:t>
      </w:r>
    </w:p>
    <w:p>
      <w:r>
        <w:rPr>
          <w:color w:val="777777"/>
          <w:sz w:val="16"/>
        </w:rPr>
        <w:t xml:space="preserve">p032 · att1 p.2  </w:t>
      </w:r>
      <w:r>
        <w:t>Compression is typically applied late, after functional validation, and often by an infrastructure or deployment function rather than the team responsible for safety assessment. It is not a retraining event, it is not passive model evolution, and it is not initiated by an upstream developer. Under the taxonomy as written, a sponsor acting in good faith could conclude that recompressing a model to fit a new hardware target falls within no enumerated change category.</w:t>
      </w:r>
    </w:p>
    <w:p>
      <w:r>
        <w:rPr>
          <w:color w:val="777777"/>
          <w:sz w:val="16"/>
        </w:rPr>
        <w:t xml:space="preserve">p033 · att1 p.2  </w:t>
      </w:r>
      <w:r>
        <w:t>Question 22 asks whether there are categories of change that might not significantly affect safety or effectiveness and might be managed within a sponsor's quality management system rather than requiring premarket review. I expect compression to be nominated for that treatment, and would urge caution.</w:t>
      </w:r>
    </w:p>
    <w:p>
      <w:r>
        <w:rPr>
          <w:color w:val="777777"/>
          <w:sz w:val="16"/>
        </w:rPr>
        <w:t xml:space="preserve">p034 · att1 p.2  </w:t>
      </w:r>
      <w:r>
        <w:t>Compression alters the numerical representation of model weights, and therefore alters output distributions at the token-probability boundaries where refusal and compliance decisions are resolved. Whether that alteration is behaviorally material is an empirical question whose answer varies by method, precision, model family, and behavior measured. Reported findings in the literature diverge, and the divergence is itself the point: compression is not a single operation, the methods do not behave equivalently, and the direction of effect is not predictable in advance from the compression parameters alone.</w:t>
      </w:r>
    </w:p>
    <w:p>
      <w:r>
        <w:rPr>
          <w:color w:val="777777"/>
          <w:sz w:val="16"/>
        </w:rPr>
        <w:t xml:space="preserve">p035 · att1 p.2  </w:t>
      </w:r>
      <w:r>
        <w:t>The structural difficulty is that a sponsor evaluating only one artifact cannot distinguish between these possibilities. Evaluate only the full-precision checkpoint and the results may not describe what the device does. Evaluate only the compressed artifact and the results are representative of the device but cannot attribute behavior between the base model and the compression step, which matters when the base model is later updated or the precision target changes. Naming compression as a change category is what forces the comparison that resolves the ambiguity in either direction.</w:t>
      </w:r>
    </w:p>
    <w:p>
      <w:r>
        <w:rPr>
          <w:color w:val="777777"/>
          <w:sz w:val="16"/>
        </w:rPr>
        <w:t xml:space="preserve">p036 · att1 p.3  </w:t>
      </w:r>
      <w:r>
        <w:t>Recommendations: • Add compression of the model artifact, including quantization, pruning, and distillation, to the enumerated change categories in Section VI.C.</w:t>
      </w:r>
    </w:p>
    <w:p>
      <w:r>
        <w:rPr>
          <w:color w:val="777777"/>
          <w:sz w:val="16"/>
        </w:rPr>
        <w:t xml:space="preserve">p037 · att1 p.3  </w:t>
      </w:r>
      <w:r>
        <w:t>• A sponsor should validate the exact deployed artifact after a material compression or inference-stack change, where the artifact is understood to include numerical precision and compression method, inference runtime and accelerator class, decoding configuration, system prompt, retrieval pipeline, and tool policy. Evidence may be risk-proportionate, but should include targeted regression testing of the Safety and Generalizability elements rather than general performance evaluation alone.</w:t>
      </w:r>
    </w:p>
    <w:p>
      <w:r>
        <w:rPr>
          <w:color w:val="777777"/>
          <w:sz w:val="16"/>
        </w:rPr>
        <w:t xml:space="preserve">p038 · att1 p.3  </w:t>
      </w:r>
      <w:r>
        <w:t>• If compression is considered for inclusion in a PCCP, the plan should prespecify the compression method, precision target, and re-benchmarking evidence, rather than treating compression as a presumptively low-impact class of change.</w:t>
      </w:r>
    </w:p>
    <w:p>
      <w:r>
        <w:rPr>
          <w:color w:val="777777"/>
          <w:sz w:val="16"/>
        </w:rPr>
        <w:t xml:space="preserve">p039 · att1 p.3  </w:t>
      </w:r>
      <w:r>
        <w:t>2. Representative real-world sampling is not designed to estimate adversarial resistance (Question 19)</w:t>
      </w:r>
    </w:p>
    <w:p>
      <w:r>
        <w:rPr>
          <w:color w:val="777777"/>
          <w:sz w:val="16"/>
        </w:rPr>
        <w:t xml:space="preserve">p040 · att1 p.3  </w:t>
      </w:r>
      <w:r>
        <w:t>Section VI.A describes three postmarket approaches: periodic device benchmarking, periodic sample-based clinician review, and performance degradation monitoring. My comment concerns what the second and third can and cannot support.</w:t>
      </w:r>
    </w:p>
    <w:p>
      <w:r>
        <w:rPr>
          <w:color w:val="777777"/>
          <w:sz w:val="16"/>
        </w:rPr>
        <w:t xml:space="preserve">p041 · att1 p.3  </w:t>
      </w:r>
      <w:r>
        <w:t>Sample-based clinician review draws on real-world inputs and outputs, sampled to reflect the range of clinically relevant presentations the device encounters. This is well suited to detecting degradation in clinical proficiency, the E-series elements.</w:t>
      </w:r>
    </w:p>
    <w:p>
      <w:r>
        <w:rPr>
          <w:color w:val="777777"/>
          <w:sz w:val="16"/>
        </w:rPr>
        <w:t xml:space="preserve">p042 · att1 p.3  </w:t>
      </w:r>
      <w:r>
        <w:t>Unless it is deliberately supplemented with adversarially constructed probes, representative real-world sampling is not designed to estimate, and should not be treated as evidence of, resistance to prompt injection, adversarial scope testing, emotional manipulation, or multi-turn escalation. Sampling designed to represent the distribution of clinical presentations will not contain these inputs at a rate sufficient to characterize behavior against them. A device whose scope maintenance has degraded materially can produce an entirely unremarkable sample of real-world interactions, because nothing in that sample tested the boundary.</w:t>
      </w:r>
    </w:p>
    <w:p>
      <w:r>
        <w:rPr>
          <w:color w:val="777777"/>
          <w:sz w:val="16"/>
        </w:rPr>
        <w:t xml:space="preserve">p043 · att1 p.3  </w:t>
      </w:r>
      <w:r>
        <w:t>Performance degradation monitoring as described is likewise oriented toward drift arising from changes in the input population and data environment. Boundary behavior can change with no shift in input distribution at all, because the cause is a change to the artifact rather than to the traffic.</w:t>
      </w:r>
    </w:p>
    <w:p>
      <w:r>
        <w:rPr>
          <w:color w:val="777777"/>
          <w:sz w:val="16"/>
        </w:rPr>
        <w:t xml:space="preserve">p044 · att1 p.3  </w:t>
      </w:r>
      <w:r>
        <w:t>The consequence is that S.2 (scope maintenance and boundary adherence) and R.1 (robustness, reliability, and reproducibility) require active re-benchmarking as the principal reliable evidence source, conducted against a version-controlled adversarial battery with documented refresh and sequestering procedures. That is achievable. It means the cadence and triggering events for re-benchmarking carry more weight for the Safety and Generalizability elements than for the Clinical Proficiency elements, and should probably be set separately.</w:t>
      </w:r>
    </w:p>
    <w:p>
      <w:r>
        <w:rPr>
          <w:color w:val="777777"/>
          <w:sz w:val="16"/>
        </w:rPr>
        <w:t xml:space="preserve">p045 · att1 p.4  </w:t>
      </w:r>
      <w:r>
        <w:t>Recommendation: Postmarket monitoring expectations should recognize that active adversarial re-benchmarking is the principal reliable evidence source for the S-series and R-series elements, and should set re-benchmarking cadence and triggering events for those elements independently of clinical review cadence.</w:t>
      </w:r>
    </w:p>
    <w:p>
      <w:r>
        <w:rPr>
          <w:color w:val="777777"/>
          <w:sz w:val="16"/>
        </w:rPr>
        <w:t xml:space="preserve">p046 · att1 p.4  </w:t>
      </w:r>
      <w:r>
        <w:t>3. Element-level results can conceal constituent regression (Questions 9, 22) — The benchmarking structure in Figure 2 is well decomposed, and I do not propose additional elements. My concern is resolution inside an element at the point of re-benchmarking.</w:t>
      </w:r>
    </w:p>
    <w:p>
      <w:r>
        <w:rPr>
          <w:color w:val="777777"/>
          <w:sz w:val="16"/>
        </w:rPr>
        <w:t xml:space="preserve">p047 · att1 p.4  </w:t>
      </w:r>
      <w:r>
        <w:t>S.2 as described in Appendix A encompasses under-refusal, over-refusal, adversarial prompting, prompt injection, emotional-manipulation scenarios, and multi-turn conversations in which cumulative interaction drifts out of scope. These are not variants of one phenomenon. They have been characterized in the literature as distinct mechanisms with distinct causes: adversarial suffix construction exploits gradient-accessible token sequences (Zou et al., arXiv:2307.15043); competing-objective framings exploit tension between helpfulness and safety training (Wei et al., arXiv:2307.02483); indirect injection exploits the absence of a trust boundary between instructions and retrieved data (Greshake et al., AISec 2023); sycophantic capitulation reflects preference-optimization dynamics that favor agreement with stated user positions (Sharma et al., arXiv:2310.13548); and crescendo escalation exploits the absence of trajectory-level constraint management (Russinovich et al., arXiv:2404.01833).</w:t>
      </w:r>
    </w:p>
    <w:p>
      <w:r>
        <w:rPr>
          <w:color w:val="777777"/>
          <w:sz w:val="16"/>
        </w:rPr>
        <w:t xml:space="preserve">p048 · att1 p.4  </w:t>
      </w:r>
      <w:r>
        <w:t>Because the mechanisms differ, so do their responses to any given change to the artifact. A modification that leaves single-turn refusal intact may degrade multi-turn resistance, or the reverse. There is no reason to expect them to move together, and published results show models that are robust to one class while failing another.</w:t>
      </w:r>
    </w:p>
    <w:p>
      <w:r>
        <w:rPr>
          <w:color w:val="777777"/>
          <w:sz w:val="16"/>
        </w:rPr>
        <w:t xml:space="preserve">p049 · att1 p.4  </w:t>
      </w:r>
      <w:r>
        <w:t>If re-benchmarking after a modification produces a pass or fail at element level, a device can pass while a constituent failure mode has regressed materially, because the element result absorbs it. This is the averaging problem that makes aggregate safety scores unreliable, reproduced one level down.</w:t>
      </w:r>
    </w:p>
    <w:p>
      <w:r>
        <w:rPr>
          <w:color w:val="777777"/>
          <w:sz w:val="16"/>
        </w:rPr>
        <w:t xml:space="preserve">p050 · att1 p.4  </w:t>
      </w:r>
      <w:r>
        <w:t>The paper's own framing supports the finer resolution. Appendix A treats under-refusal and over-refusal as distinct relevant failures within S.2, and treats both directions of escalation error as relevant within S.1. The same logic extends to the attack classes within S.2.</w:t>
      </w:r>
    </w:p>
    <w:p>
      <w:r>
        <w:rPr>
          <w:color w:val="777777"/>
          <w:sz w:val="16"/>
        </w:rPr>
        <w:t xml:space="preserve">p051 · att1 p.4  </w:t>
      </w:r>
      <w:r>
        <w:t>Recommendation: Where Section VI.C contemplates re-benchmarking against the same capabilities established at premarket, the comparison should be made at the level of constituent failure modes within each element, against a taxonomy fixed and versioned at the time of the original benchmarking, rather than at element level alone.</w:t>
      </w:r>
    </w:p>
    <w:p>
      <w:r>
        <w:rPr>
          <w:color w:val="777777"/>
          <w:sz w:val="16"/>
        </w:rPr>
        <w:t xml:space="preserve">p052 · att1 p.4  </w:t>
      </w:r>
      <w:r>
        <w:t>4. Multi-turn trajectory failure requires direct measurement (Questions 5, 9) — Question 5 asks how risk should be assessed for devices that migrate from non-directive to action-directing information over the course of an exchange. Appendix A addresses the related evaluation problem under S.2.</w:t>
      </w:r>
    </w:p>
    <w:p>
      <w:r>
        <w:rPr>
          <w:color w:val="777777"/>
          <w:sz w:val="16"/>
        </w:rPr>
        <w:t xml:space="preserve">p053 · att1 p.4  </w:t>
      </w:r>
      <w:r>
        <w:t>Three features of multi-turn escalation argue for treating it as a distinct testable behavior rather than one testing method among several.</w:t>
      </w:r>
    </w:p>
    <w:p>
      <w:r>
        <w:rPr>
          <w:color w:val="777777"/>
          <w:sz w:val="16"/>
        </w:rPr>
        <w:t xml:space="preserve">p054 · att1 p.5  </w:t>
      </w:r>
      <w:r>
        <w:t>It requires no technical capability. Crescendo-style escalation proceeds through ordinary conversational turns, each of which appears benign, and has been shown effective against production models without access to weights, gradients, or specialized tooling (Russinovich et al., arXiv:2404.01833). In a clinical or patient-facing deployment, every user has the access required to attempt it. The related many-shot approach likewise requires only extended context and iterative querying (Anil et al., 2024).</w:t>
      </w:r>
    </w:p>
    <w:p>
      <w:r>
        <w:rPr>
          <w:color w:val="777777"/>
          <w:sz w:val="16"/>
        </w:rPr>
        <w:t xml:space="preserve">p055 · att1 p.5  </w:t>
      </w:r>
      <w:r>
        <w:t>It is invisible to turn-level evaluation by construction. Individual turns may appear benign or clinically permissible in isolation; the failure is a property of the trajectory. Single-turn benchmark performance is therefore a weak predictor of multi-turn behavior, and no quantity of single-turn testing will surface it.</w:t>
      </w:r>
    </w:p>
    <w:p>
      <w:r>
        <w:rPr>
          <w:color w:val="777777"/>
          <w:sz w:val="16"/>
        </w:rPr>
        <w:t xml:space="preserve">p056 · att1 p.5  </w:t>
      </w:r>
      <w:r>
        <w:t>It is orthogonal to other safety properties. Resistance to multi-turn escalation is not entailed by resistance to single-turn adversarial input, and models can be strong on one while weak on the other. This makes it exactly the kind of behavior that a composite element result can conceal, per Section 3 above.</w:t>
      </w:r>
    </w:p>
    <w:p>
      <w:r>
        <w:rPr>
          <w:color w:val="777777"/>
          <w:sz w:val="16"/>
        </w:rPr>
        <w:t xml:space="preserve">p057 · att1 p.5  </w:t>
      </w:r>
      <w:r>
        <w:t>This connects directly to the paper's own concern in Question 5 about characterizing intended use when device behavior is emergent across a conversation. A device whose scope is well defined turn by turn may not have a well-defined scope across a trajectory, and that is a testable property rather than a documentation problem.</w:t>
      </w:r>
    </w:p>
    <w:p>
      <w:r>
        <w:rPr>
          <w:color w:val="777777"/>
          <w:sz w:val="16"/>
        </w:rPr>
        <w:t xml:space="preserve">p058 · att1 p.5  </w:t>
      </w:r>
      <w:r>
        <w:t>Recommendation: Multi-turn trajectory testing should be a distinct testable behavior within S.2 with its own acceptance criteria, rather than one of several methods that may be applied to the element. For conversational devices, and for any function the two-axis framework places in the action-directing or action-taking columns, it should be required rather than optional.</w:t>
      </w:r>
    </w:p>
    <w:p>
      <w:r>
        <w:rPr>
          <w:color w:val="777777"/>
          <w:sz w:val="16"/>
        </w:rPr>
        <w:t xml:space="preserve">p059 · att1 p.5  </w:t>
      </w:r>
      <w:r>
        <w:t>5. Domain fine-tuning redistributes exposure rather than reducing it (Questions 9, 22) — This point bears on R.2 (subgroup performance) and on the treatment of fine-tuning as a change event.</w:t>
      </w:r>
    </w:p>
    <w:p>
      <w:r>
        <w:rPr>
          <w:color w:val="777777"/>
          <w:sz w:val="16"/>
        </w:rPr>
        <w:t xml:space="preserve">p060 · att1 p.5  </w:t>
      </w:r>
      <w:r>
        <w:t>There is a natural intuition that fine-tuning a general-purpose model on high-quality, domain-appropriate clinical data should improve its safety behavior in that domain. The published evidence does not support treating that as a default. Qi et al. demonstrated that fine-tuning aligned models can compromise safety alignment even when the fine-tuning data is benign and the operator has no adversarial intent (arXiv:2310.03693). Yang et al. showed that safety behavior in open-weight models can be substantially degraded through fine-tuning data that appears entirely innocuous (arXiv:2310.02949).</w:t>
      </w:r>
    </w:p>
    <w:p>
      <w:r>
        <w:rPr>
          <w:color w:val="777777"/>
          <w:sz w:val="16"/>
        </w:rPr>
        <w:t xml:space="preserve">p061 · att1 p.5  </w:t>
      </w:r>
      <w:r>
        <w:t>The mechanism matters for how the Center might treat this. Fine-tuning changes the model's learned conditional output distribution, including over the token sequences adjacent to refusal decisions. Those changes are not confined to the capability the fine-tuning targeted. A fine-tune that improves performance on the intended clinical task can simultaneously alter behavior on dimensions the fine-tuning corpus was never selected to address, including subgroup consistency, because the corpus carries signal on those dimensions whether or not it was curated for them.</w:t>
      </w:r>
    </w:p>
    <w:p>
      <w:r>
        <w:rPr>
          <w:color w:val="777777"/>
          <w:sz w:val="16"/>
        </w:rPr>
        <w:t xml:space="preserve">p062 · att1 p.5  </w:t>
      </w:r>
      <w:r>
        <w:t>The practical risk under the proposed framework is a sponsor who evaluates the fine-tuned artifact on the dimension the fine-tuning targeted, observes improvement, and treats that as evidence about the Safety and Generalizability elements more broadly. Improvement on the targeted dimension is not evidence of improvement elsewhere, and may coexist with substantial regression elsewhere.</w:t>
      </w:r>
    </w:p>
    <w:p>
      <w:r>
        <w:rPr>
          <w:color w:val="777777"/>
          <w:sz w:val="16"/>
        </w:rPr>
        <w:t xml:space="preserve">p063 · att1 p.6  </w:t>
      </w:r>
      <w:r>
        <w:t>Recommendations: • Where a device incorporates a domain fine-tuned model, R.2 subgroup evaluation should be conducted on the fine-tuned artifact rather than inherited from evaluation of the base model. Sponsors should affirmatively justify a determination that R.2 is not applicable, rather than reaching that determination by omission.</w:t>
      </w:r>
    </w:p>
    <w:p>
      <w:r>
        <w:rPr>
          <w:color w:val="777777"/>
          <w:sz w:val="16"/>
        </w:rPr>
        <w:t xml:space="preserve">p064 · att1 p.6  </w:t>
      </w:r>
      <w:r>
        <w:t>• Fine-tuning should not be treated as presumptively risk-reducing on the Safety elements merely because it was performed on domain-appropriate clinical data.</w:t>
      </w:r>
    </w:p>
    <w:p>
      <w:r>
        <w:rPr>
          <w:color w:val="777777"/>
          <w:sz w:val="16"/>
        </w:rPr>
        <w:t xml:space="preserve">p065 · att1 p.6  </w:t>
      </w:r>
      <w:r>
        <w:t>6. Foundation Model MAFs describe an artifact that is not the deployed one (Question 25)</w:t>
      </w:r>
    </w:p>
    <w:p>
      <w:r>
        <w:rPr>
          <w:color w:val="777777"/>
          <w:sz w:val="16"/>
        </w:rPr>
        <w:t xml:space="preserve">p066 · att1 p.6  </w:t>
      </w:r>
      <w:r>
        <w:t>Section VII.A notes that third-party foundation models may control refusal behavior, content policies, output formatting, version control, and safety-critical behaviors integral to device safety. The proposed content list appropriately includes safety-relevant behavioral constraints and guardrails built into the model.</w:t>
      </w:r>
    </w:p>
    <w:p>
      <w:r>
        <w:rPr>
          <w:color w:val="777777"/>
          <w:sz w:val="16"/>
        </w:rPr>
        <w:t xml:space="preserve">p067 · att1 p.6  </w:t>
      </w:r>
      <w:r>
        <w:t>The structural limitation is that a MAF characterizes the model as the developer produced it. The device incorporates that model after fine-tuning or adaptation, frequently after compression, and always in combination with a system prompt, retrieval configuration, guardrails, and, for agentic devices, tool access. Refusal behavior is among the properties most sensitive to each of those steps, as Section 5 above discusses for fine-tuning.</w:t>
      </w:r>
    </w:p>
    <w:p>
      <w:r>
        <w:rPr>
          <w:color w:val="777777"/>
          <w:sz w:val="16"/>
        </w:rPr>
        <w:t xml:space="preserve">p068 · att1 p.6  </w:t>
      </w:r>
      <w:r>
        <w:t>The paper is clear that sponsors remain responsible for demonstrating the safety and effectiveness of their own device, so accountability is correctly placed. The risk is narrower: a reviewer holding a thorough MAF may reasonably treat the referenced safety characterization as more probative of device behavior than it is.</w:t>
      </w:r>
    </w:p>
    <w:p>
      <w:r>
        <w:rPr>
          <w:color w:val="777777"/>
          <w:sz w:val="16"/>
        </w:rPr>
        <w:t xml:space="preserve">p069 · att1 p.6  </w:t>
      </w:r>
      <w:r>
        <w:t>Question 25 also asks what would make the program sufficiently useful given limited developer incentive to disclose. I note that a MAF describing behavior only in the developer's own reference configuration is both cheaper to produce and less probative, so the incentive gradient runs toward the version carrying the least evidentiary weight.</w:t>
      </w:r>
    </w:p>
    <w:p>
      <w:r>
        <w:rPr>
          <w:color w:val="777777"/>
          <w:sz w:val="16"/>
        </w:rPr>
        <w:t xml:space="preserve">p070 · att1 p.6  </w:t>
      </w:r>
      <w:r>
        <w:t>Recommendations: • Where a submission references a Foundation Model MAF, the submission should document the transformations applied downstream, including fine-tuning, compression method and precision, and the deployed inference configuration, so the referenced evidence can be assessed for applicability.</w:t>
      </w:r>
    </w:p>
    <w:p>
      <w:r>
        <w:rPr>
          <w:color w:val="777777"/>
          <w:sz w:val="16"/>
        </w:rPr>
        <w:t xml:space="preserve">p071 · att1 p.6  </w:t>
      </w:r>
      <w:r>
        <w:t>• MAF content guidance could ask developers to characterize the stability of safety-relevant behaviors under common downstream modifications, including quantization at standard precisions, rather than only in the reference configuration.</w:t>
      </w:r>
    </w:p>
    <w:p>
      <w:r>
        <w:rPr>
          <w:color w:val="777777"/>
          <w:sz w:val="16"/>
        </w:rPr>
        <w:t xml:space="preserve">p072 · att1 p.6  </w:t>
      </w:r>
      <w:r>
        <w:t>7. Adversarial benchmark exposure (Question 10) — Question 10 raises data contamination, saturation, and limited real-world representativeness in publicly available benchmarking assets. The concern is acute for the Safety elements specifically.</w:t>
      </w:r>
    </w:p>
    <w:p>
      <w:r>
        <w:rPr>
          <w:color w:val="777777"/>
          <w:sz w:val="16"/>
        </w:rPr>
        <w:t xml:space="preserve">p073 · att1 p.7  </w:t>
      </w:r>
      <w:r>
        <w:t>Because the provenance of training, instruction-tuning, and safety-tuning corpora is generally incomplete or undisclosed, public adversarial benchmarks should be treated as potentially exposed rather than presumed sequestered. A model may decline a prompt drawn from a well-known adversarial dataset because that prompt or a near neighbor was present during alignment training, rather than because the underlying behavior generalizes. Measured resistance on public adversarial assets therefore tends to overstate resistance to novel constructions within the same attack class, and the overstatement grows as an asset ages and circulates.</w:t>
      </w:r>
    </w:p>
    <w:p>
      <w:r>
        <w:rPr>
          <w:color w:val="777777"/>
          <w:sz w:val="16"/>
        </w:rPr>
        <w:t xml:space="preserve">p074 · att1 p.7  </w:t>
      </w:r>
      <w:r>
        <w:t>This interacts with Question 16. Sponsor-developed adversarial assets are less likely to be exposed but carry an evident independence problem, since the same party selects both the attacks and the acceptance criteria. One available balance is to publish the attack category taxonomy and scoring methodology while retaining the specific probe payloads, which preserves reviewability of the construct without publishing a reproduction recipe. Sequestered assets held by a qualified independent party would address both concerns more completely, at the cost of the program design considerations raised in Question 16.</w:t>
      </w:r>
    </w:p>
    <w:p>
      <w:r>
        <w:rPr>
          <w:color w:val="777777"/>
          <w:sz w:val="16"/>
        </w:rPr>
        <w:t xml:space="preserve">p075 · att1 p.7  </w:t>
      </w:r>
      <w:r>
        <w:t>Recommendation: For the S-series elements, a sponsor's construct validity argument should address exposure specifically, including whether assets post-date the model's training data and whether they appear in public alignment datasets. Where sponsor-developed adversarial assets are used, the taxonomy of attack classes and the scoring rubric should be prespecified and disclosed even where individual payloads are not.</w:t>
      </w:r>
    </w:p>
    <w:p>
      <w:r>
        <w:rPr>
          <w:color w:val="777777"/>
          <w:sz w:val="16"/>
        </w:rPr>
        <w:t xml:space="preserve">p076 · att1 p.7  </w:t>
      </w:r>
      <w:r>
        <w:t>8. Agentic systems: tie acceptance criteria to the action surface (Question 26) — Element A.1 appropriately includes resistance to prompt injection through user inputs, retrieved content, and tool outputs, which reflects the established finding that indirect injection through retrieved content is a distinct attack surface from direct user input (Greshake et al., AISec 2023).</w:t>
      </w:r>
    </w:p>
    <w:p>
      <w:r>
        <w:rPr>
          <w:color w:val="777777"/>
          <w:sz w:val="16"/>
        </w:rPr>
        <w:t xml:space="preserve">p077 · att1 p.7  </w:t>
      </w:r>
      <w:r>
        <w:t>I would add one consideration about how the elements interact for agentic devices.</w:t>
      </w:r>
    </w:p>
    <w:p>
      <w:r>
        <w:rPr>
          <w:color w:val="777777"/>
          <w:sz w:val="16"/>
        </w:rPr>
        <w:t xml:space="preserve">p078 · att1 p.7  </w:t>
      </w:r>
      <w:r>
        <w:t>A boundary failure under S.2 in a non-agentic informational device produces an inappropriate output that a user may or may not rely upon. The same failure in a device with tool access produces an action. The consequences axis in Figure 1 captures the severity of relying on an incorrect output, but for agentic systems the relevant quantity is closer to the severity of an action taken without any opportunity for reliance to be withheld.</w:t>
      </w:r>
    </w:p>
    <w:p>
      <w:r>
        <w:rPr>
          <w:color w:val="777777"/>
          <w:sz w:val="16"/>
        </w:rPr>
        <w:t xml:space="preserve">p079 · att1 p.7  </w:t>
      </w:r>
      <w:r>
        <w:t>Recommendation: For devices in the action-taking columns, acceptance criteria should account not only for the likelihood of unsafe generation but also for the action surface exposed to the model, the reversibility of available actions, the authorization scope granted to the device, the availability of independent confirmation before high-consequence or irreversible actions, and the capability to halt or roll back an in-progress action sequence. Where meaningful autonomous action is possible, S.2 and A.1 should be evaluated as jointly interacting controls rather than as independent checklist items, since the human review that moderates risk elsewhere in the framework is absent by construction.</w:t>
      </w:r>
    </w:p>
    <w:p>
      <w:r>
        <w:rPr>
          <w:color w:val="777777"/>
          <w:sz w:val="16"/>
        </w:rPr>
        <w:t xml:space="preserve">p080 · att1 p.7  </w:t>
      </w:r>
      <w:r>
        <w:t>Closing — The discussion paper is correct that the range of possible inputs to a GenAI-enabled device may be too large for exhaustive testing to be practical, and the competency-based structure is a sound response to that constraint. My comments concern the durability of that structure across the device lifecycle: that the artifact evaluated at premarket is the artifact that reaches the patient, that changes to it are enumerated in a way that prompts characterization, that the safety elements are re-measured actively rather than inferred from observational use, and that results are compared at a resolution fine enough to make a regression visible.</w:t>
      </w:r>
    </w:p>
    <w:p>
      <w:r>
        <w:rPr>
          <w:color w:val="777777"/>
          <w:sz w:val="16"/>
        </w:rPr>
        <w:t xml:space="preserve">p081 · att1 p.8  </w:t>
      </w:r>
      <w:r>
        <w:t>I would be glad to provide further detail on any of the above if it would be useful to the Center.</w:t>
      </w:r>
    </w:p>
    <w:p>
      <w:r>
        <w:rPr>
          <w:color w:val="777777"/>
          <w:sz w:val="16"/>
        </w:rPr>
        <w:t xml:space="preserve">p082 · att1 p.8  </w:t>
      </w:r>
      <w:r>
        <w:t>Respectfully submitted,</w:t>
      </w:r>
    </w:p>
    <w:p>
      <w:r>
        <w:rPr>
          <w:color w:val="777777"/>
          <w:sz w:val="16"/>
        </w:rPr>
        <w:t xml:space="preserve">p083 · att1 p.8  </w:t>
      </w:r>
      <w:r>
        <w:t>Polina Moshenets Founder, SichGate Polina.Moshenets@sichgate.com</w:t>
      </w:r>
    </w:p>
    <w:p>
      <w:pPr>
        <w:pStyle w:val="Heading1"/>
        <w:pageBreakBefore/>
      </w:pPr>
      <w:r>
        <w:t>FDA-2026-N-7874-0028</w:t>
      </w:r>
    </w:p>
    <w:p>
      <w:r>
        <w:t>Comment from Aruna Badiga</w:t>
      </w:r>
    </w:p>
    <w:p>
      <w:r>
        <w:rPr>
          <w:color w:val="777777"/>
          <w:sz w:val="18"/>
        </w:rPr>
        <w:t>received 2026-08-23 · attachments: attachment_1.pdf (5 pp)</w:t>
      </w:r>
    </w:p>
    <w:p>
      <w:r>
        <w:rPr>
          <w:color w:val="777777"/>
          <w:sz w:val="16"/>
        </w:rPr>
        <w:t xml:space="preserve">p001 · body  </w:t>
      </w:r>
      <w:r>
        <w:t>I appreciate CDRH’s collaborative approach and the opportunity to comment before draft guidance. I offer recommendations on risk assessment, premarket evaluation, and postmarket monitoring.</w:t>
      </w:r>
    </w:p>
    <w:p>
      <w:r>
        <w:rPr>
          <w:color w:val="777777"/>
          <w:sz w:val="16"/>
        </w:rPr>
        <w:t xml:space="preserve">p002 · body  </w:t>
      </w:r>
      <w:r>
        <w:t>I. The Two-Axis Risk Framework (Section IV) — I support the two-axis framework—device activity and consequences of an incorrect output—as a useful starting point, but not a determinative scoring tool. Four additional risk modifiers should be considered:</w:t>
      </w:r>
    </w:p>
    <w:p>
      <w:r>
        <w:rPr>
          <w:color w:val="777777"/>
          <w:sz w:val="16"/>
        </w:rPr>
        <w:t xml:space="preserve">p003 · body  </w:t>
      </w:r>
      <w:r>
        <w:t>Reversibility: Incorrect outputs causing irreversible actions warrant greater oversight than reversible outcomes.</w:t>
      </w:r>
    </w:p>
    <w:p>
      <w:r>
        <w:rPr>
          <w:color w:val="777777"/>
          <w:sz w:val="16"/>
        </w:rPr>
        <w:t xml:space="preserve">p004 · body  </w:t>
      </w:r>
      <w:r>
        <w:t>Downstream safeguards: Validated controls, such as pharmacist verification, HCP co-signature, or hard-coded dose limits, should reduce risk. CDRH should clarify the evidence required to credit safeguards, recognizing that engineered controls are generally more reliable than human vigilance.</w:t>
      </w:r>
    </w:p>
    <w:p>
      <w:r>
        <w:rPr>
          <w:color w:val="777777"/>
          <w:sz w:val="16"/>
        </w:rPr>
        <w:t xml:space="preserve">p005 · body  </w:t>
      </w:r>
      <w:r>
        <w:t>Time pressure: Emergency and ICU functions may pose greater risk because time constraints amplify automation bias and limit verification.</w:t>
      </w:r>
    </w:p>
    <w:p>
      <w:r>
        <w:rPr>
          <w:color w:val="777777"/>
          <w:sz w:val="16"/>
        </w:rPr>
        <w:t xml:space="preserve">p006 · body  </w:t>
      </w:r>
      <w:r>
        <w:t>Traceability: Outputs citing verifiable sources facilitate review and should mitigate risk.</w:t>
      </w:r>
    </w:p>
    <w:p>
      <w:r>
        <w:rPr>
          <w:color w:val="777777"/>
          <w:sz w:val="16"/>
        </w:rPr>
        <w:t xml:space="preserve">p007 · body  </w:t>
      </w:r>
      <w:r>
        <w:t>These modifiers would improve precision without sacrificing simplicity.</w:t>
      </w:r>
    </w:p>
    <w:p>
      <w:r>
        <w:rPr>
          <w:color w:val="777777"/>
          <w:sz w:val="16"/>
        </w:rPr>
        <w:t xml:space="preserve">p008 · body  </w:t>
      </w:r>
      <w:r>
        <w:t>II. Action-Directing, Escalation, and Audience-Based Risk — Directiveness exists on a continuum; “talk to your doctor” disclaimers should not automatically reduce classification. CDRH should provide examples or a decision tree addressing specificity, personalization, and clinical context.</w:t>
      </w:r>
    </w:p>
    <w:p>
      <w:r>
        <w:rPr>
          <w:color w:val="777777"/>
          <w:sz w:val="16"/>
        </w:rPr>
        <w:t xml:space="preserve">p009 · body  </w:t>
      </w:r>
      <w:r>
        <w:t>Patient-facing functions should not automatically receive the highest risk tier. Assessment should consider understandable communication, uncertainty signaling, and escalation triggers. Risk for generalist- and specialist-facing HCP functions should similarly reflect user expertise and the function’s knowledge domain.</w:t>
      </w:r>
    </w:p>
    <w:p>
      <w:r>
        <w:rPr>
          <w:color w:val="777777"/>
          <w:sz w:val="16"/>
        </w:rPr>
        <w:t xml:space="preserve">p010 · body  </w:t>
      </w:r>
      <w:r>
        <w:t>For multi-turn systems, risk should be assessed across realistic conversational trajectories. Intended use should define conversational scope and maximum directiveness, supported by adherence testing.</w:t>
      </w:r>
    </w:p>
    <w:p>
      <w:r>
        <w:rPr>
          <w:color w:val="777777"/>
          <w:sz w:val="16"/>
        </w:rPr>
        <w:t xml:space="preserve">p011 · body  </w:t>
      </w:r>
      <w:r>
        <w:t>Manufacturers should justify an acceptable balance between under- and over-escalation based on clinical context, subject to CDRH review rather than a universal threshold.</w:t>
      </w:r>
    </w:p>
    <w:p>
      <w:r>
        <w:rPr>
          <w:color w:val="777777"/>
          <w:sz w:val="16"/>
        </w:rPr>
        <w:t xml:space="preserve">p012 · body  </w:t>
      </w:r>
      <w:r>
        <w:t>III. Competency-Based Premarket Evaluation (Section V) — I support benchmarking followed by clinical confirmation as a pragmatic alternative to exhaustive testing of open-ended GenAI outputs.</w:t>
      </w:r>
    </w:p>
    <w:p>
      <w:r>
        <w:rPr>
          <w:color w:val="777777"/>
          <w:sz w:val="16"/>
        </w:rPr>
        <w:t xml:space="preserve">p013 · body  </w:t>
      </w:r>
      <w:r>
        <w:t>Benchmarking. The Safety, Clinical Proficiency, Generalizability, and Agentic taxonomy should include Interoperability and Context Integrity, assessing accurate use of structured data without misattribution or context loss. Safety acceptance criteria should include subgroup results so aggregate performance does not obscure disparities.</w:t>
      </w:r>
    </w:p>
    <w:p>
      <w:r>
        <w:rPr>
          <w:color w:val="777777"/>
          <w:sz w:val="16"/>
        </w:rPr>
        <w:t xml:space="preserve">p014 · body  </w:t>
      </w:r>
      <w:r>
        <w:t>Benchmark validity. Public benchmarks may suffer contamination or saturation. Sponsors should demonstrate correlation with an independent, clinically grounded reference standard. Sponsor-developed benchmarks should use held-out test sets and independent clinical adjudication. CDRH should consider consensus benchmarks developed through public-private processes, potentially using the MDDT pathway.</w:t>
      </w:r>
    </w:p>
    <w:p>
      <w:r>
        <w:rPr>
          <w:color w:val="777777"/>
          <w:sz w:val="16"/>
        </w:rPr>
        <w:t xml:space="preserve">p015 · body  </w:t>
      </w:r>
      <w:r>
        <w:t>Clinical confirmation. CDRH should permit risk-proportionate approaches, including retrospective studies, shadow deployment, clinician adjudication, and prospective studies. Combined methods should be acceptable when they provide sufficient evidence.</w:t>
      </w:r>
    </w:p>
    <w:p>
      <w:r>
        <w:rPr>
          <w:color w:val="777777"/>
          <w:sz w:val="16"/>
        </w:rPr>
        <w:t xml:space="preserve">p016 · body  </w:t>
      </w:r>
      <w:r>
        <w:t>Synthetic data. Synthetic data may supplement evidence for rare or underrepresented cases but can introduce circularity. Sponsors should validate it against real-world distributions, disclose generation methods and model relationships, and assess distributional shifts when combining sources.</w:t>
      </w:r>
    </w:p>
    <w:p>
      <w:r>
        <w:rPr>
          <w:color w:val="777777"/>
          <w:sz w:val="16"/>
        </w:rPr>
        <w:t xml:space="preserve">p017 · body  </w:t>
      </w:r>
      <w:r>
        <w:t>Comparators and third parties. Sponsors should justify comparison with an appropriate consensus standard, clinician benchmark, or objective ground truth. For human-AI systems, combined team performance should be primary. Independent organizations could adjudicate results and steward sequestered benchmark datasets, improving objectivity and reducing sponsor burden. CDRH could pilot this through ASCA and MDDT while avoiding barriers for smaller sponsors.</w:t>
      </w:r>
    </w:p>
    <w:p>
      <w:r>
        <w:rPr>
          <w:color w:val="777777"/>
          <w:sz w:val="16"/>
        </w:rPr>
        <w:t xml:space="preserve">p018 · body  </w:t>
      </w:r>
      <w:r>
        <w:t>IV. Postmarket Monitoring and Change Control (Section VI) — Greater reliance on postmarket monitoring is appropriate when manufacturers submit a specific, credible, independently auditable plan during premarket review. Conditions should include human oversight for high-consequence actions, sensitive degradation metrics, and prompt remediation. This approach may be unsuitable for fully autonomous, high-consequence functions where harm could precede detection.</w:t>
      </w:r>
    </w:p>
    <w:p>
      <w:r>
        <w:rPr>
          <w:color w:val="777777"/>
          <w:sz w:val="16"/>
        </w:rPr>
        <w:t xml:space="preserve">p019 · body  </w:t>
      </w:r>
      <w:r>
        <w:t>Periodic re-benchmarking against the premarket baseline should be the default, supplemented by drift detection for continuously updating models. Sample-based clinician review should be reserved for higher-risk devices or performance concerns. Machine-based supervisory agents may support monitoring but require independent validation and version control.</w:t>
      </w:r>
    </w:p>
    <w:p>
      <w:r>
        <w:rPr>
          <w:color w:val="777777"/>
          <w:sz w:val="16"/>
        </w:rPr>
        <w:t xml:space="preserve">p020 · att1 p.1  </w:t>
      </w:r>
      <w:r>
        <w:t>Comments from Aruna Badiga PhD, CMQOE, CQA — I appreciate CDRH's proactive, collaborative approach in publishing this discussion paper and happy for the opportunity to comment before any draft guidance is developed. Below I offer feedback organized around the paper's four substantive sections: (IV) risk assessment, (V) premarket evaluation, (VI) postmarket monitoring, and (VII) other topics, followed by cross-cutting recommendations.</w:t>
      </w:r>
    </w:p>
    <w:p>
      <w:r>
        <w:rPr>
          <w:color w:val="777777"/>
          <w:sz w:val="16"/>
        </w:rPr>
        <w:t xml:space="preserve">p021 · att1 p.1  </w:t>
      </w:r>
      <w:r>
        <w:t>I. The Two-Axis Risk Framework (Section IV) — I support the two-axis framework (device activity vs. consequence of an incorrect output) as a useful heuristic, but recommend it be treated as a starting point rather than a determinative scoring tool. Four additional dimensions should be incorporated, either as risk modifiers or explicit framework axes: Reversibility. An incorrect output that leads to an irreversible action (e.g., initiating thrombolytic therapy) warrants materially different oversight than one that leads to a reversible action (e.g., a delayed but correctable dosing adjustment). I recommend CDRH explicitly incorporate reversibility as a modifier that shifts a function's position on the consequences axis, rather than leaving it as an implicit consideration. Availability of downstream safeguards. Risk should be assessed net of credible downstream checks (e.g., pharmacist verification, mandatory HCP co-signature, hardcoded dose-range limits). Where such safeguards are validated, documented, and enforced by design (not merely assumed), presumptive risk should be reduced accordingly. CDRH should clarify what evidence would be sufficient to credit a downstream safeguard in a risk determination, since claimed safeguards that rely on human vigilance alone are less reliable than engineered constraints. Time pressure of the deployment setting. A function operating in an emergency department or ICU, where users have limited time to scrutinize outputs, should be treated differently than the same function deployed in a non-urgent outpatient or administrative setting. Time pressure amplifies automation bias and reduces the opportunity for independent verification, and should be reflected explicitly. Traceability to source material. Functions that can cite verifiable primary sources (e.g., specific guideline sections, lab values, retrieved documents) allow users to independently verify outputs and are inherently less risky than opaque, non-traceable outputs. I recommend CDRH treat traceability as a mitigating factor that can lower a function's effective risk tier, incentivizing manufacturers to build in citation and provenance features. I recommend these four dimensions be added as explicit modifiers layered onto the two base axes, producing a more granular risk profile without abandoning the simplicity of the original framework.</w:t>
      </w:r>
    </w:p>
    <w:p>
      <w:r>
        <w:rPr>
          <w:color w:val="777777"/>
          <w:sz w:val="16"/>
        </w:rPr>
        <w:t xml:space="preserve">p022 · att1 p.2  </w:t>
      </w:r>
      <w:r>
        <w:t>II. Action-Directing, Escalation, and Audience-Based Risk Distinctions — I agree that directiveness exists on a continuum and support CDRH's proposal that "talk to your doctor" disclaimers should not automatically reduce a function's directiveness classification. I recommend CDRH provide a small set of illustrative worked examples (as in the paper) formalized into a decision-tree or checklist within eventual guidance, using factors such as specificity (general vs. numeric instruction), personalization (population-level vs. patient-specific), and context (isolated statement vs. embedded in a clinical workflow that expects action). This would give manufacturers predictability while preserving the continuum concept. On patient-facing versus HCP-facing functions, I support differentiated risk treatment but caution against a rigid rule that automatically elevates all patient-facing functions. I recommend a middle path: patient-facing informational functions should be evaluated for (a) health-literacy-adjusted comprehensibility, (b) built-in calibration/uncertainty signaling, and (c) appropriate escalation triggers. Where these safeguards are demonstrated through the benchmarking elements described in Section V (particularly E.4 and S.3), the "patient-facing" designation alone should not mandate the highest risk tier. This approach protects the benefits of patient empowement that CDRH rightly identifies while still addressing legitimate safety concerns. Similarly, for generalist- versus specialist-facing HCP functions, I recommend risk be tied to the objectively verifiable gap between the function's knowledge domain and the stated intended user population, rather than a blanket assumption that generalist use is inherently riskier. A function designed and benchmarked explicitly to support generalists in a specialty context (with appropriate scope boundaries per S.2) can be loIr risk than one that assumes specialist context but is used inconsistently. On multi-turn conversations, I support CDRH's proposal to assess risk across realistic conversational trajectories rather than isolated turns. I recommend that intended use statements for conversational devices explicitly define the conversational scope and the maximum directiveness the system is designed to reach, with benchmarking (per R.1) validating that the system does not drift beyond that bound across extended exchanges. On care escalation, I agree both under- and over-escalation are relevant harms and recommend manufacturers be permitted to define and justify an acceptable operating point (analogous to a sensitivity/specificity trade-off) calibrated to clinical context, subject to CDRH review of the justification rather than a fixed universal threshold. III. Competency-Based Premarket Evaluation (Section V)</w:t>
      </w:r>
    </w:p>
    <w:p>
      <w:r>
        <w:rPr>
          <w:color w:val="777777"/>
          <w:sz w:val="16"/>
        </w:rPr>
        <w:t xml:space="preserve">p023 · att1 p.2  </w:t>
      </w:r>
      <w:r>
        <w:t>I support the overall two-stage architecture of device benchmarking followed by clinical confirmation as a pragmatic, scalable alternative to exhaustive input-output testing, and believe it appropriately reflects the open-ended nature of GenAI outputs. I offer the following refinements.</w:t>
      </w:r>
    </w:p>
    <w:p>
      <w:r>
        <w:rPr>
          <w:color w:val="777777"/>
          <w:sz w:val="16"/>
        </w:rPr>
        <w:t xml:space="preserve">p024 · att1 p.3  </w:t>
      </w:r>
      <w:r>
        <w:t>Benchmarking element structure. The Safety (S.1–S.3), Clinical Proficiency (E.1– E.4), Generalizability (R.1–R.2), and Agentic (A.1) taxonomy is comprehensive and Illorganized. I recommend one addition: an explicit "Interoperability and Context-Integrity" element evaluating whether a device correctly incorporates structured data (e.g., EHR fields, prior results) without misattribution or context-loss errors — a failure mode distinct from the quantitative-analysis failures captured in E.3. I also recommend CDRH clarify how S.1–S.3 interact with R.1–R.2; specifically, whether subgroup-stratified safety performance should be reported as a standalone R.2 analysis or embedded within each safety element's acceptance criteria. Embedding is preferable, since it prevents subgroup disparities in safety-critical behaviors from being averaged away in an aggregate metric. Benchmark validity and sponsor-developed assets. I agree publicly available benchmarks are vulnerable to contamination and saturation. I recommend a constructvalidity requirement analogous to analytical validation for diagnostics: sponsors should demonstrate correlation between benchmark performance and an independent, clinically-grounded reference standard (e.g., through a calibration study) before relying on a benchmark to gate authorization. Sponsor-developed benchmarks should be permitted but should be accompanied by documentation of independence safeguards (e.g., held-out test sets never used in model development, adjudication by clinicians unaffiliated with the sponsor's development team) to mitigate "teaching to the test" concerns. I would welcome CDRH-recognized, consensus-standard benchmark development through a public-private process, potentially leveraging the MDDT pathway, to reduce duplicative sponsor effort and increase comparability across submissions. Clinical confirmation approach selection. I support the risk-proportionate menu of confirmation approaches (retrospective evaluation, shadow deployment, standardized patient interactions, clinician adjudication, prospective study) and agree a prospective trial should not be mandatory in every case. I recommend CDRH provide decisionsupport criteria — for example, a matrix crossing the two-axis risk position against confirmation rigor — to help sponsors select and justify an appropriate approach and to help review teams evaluate consistency across submissions. I also recommend explicit acknowledgment that combinations of approaches (e.g., retrospective evaluation supplemented by shadow deployment) may together satisfy confirmation expectations even where no single method would be sufficient alone. Synthetic data. I support permitting synthetic data to supplement real-world evidence, particularly for rare presentations and underrepresented subgroups where real data is scarce. However, I caution that synthetic data generated by models similar in class to the device under evaluation risks circularity — reproducing rather than detecting the performance gaps the evaluation seeks to identify. I recommend CDRH require sponsors to (a) validate synthetic data generators against real-world distributions using independent statistical tests, (b) disclose the generation methodology and its relationship (if any) to the device's underlying model, and (c) apply distributional-shift analyses when combining synthetic and real benchmarking results into a single performance estimate. Domains with high symptom variability and subtle presentation (e.g., pediatric triage, mental health) warrant particular caution given the difficulty of validating synthetic realism. Performance standards and comparators. I support comparing GenAI device performance to a panel of qualified clinicians or an appropriate ground truth, with the choice depending on whether an objective reference standard exists. I recommend flexibility for sponsors to justify either a "standard of care" (consensus/best-practice) or a "median practicing clinician" comparator depending on intended use, provided the rationale is transparent and prespecified. For functions intended to operate within a human-AI team, I recommend evaluation of combined team performance (not devicealone performance) as the primary evidence base, since this reflects real-world deployment; device-alone performance should be reported as supportive evidence to characterize the AI's independent contribution and support root-cause analysis when team performance is deficient. Third-party involvement. I support an expanded role for independent third parties, particularly as adjudicators and stewards of sequestered benchmark datasets, which would meaningfully increase confidence in review objectivity and could reduce sponsor burden. I recommend CDRH pilot this concept through the existing ASCA and MDDT frameworks before broader rollout and address potential competitive/market-access concerns (e.g., ensuring accredited bodies do not become bottlenecks for smaller sponsors) through clear accreditation criteria and capacity planning.</w:t>
      </w:r>
    </w:p>
    <w:p>
      <w:r>
        <w:rPr>
          <w:color w:val="777777"/>
          <w:sz w:val="16"/>
        </w:rPr>
        <w:t xml:space="preserve">p025 · att1 p.4  </w:t>
      </w:r>
      <w:r>
        <w:t>IV. Postmarket Monitoring and Change Control (Section VI) — I support increased reliance on postmarket monitoring to offset premarket uncertainty, provided such reliance is contingent on a credible, Ill-specified, and independently auditable monitoring plan submitted and agreed upon at the time of premarket review — not a generic commitment to "monitor performance." Appropriate conditions include: the function operates with a human-in-the-loop safeguard for high-consequence actions; degradation is detectable through defined, sensitive metrics; and remediation (e.g., rollback, retraining halt) can be executed promptly. This approach would be inappropriate for fully autonomous, high-consequence, action-taking functions where postmarket detection may occur too late to prevent harm. Of the three postmarket approaches described, I view periodic re-benchmarking against the premarket baseline as the most operationally scalable and recommend it be the default expectation, supplemented by performance-degradation monitoring (drift detection) for continuously updating models. Sample-based clinician review is resourceintensive and should be reserved for higher-risk devices or triggered by drift signals rather than applied uniformly. I support exploring machine-based supervisory agents to scale monitoring but emphasize that the supervisory agent itself would need independent validation, version control</w:t>
      </w:r>
    </w:p>
    <w:p>
      <w:pPr>
        <w:pStyle w:val="Heading1"/>
        <w:pageBreakBefore/>
      </w:pPr>
      <w:r>
        <w:t>FDA-2026-N-7874-0029</w:t>
      </w:r>
    </w:p>
    <w:p>
      <w:r>
        <w:t>Comment from Persistence Analytics Group LLC</w:t>
      </w:r>
    </w:p>
    <w:p>
      <w:r>
        <w:rPr>
          <w:color w:val="777777"/>
          <w:sz w:val="18"/>
        </w:rPr>
        <w:t>Private Industry - C0003 · received 2026-08-24</w:t>
      </w:r>
    </w:p>
    <w:p>
      <w:r>
        <w:rPr>
          <w:color w:val="777777"/>
          <w:sz w:val="16"/>
        </w:rPr>
        <w:t xml:space="preserve">p001 · body  </w:t>
      </w:r>
      <w:r>
        <w:t>Persistence Analytics Group LLC (PAG) appreciates the opportunity to provide feedback on FDA's discussion paper concerning generative AI-enabled medical devices.</w:t>
      </w:r>
    </w:p>
    <w:p>
      <w:r>
        <w:rPr>
          <w:color w:val="777777"/>
          <w:sz w:val="16"/>
        </w:rPr>
        <w:t xml:space="preserve">p002 · body  </w:t>
      </w:r>
      <w:r>
        <w:t>PAG is an independent infrastructure and decision-risk analytics firm focused on a recurring question: before a consequential decision relies on a representation, what evidence establishes that the underlying assumption remains sufficiently supported, and what change should require revalidation?</w:t>
      </w:r>
    </w:p>
    <w:p>
      <w:r>
        <w:rPr>
          <w:color w:val="777777"/>
          <w:sz w:val="16"/>
        </w:rPr>
        <w:t xml:space="preserve">p003 · body  </w:t>
      </w:r>
      <w:r>
        <w:t>FDA's discussion paper raises precisely this issue for GenAI-enabled medical devices.</w:t>
      </w:r>
    </w:p>
    <w:p>
      <w:r>
        <w:rPr>
          <w:color w:val="777777"/>
          <w:sz w:val="16"/>
        </w:rPr>
        <w:t xml:space="preserve">p004 · body  </w:t>
      </w:r>
      <w:r>
        <w:t>GenAI-enabled devices may produce open-ended and variable outputs, rely on third-party foundation models, change through prompts, retrieval strategies, guardrails, orchestration logic, software updates, or model evolution, and in some cases autonomously take multi-step actions. FDA correctly recognizes that these characteristics make point-in-time premarket evaluation insufficient by itself for some devices.</w:t>
      </w:r>
    </w:p>
    <w:p>
      <w:r>
        <w:rPr>
          <w:color w:val="777777"/>
          <w:sz w:val="16"/>
        </w:rPr>
        <w:t xml:space="preserve">p005 · body  </w:t>
      </w:r>
      <w:r>
        <w:t>PAG recommends that FDA distinguish clearly between initial authorization and continued reliance.</w:t>
      </w:r>
    </w:p>
    <w:p>
      <w:r>
        <w:rPr>
          <w:color w:val="777777"/>
          <w:sz w:val="16"/>
        </w:rPr>
        <w:t xml:space="preserve">p006 · body  </w:t>
      </w:r>
      <w:r>
        <w:t>A device that satisfies an evidentiary threshold at authorization may later experience a material change in its model, deployment environment, data distribution, intended workflow, third-party dependency, or observed performance. Continued reliance should therefore depend on evidence that the assumptions supporting the original authorization remain valid.</w:t>
      </w:r>
    </w:p>
    <w:p>
      <w:r>
        <w:rPr>
          <w:color w:val="777777"/>
          <w:sz w:val="16"/>
        </w:rPr>
        <w:t xml:space="preserve">p007 · body  </w:t>
      </w:r>
      <w:r>
        <w:t>PAG suggests a simple lifecycle structure: Representation &gt; Evidence &gt; Dependency &gt; Reliance &gt; Decision Gate &gt; Revalidation</w:t>
      </w:r>
    </w:p>
    <w:p>
      <w:r>
        <w:rPr>
          <w:color w:val="777777"/>
          <w:sz w:val="16"/>
        </w:rPr>
        <w:t xml:space="preserve">p008 · body  </w:t>
      </w:r>
      <w:r>
        <w:t>For higher-risk GenAI-enabled devices, FDA could require sponsors to identify in advance: 1. material assumptions supporting safe and effective use;</w:t>
      </w:r>
    </w:p>
    <w:p>
      <w:r>
        <w:rPr>
          <w:color w:val="777777"/>
          <w:sz w:val="16"/>
        </w:rPr>
        <w:t xml:space="preserve">p009 · body  </w:t>
      </w:r>
      <w:r>
        <w:t>2. evidence supporting those assumptions;</w:t>
      </w:r>
    </w:p>
    <w:p>
      <w:r>
        <w:rPr>
          <w:color w:val="777777"/>
          <w:sz w:val="16"/>
        </w:rPr>
        <w:t xml:space="preserve">p010 · body  </w:t>
      </w:r>
      <w:r>
        <w:t>3. critical third-party dependencies;</w:t>
      </w:r>
    </w:p>
    <w:p>
      <w:r>
        <w:rPr>
          <w:color w:val="777777"/>
          <w:sz w:val="16"/>
        </w:rPr>
        <w:t xml:space="preserve">p011 · body  </w:t>
      </w:r>
      <w:r>
        <w:t>4. defined performance and safety thresholds;</w:t>
      </w:r>
    </w:p>
    <w:p>
      <w:r>
        <w:rPr>
          <w:color w:val="777777"/>
          <w:sz w:val="16"/>
        </w:rPr>
        <w:t xml:space="preserve">p012 · body  </w:t>
      </w:r>
      <w:r>
        <w:t>5. responsibility for monitoring each dependency;</w:t>
      </w:r>
    </w:p>
    <w:p>
      <w:r>
        <w:rPr>
          <w:color w:val="777777"/>
          <w:sz w:val="16"/>
        </w:rPr>
        <w:t xml:space="preserve">p013 · body  </w:t>
      </w:r>
      <w:r>
        <w:t>6. material-change triggers requiring reassessment; and — 7. required action if a trigger is reached.</w:t>
      </w:r>
    </w:p>
    <w:p>
      <w:r>
        <w:rPr>
          <w:color w:val="777777"/>
          <w:sz w:val="16"/>
        </w:rPr>
        <w:t xml:space="preserve">p014 · body  </w:t>
      </w:r>
      <w:r>
        <w:t>This is especially important for devices incorporating third-party foundation models. FDA notes that changes to an underlying model may occur outside the manufacturer's direct control and may affect safety or effectiveness. A manufacturer therefore needs a defined evidentiary standard for determining whether continued reliance remains justified.</w:t>
      </w:r>
    </w:p>
    <w:p>
      <w:r>
        <w:rPr>
          <w:color w:val="777777"/>
          <w:sz w:val="16"/>
        </w:rPr>
        <w:t xml:space="preserve">p015 · body  </w:t>
      </w:r>
      <w:r>
        <w:t>PAG also supports FDA's consideration of independent third parties in benchmarking, clinical confirmation, adjudication, and standards development.</w:t>
      </w:r>
    </w:p>
    <w:p>
      <w:r>
        <w:rPr>
          <w:color w:val="777777"/>
          <w:sz w:val="16"/>
        </w:rPr>
        <w:t xml:space="preserve">p016 · body  </w:t>
      </w:r>
      <w:r>
        <w:t>Independence could be particularly valuable where the sponsor develops or selects its own benchmarks, where the underlying foundation model is supplied by another company, or where postmarket evidence determines whether a device may continue operating without additional review.</w:t>
      </w:r>
    </w:p>
    <w:p>
      <w:r>
        <w:rPr>
          <w:color w:val="777777"/>
          <w:sz w:val="16"/>
        </w:rPr>
        <w:t xml:space="preserve">p017 · body  </w:t>
      </w:r>
      <w:r>
        <w:t>For agentic AI-enabled devices, PAG recommends an additional distinction: Identity is not authentication. Authentication is not authority. Authority is not necessarily safe reliance.</w:t>
      </w:r>
    </w:p>
    <w:p>
      <w:r>
        <w:rPr>
          <w:color w:val="777777"/>
          <w:sz w:val="16"/>
        </w:rPr>
        <w:t xml:space="preserve">p018 · body  </w:t>
      </w:r>
      <w:r>
        <w:t>Where an AI-enabled device can autonomously initiate a clinical action, order, prescription, escalation, or other consequential step, evaluation should ask not only whether the system performed technically as designed but whether it was authorized to take that specific action, within its intended scope, under the conditions then present.</w:t>
      </w:r>
    </w:p>
    <w:p>
      <w:r>
        <w:rPr>
          <w:color w:val="777777"/>
          <w:sz w:val="16"/>
        </w:rPr>
        <w:t xml:space="preserve">p019 · body  </w:t>
      </w:r>
      <w:r>
        <w:t>FDA's proposed risk framework appropriately considers both the independence of device activity and the consequences of relying on an incorrect output. For action-taking systems, the strength of evidence required for continued reliance should increase with both dimensions.</w:t>
      </w:r>
    </w:p>
    <w:p>
      <w:r>
        <w:rPr>
          <w:color w:val="777777"/>
          <w:sz w:val="16"/>
        </w:rPr>
        <w:t xml:space="preserve">p020 · body  </w:t>
      </w:r>
      <w:r>
        <w:t>PAG also supports periodic re-benchmarking, performance-degradation monitoring, defined reassessment triggers, and postmarket monitoring.</w:t>
      </w:r>
    </w:p>
    <w:p>
      <w:r>
        <w:rPr>
          <w:color w:val="777777"/>
          <w:sz w:val="16"/>
        </w:rPr>
        <w:t xml:space="preserve">p021 · body  </w:t>
      </w:r>
      <w:r>
        <w:t>PAG recommends that FDA formalize the underlying principle: Premarket authorization establishes an initial reliance boundary. It should not establish permanent reliance where the assumptions, dependencies, or behavior of the system materially change.</w:t>
      </w:r>
    </w:p>
    <w:p>
      <w:r>
        <w:rPr>
          <w:color w:val="777777"/>
          <w:sz w:val="16"/>
        </w:rPr>
        <w:t xml:space="preserve">p022 · body  </w:t>
      </w:r>
      <w:r>
        <w:t>A durable regulatory framework should answer not only whether a GenAI-enabled device is safe and effective when first reviewed, but also:</w:t>
      </w:r>
    </w:p>
    <w:p>
      <w:r>
        <w:rPr>
          <w:color w:val="777777"/>
          <w:sz w:val="16"/>
        </w:rPr>
        <w:t xml:space="preserve">p023 · body  </w:t>
      </w:r>
      <w:r>
        <w:t>What evidence permits continued reliance, and what change requires the evidence to be tested again?</w:t>
      </w:r>
    </w:p>
    <w:p>
      <w:r>
        <w:rPr>
          <w:color w:val="777777"/>
          <w:sz w:val="16"/>
        </w:rPr>
        <w:t xml:space="preserve">p024 · body  </w:t>
      </w:r>
      <w:r>
        <w:t>Respectfully submitted,</w:t>
      </w:r>
    </w:p>
    <w:p>
      <w:r>
        <w:rPr>
          <w:color w:val="777777"/>
          <w:sz w:val="16"/>
        </w:rPr>
        <w:t xml:space="preserve">p025 · body  </w:t>
      </w:r>
      <w:r>
        <w:t>Persistence Analytics Group LLC — National Security &amp; Infrastructure Risk Analytics — Infrastructure Assumption Verification | Decision Assurance</w:t>
      </w:r>
    </w:p>
    <w:p>
      <w:pPr>
        <w:pStyle w:val="Heading1"/>
        <w:pageBreakBefore/>
      </w:pPr>
      <w:r>
        <w:t>FDA-2026-N-7874-0030</w:t>
      </w:r>
    </w:p>
    <w:p>
      <w:r>
        <w:t>Comment from Quality &amp; Regulatory Expert Partners LLC (dba QRx Partners)</w:t>
      </w:r>
    </w:p>
    <w:p>
      <w:r>
        <w:rPr>
          <w:color w:val="777777"/>
          <w:sz w:val="18"/>
        </w:rPr>
        <w:t>Device Industry - C0012 · received 2026-08-24</w:t>
      </w:r>
    </w:p>
    <w:p>
      <w:r>
        <w:rPr>
          <w:color w:val="777777"/>
          <w:sz w:val="16"/>
        </w:rPr>
        <w:t xml:space="preserve">p001 · body  </w:t>
      </w:r>
      <w:r>
        <w:t>QRx Partners appreciates the opportunity to comment on FDA's Considerations for the Regulation of Generative AI-Enabled Medical Devices. We support a risk-based, total product life cycle approach that builds on established medical device principles. We offer comments on Questions 1, 3, 11, and 24.</w:t>
      </w:r>
    </w:p>
    <w:p>
      <w:r>
        <w:rPr>
          <w:color w:val="777777"/>
          <w:sz w:val="16"/>
        </w:rPr>
        <w:t xml:space="preserve">p002 · body  </w:t>
      </w:r>
      <w:r>
        <w:t>Question 1: Two-Axis Risk Framework — The proposed framework based on device activity and the consequence of relying on an incorrect output is useful for initial risk characterization, but it should not substitute for device-level risk analysis.</w:t>
      </w:r>
    </w:p>
    <w:p>
      <w:r>
        <w:rPr>
          <w:color w:val="777777"/>
          <w:sz w:val="16"/>
        </w:rPr>
        <w:t xml:space="preserve">p003 · body  </w:t>
      </w:r>
      <w:r>
        <w:t>Risk also depends on how an erroneous output could progress to a hazardous situation. Relevant factors may include the user's ability to recognize the error, opportunity for intervention, reversibility, time to respond, and downstream safeguards.</w:t>
      </w:r>
    </w:p>
    <w:p>
      <w:r>
        <w:rPr>
          <w:color w:val="777777"/>
          <w:sz w:val="16"/>
        </w:rPr>
        <w:t xml:space="preserve">p004 · body  </w:t>
      </w:r>
      <w:r>
        <w:t>FDA should treat the two-axis framework as a screening or organizing tool rather than a classification matrix. Further evaluation should consider the GenAI-enabled function within its intended use environment and overall risk management process.</w:t>
      </w:r>
    </w:p>
    <w:p>
      <w:r>
        <w:rPr>
          <w:color w:val="777777"/>
          <w:sz w:val="16"/>
        </w:rPr>
        <w:t xml:space="preserve">p005 · body  </w:t>
      </w:r>
      <w:r>
        <w:t>Question 3: Patient-Facing Functions and User Understanding — FDA appropriately recognizes that a user's ability to independently evaluate an output can affect risk. Patient-facing use, however, should not by itself create a presumption of higher risk.</w:t>
      </w:r>
    </w:p>
    <w:p>
      <w:r>
        <w:rPr>
          <w:color w:val="777777"/>
          <w:sz w:val="16"/>
        </w:rPr>
        <w:t xml:space="preserve">p006 · body  </w:t>
      </w:r>
      <w:r>
        <w:t>FDA should consider whether a GenAI-enabled device's ability to assess and adapt to a user's demonstrated level of understanding may serve as a risk control. A system could adjust the specificity, explanation, uncertainty communication, or directiveness of its output based on whether the user demonstrates adequate understanding of the information and its limitations. Similar considerations may apply to generalist versus specialist HCPs.</w:t>
      </w:r>
    </w:p>
    <w:p>
      <w:r>
        <w:rPr>
          <w:color w:val="777777"/>
          <w:sz w:val="16"/>
        </w:rPr>
        <w:t xml:space="preserve">p007 · body  </w:t>
      </w:r>
      <w:r>
        <w:t>We do not recommend assessment of user understanding as a universal requirement. Rather, user comprehension and adaptive communication should be considered potential risk controls when safe use depends on the user's ability to understand or independently evaluate the output.</w:t>
      </w:r>
    </w:p>
    <w:p>
      <w:r>
        <w:rPr>
          <w:color w:val="777777"/>
          <w:sz w:val="16"/>
        </w:rPr>
        <w:t xml:space="preserve">p008 · body  </w:t>
      </w:r>
      <w:r>
        <w:t>Question 11: Clinical Confirmation — We support FDA's proposal that clinical confirmation be proportionate to intended use and risk and not necessarily require a prospective clinical study.</w:t>
      </w:r>
    </w:p>
    <w:p>
      <w:r>
        <w:rPr>
          <w:color w:val="777777"/>
          <w:sz w:val="16"/>
        </w:rPr>
        <w:t xml:space="preserve">p009 · body  </w:t>
      </w:r>
      <w:r>
        <w:t>The key question should be what uncertainty regarding safety and effectiveness remains after benchmarking and nonclinical evaluation, and what evidence is needed to address that uncertainty. Retrospective evaluation, shadow deployment, standardized patient interactions, clinician adjudication, and prospective investigation should be considered alternative or complementary methods rather than a fixed hierarchy.</w:t>
      </w:r>
    </w:p>
    <w:p>
      <w:r>
        <w:rPr>
          <w:color w:val="777777"/>
          <w:sz w:val="16"/>
        </w:rPr>
        <w:t xml:space="preserve">p010 · body  </w:t>
      </w:r>
      <w:r>
        <w:t>This approach supports least burdensome principles while allowing greater rigor when intended use, autonomy, potential consequences, or residual uncertainty warrant additional evidence.</w:t>
      </w:r>
    </w:p>
    <w:p>
      <w:r>
        <w:rPr>
          <w:color w:val="777777"/>
          <w:sz w:val="16"/>
        </w:rPr>
        <w:t xml:space="preserve">p011 · body  </w:t>
      </w:r>
      <w:r>
        <w:t>Question 24: Third-Party Foundation Models and Change Control — The challenge presented by third-party foundation models is significant, but the underlying regulatory problem is not entirely novel. Medical device manufacturers already incorporate software components they did not develop and over which they may have limited development information or control.</w:t>
      </w:r>
    </w:p>
    <w:p>
      <w:r>
        <w:rPr>
          <w:color w:val="777777"/>
          <w:sz w:val="16"/>
        </w:rPr>
        <w:t xml:space="preserve">p012 · body  </w:t>
      </w:r>
      <w:r>
        <w:t>FDA should consider building on established principles for managing Software of Unknown Provenance (SOUP), including IEC 62304 and existing FDA software lifecycle expectations. Manufacturers should evaluate the third-party component within the finished device, identify how reasonably foreseeable failures or changes could contribute to hazardous situations, evaluate resulting risks, and establish appropriate controls.</w:t>
      </w:r>
    </w:p>
    <w:p>
      <w:r>
        <w:rPr>
          <w:color w:val="777777"/>
          <w:sz w:val="16"/>
        </w:rPr>
        <w:t xml:space="preserve">p013 · body  </w:t>
      </w:r>
      <w:r>
        <w:t>The objective should not be complete visibility into or control over the foundation model, but sufficient information and controls to identify, evaluate, and respond to changes that could affect device safety or effectiveness. Controls could include supplier change notification, model version control, regression benchmarking, behavioral monitoring, guardrails, and other device-level controls.</w:t>
      </w:r>
    </w:p>
    <w:p>
      <w:r>
        <w:rPr>
          <w:color w:val="777777"/>
          <w:sz w:val="16"/>
        </w:rPr>
        <w:t xml:space="preserve">p014 · body  </w:t>
      </w:r>
      <w:r>
        <w:t>Foundation models introduce an additional challenge because a remotely hosted model may change without an identifiable modification to the manufacturer's software. Mechanisms may therefore be needed to detect significant behavioral or performance changes when supplier notification is unavailable.</w:t>
      </w:r>
    </w:p>
    <w:p>
      <w:r>
        <w:rPr>
          <w:color w:val="777777"/>
          <w:sz w:val="16"/>
        </w:rPr>
        <w:t xml:space="preserve">p015 · body  </w:t>
      </w:r>
      <w:r>
        <w:t>Consistent with FDA's emphasis on evaluating the final user-facing device rather than the foundation model in isolation, expectations should focus on the manufacturer's ability to establish and maintain reasonable assurance of safety and effectiveness of the finished device.</w:t>
      </w:r>
    </w:p>
    <w:p>
      <w:r>
        <w:rPr>
          <w:color w:val="777777"/>
          <w:sz w:val="16"/>
        </w:rPr>
        <w:t xml:space="preserve">p016 · body  </w:t>
      </w:r>
      <w:r>
        <w:t>Overall Consideration — GenAI creates new failure mechanisms and assurance challenges, but these do not necessarily require replacing established risk-based medical device principles. New approaches should remain focused on intended use, reasonably foreseeable failure, residual risk, and clinically meaningful evidence rather than attempting to evaluate every capability or possible behavior of an underlying generative model.</w:t>
      </w:r>
    </w:p>
    <w:p>
      <w:pPr>
        <w:pStyle w:val="Heading1"/>
        <w:pageBreakBefore/>
      </w:pPr>
      <w:r>
        <w:t>FDA-2026-N-7874-0031</w:t>
      </w:r>
    </w:p>
    <w:p>
      <w:r>
        <w:t>Comment from Medome.ai</w:t>
      </w:r>
    </w:p>
    <w:p>
      <w:r>
        <w:rPr>
          <w:color w:val="777777"/>
          <w:sz w:val="18"/>
        </w:rPr>
        <w:t>Health Professional - A0007 · received 2026-08-24</w:t>
      </w:r>
    </w:p>
    <w:p>
      <w:r>
        <w:rPr>
          <w:color w:val="777777"/>
          <w:sz w:val="16"/>
        </w:rPr>
        <w:t xml:space="preserve">p001 · body  </w:t>
      </w:r>
      <w:r>
        <w:t>Who are we going to blame?</w:t>
      </w:r>
    </w:p>
    <w:p>
      <w:r>
        <w:rPr>
          <w:color w:val="777777"/>
          <w:sz w:val="16"/>
        </w:rPr>
        <w:t xml:space="preserve">p002 · body  </w:t>
      </w:r>
      <w:r>
        <w:t>AI naysayers often ask this contentious question about AI use in medicine. If there is no doctor in the loop, who are we going to hold liable for mistakes?</w:t>
      </w:r>
    </w:p>
    <w:p>
      <w:r>
        <w:rPr>
          <w:color w:val="777777"/>
          <w:sz w:val="16"/>
        </w:rPr>
        <w:t xml:space="preserve">p003 · body  </w:t>
      </w:r>
      <w:r>
        <w:t>Given that today, we hold humans liable, how is that working out for the nearly 800,000 people who die and become permanently disabled from human errors every year?</w:t>
      </w:r>
    </w:p>
    <w:p>
      <w:r>
        <w:rPr>
          <w:color w:val="777777"/>
          <w:sz w:val="16"/>
        </w:rPr>
        <w:t xml:space="preserve">p004 · body  </w:t>
      </w:r>
      <w:r>
        <w:t>Besides, as with any commercial product, we will hold the manufacturer, distributor, etc. liable for any failures.</w:t>
      </w:r>
    </w:p>
    <w:p>
      <w:r>
        <w:rPr>
          <w:color w:val="777777"/>
          <w:sz w:val="16"/>
        </w:rPr>
        <w:t xml:space="preserve">p005 · body  </w:t>
      </w:r>
      <w:r>
        <w:t>Here are the facts: Manufacturers and sellers have faced basic negligence and contract rules for centuries, but modern product liability holding entire supply chains accountable for product failures evolved in two major legal leaps: the elimination of the "privity" requirement in 1916 and the rise of "strict liability" in the 1960s.</w:t>
      </w:r>
    </w:p>
    <w:p>
      <w:r>
        <w:rPr>
          <w:color w:val="777777"/>
          <w:sz w:val="16"/>
        </w:rPr>
        <w:t xml:space="preserve">p006 · body  </w:t>
      </w:r>
      <w:r>
        <w:t>How it was: For a long time, courts used the "privity of contract" rule (bolstered by cases like the 1842 English case Winterbottom v. Wright). This meant a consumer could only sue the exact person they bought the item from, leaving them unable to sue distant factory makers.</w:t>
      </w:r>
    </w:p>
    <w:p>
      <w:r>
        <w:rPr>
          <w:color w:val="777777"/>
          <w:sz w:val="16"/>
        </w:rPr>
        <w:t xml:space="preserve">p007 · body  </w:t>
      </w:r>
      <w:r>
        <w:t>What changed? The landmark New York case MacPherson v. Buick Motor Co. (1916) discarded the privity barrier for negligence. It set the rule that makers owe a direct duty of care to ultimate users, even if they did not buy the product straight from the factory.</w:t>
      </w:r>
    </w:p>
    <w:p>
      <w:r>
        <w:rPr>
          <w:color w:val="777777"/>
          <w:sz w:val="16"/>
        </w:rPr>
        <w:t xml:space="preserve">p008 · body  </w:t>
      </w:r>
      <w:r>
        <w:t>The 1960s Revolution (Strict Liability) — The Old Rule: Proving a factory or inventor was careless (negligent) or broke a specific sales contract remained difficult for everyday injured users.</w:t>
      </w:r>
    </w:p>
    <w:p>
      <w:r>
        <w:rPr>
          <w:color w:val="777777"/>
          <w:sz w:val="16"/>
        </w:rPr>
        <w:t xml:space="preserve">p009 · body  </w:t>
      </w:r>
      <w:r>
        <w:t>The Shift: During the 1960s, courts and legal scholars shifted to "strict liability". Under this doctrine (formalized in Section 402A of the Restatement (Second) of Torts in 1965), an injured user no longer had to prove negligence. If a product left the maker with an unreasonably dangerous defect and caused harm, the business was liable.</w:t>
      </w:r>
    </w:p>
    <w:p>
      <w:r>
        <w:rPr>
          <w:color w:val="777777"/>
          <w:sz w:val="16"/>
        </w:rPr>
        <w:t xml:space="preserve">p010 · body  </w:t>
      </w:r>
      <w:r>
        <w:t>Doctors are not held to this standard. So AI will be held to a higher standard.</w:t>
      </w:r>
    </w:p>
    <w:p>
      <w:r>
        <w:rPr>
          <w:color w:val="777777"/>
          <w:sz w:val="16"/>
        </w:rPr>
        <w:t xml:space="preserve">p011 · body  </w:t>
      </w:r>
      <w:r>
        <w:t>Distributors/Suppliers: As part of the 1960s expansion, courts applied the "stream of commerce" concept. Wholesalers, distributors, and retailers became strictly liable for placing defective goods on the market, sparing consumers from tracking down a remote or overseas factory.</w:t>
      </w:r>
    </w:p>
    <w:p>
      <w:r>
        <w:rPr>
          <w:color w:val="777777"/>
          <w:sz w:val="16"/>
        </w:rPr>
        <w:t xml:space="preserve">p012 · body  </w:t>
      </w:r>
      <w:r>
        <w:t>Hospitals and medical clinics are not held to these standards. Again, AI will be held to a higher standard.</w:t>
      </w:r>
    </w:p>
    <w:p>
      <w:r>
        <w:rPr>
          <w:color w:val="777777"/>
          <w:sz w:val="16"/>
        </w:rPr>
        <w:t xml:space="preserve">p013 · body  </w:t>
      </w:r>
      <w:r>
        <w:t>Inventors/Designers: Designers and patent holders face liability if a failure stems from a flawed blueprint or unsafe concept rather than a factory assembly error.</w:t>
      </w:r>
    </w:p>
    <w:p>
      <w:r>
        <w:rPr>
          <w:color w:val="777777"/>
          <w:sz w:val="16"/>
        </w:rPr>
        <w:t xml:space="preserve">p014 · body  </w:t>
      </w:r>
      <w:r>
        <w:t>Medical association guidelines and researchers are not held to these standards.</w:t>
      </w:r>
    </w:p>
    <w:p>
      <w:r>
        <w:rPr>
          <w:color w:val="777777"/>
          <w:sz w:val="16"/>
        </w:rPr>
        <w:t xml:space="preserve">p015 · body  </w:t>
      </w:r>
      <w:r>
        <w:t>But here's the real point. AI will make far fewer mistakes than humans. Far fewer. Perhaps none at all? Then no one will have to hold anybody to blame.</w:t>
      </w:r>
    </w:p>
    <w:p>
      <w:r>
        <w:rPr>
          <w:color w:val="777777"/>
          <w:sz w:val="16"/>
        </w:rPr>
        <w:t xml:space="preserve">p016 · body  </w:t>
      </w:r>
      <w:r>
        <w:t>How about that?</w:t>
      </w:r>
    </w:p>
    <w:p>
      <w:r>
        <w:rPr>
          <w:color w:val="777777"/>
          <w:sz w:val="16"/>
        </w:rPr>
        <w:t xml:space="preserve">p017 · body  </w:t>
      </w:r>
      <w:r>
        <w:t>Give AI room to breathe and let market forces reign it in.</w:t>
      </w:r>
    </w:p>
    <w:p>
      <w:pPr>
        <w:pStyle w:val="Heading1"/>
        <w:pageBreakBefore/>
      </w:pPr>
      <w:r>
        <w:t>FDA-2026-N-7874-0032</w:t>
      </w:r>
    </w:p>
    <w:p>
      <w:r>
        <w:t>Comment from Gregory Marcisz</w:t>
      </w:r>
    </w:p>
    <w:p>
      <w:r>
        <w:rPr>
          <w:color w:val="777777"/>
          <w:sz w:val="18"/>
        </w:rPr>
        <w:t>Health Professional - A0007 · received 2026-08-24 · attachments: attachment_1.pdf (12 pp)</w:t>
      </w:r>
    </w:p>
    <w:p>
      <w:r>
        <w:rPr>
          <w:color w:val="777777"/>
          <w:sz w:val="16"/>
        </w:rPr>
        <w:t xml:space="preserve">p001 · body  </w:t>
      </w:r>
      <w:r>
        <w:t>The paper focuses heavily on model performance, benchmarking, and postmarket monitoring, but gives less attention to how these devices will be operated, secured, maintained, repaired, calibrated, supported, and retired.</w:t>
      </w:r>
    </w:p>
    <w:p>
      <w:r>
        <w:rPr>
          <w:color w:val="777777"/>
          <w:sz w:val="16"/>
        </w:rPr>
        <w:t xml:space="preserve">p002 · body  </w:t>
      </w:r>
      <w:r>
        <w:t>I recommend CDRH prioritize: Safe operation during network, cloud, model, or external-service failures.</w:t>
      </w:r>
    </w:p>
    <w:p>
      <w:r>
        <w:rPr>
          <w:color w:val="777777"/>
          <w:sz w:val="16"/>
        </w:rPr>
        <w:t xml:space="preserve">p003 · body  </w:t>
      </w:r>
      <w:r>
        <w:t>GenAI-specific cybersecurity and dependency integrity.</w:t>
      </w:r>
    </w:p>
    <w:p>
      <w:r>
        <w:rPr>
          <w:color w:val="777777"/>
          <w:sz w:val="16"/>
        </w:rPr>
        <w:t xml:space="preserve">p004 · body  </w:t>
      </w:r>
      <w:r>
        <w:t>Maintainability, serviceability, and qualified repair access.</w:t>
      </w:r>
    </w:p>
    <w:p>
      <w:r>
        <w:rPr>
          <w:color w:val="777777"/>
          <w:sz w:val="16"/>
        </w:rPr>
        <w:t xml:space="preserve">p005 · body  </w:t>
      </w:r>
      <w:r>
        <w:t>Lifecycle support and protection against dependency-driven obsolescence.</w:t>
      </w:r>
    </w:p>
    <w:p>
      <w:r>
        <w:rPr>
          <w:color w:val="777777"/>
          <w:sz w:val="16"/>
        </w:rPr>
        <w:t xml:space="preserve">p006 · body  </w:t>
      </w:r>
      <w:r>
        <w:t>Architecture/dependency transparency.</w:t>
      </w:r>
    </w:p>
    <w:p>
      <w:r>
        <w:rPr>
          <w:color w:val="777777"/>
          <w:sz w:val="16"/>
        </w:rPr>
        <w:t xml:space="preserve">p007 · body  </w:t>
      </w:r>
      <w:r>
        <w:t>End-to-end calibration and verification.</w:t>
      </w:r>
    </w:p>
    <w:p>
      <w:r>
        <w:rPr>
          <w:color w:val="777777"/>
          <w:sz w:val="16"/>
        </w:rPr>
        <w:t xml:space="preserve">p008 · body  </w:t>
      </w:r>
      <w:r>
        <w:t>Ownership, licensing, and operational control.</w:t>
      </w:r>
    </w:p>
    <w:p>
      <w:r>
        <w:rPr>
          <w:color w:val="777777"/>
          <w:sz w:val="16"/>
        </w:rPr>
        <w:t xml:space="preserve">p009 · body  </w:t>
      </w:r>
      <w:r>
        <w:t>Fleet-level/common-mode risk.</w:t>
      </w:r>
    </w:p>
    <w:p>
      <w:r>
        <w:rPr>
          <w:color w:val="777777"/>
          <w:sz w:val="16"/>
        </w:rPr>
        <w:t xml:space="preserve">p010 · body  </w:t>
      </w:r>
      <w:r>
        <w:t>Inclusion of these factors in benchmarking/risk assessment.</w:t>
      </w:r>
    </w:p>
    <w:p>
      <w:r>
        <w:rPr>
          <w:color w:val="777777"/>
          <w:sz w:val="16"/>
        </w:rPr>
        <w:t xml:space="preserve">p011 · body  </w:t>
      </w:r>
      <w:r>
        <w:t>Explicit inclusion of HTM, clinical engineering, cybersecurity, and qualified service personnel.</w:t>
      </w:r>
    </w:p>
    <w:p>
      <w:r>
        <w:rPr>
          <w:color w:val="777777"/>
          <w:sz w:val="16"/>
        </w:rPr>
        <w:t xml:space="preserve">p012 · body  </w:t>
      </w:r>
      <w:r>
        <w:t>GenAI-enabled devices may depend on foundation-model providers, cloud APIs, retrieval sources, identity services, licensing systems, external tools, and other third parties. Sponsors should identify which functions operate on-device, on the local network, or through internet services and define behavior when each dependency fails or degrades.</w:t>
      </w:r>
    </w:p>
    <w:p>
      <w:r>
        <w:rPr>
          <w:color w:val="777777"/>
          <w:sz w:val="16"/>
        </w:rPr>
        <w:t xml:space="preserve">p013 · body  </w:t>
      </w:r>
      <w:r>
        <w:t>Testing should include network/cloud/model/authentication failures, high latency, interrupted transactions, stale/partial information, recovery, and reconciliation. Full offline functionality may not be appropriate for every device, but each should have a validated, clearly communicated degraded or fallback state. Connectivity dependency and time-to-harm during unavailability should be risk modifiers.</w:t>
      </w:r>
    </w:p>
    <w:p>
      <w:r>
        <w:rPr>
          <w:color w:val="777777"/>
          <w:sz w:val="16"/>
        </w:rPr>
        <w:t xml:space="preserve">p014 · body  </w:t>
      </w:r>
      <w:r>
        <w:t>Cybersecurity evaluation should extend beyond prompt injection to supply-chain compromise, poisoned retrieval sources, compromised tools/APIs, authentication, privileged service access, updates, logging, denial-of-service, and third-party compromise. Manufacturers should remain accountable when failures originate with dependencies they selected.</w:t>
      </w:r>
    </w:p>
    <w:p>
      <w:r>
        <w:rPr>
          <w:color w:val="777777"/>
          <w:sz w:val="16"/>
        </w:rPr>
        <w:t xml:space="preserve">p015 · body  </w:t>
      </w:r>
      <w:r>
        <w:t>CDRH should also address serviceability. Hospitals may own equipment while remaining dependent on manufacturers for cloud access, proprietary diagnostics, service credentials, component pairing, calibration tools, licensing, or model availability. HTM departments, BMETs, clinical engineers, and qualified independent servicers may be responsible for safety and uptime while lacking the tools or information necessary to maintain the equipment.</w:t>
      </w:r>
    </w:p>
    <w:p>
      <w:r>
        <w:rPr>
          <w:color w:val="777777"/>
          <w:sz w:val="16"/>
        </w:rPr>
        <w:t xml:space="preserve">p016 · body  </w:t>
      </w:r>
      <w:r>
        <w:t>Sponsors should provide a serviceability/lifecycle plan covering expected service life; hardware, software, cybersecurity and model support; parts; service documentation/diagnostics; calibration;</w:t>
      </w:r>
    </w:p>
    <w:p>
      <w:r>
        <w:rPr>
          <w:color w:val="777777"/>
          <w:sz w:val="16"/>
        </w:rPr>
        <w:t xml:space="preserve">p017 · body  </w:t>
      </w:r>
      <w:r>
        <w:t>service software; post-repair verification; backup/restore; component pairing; and functions requiring OEM intervention. Cybersecurity controls should not unnecessarily prevent qualified personnel from safely servicing equipment.</w:t>
      </w:r>
    </w:p>
    <w:p>
      <w:r>
        <w:rPr>
          <w:color w:val="777777"/>
          <w:sz w:val="16"/>
        </w:rPr>
        <w:t xml:space="preserve">p018 · body  </w:t>
      </w:r>
      <w:r>
        <w:t>Lifecycle planning should address dependency-driven obsolescence. A device may remain mechanically and electrically functional yet become unusable because a model/API is retired, authentication infrastructure is withdrawn, licensing or support ends, or a manufacturer or third- party provider ceases operations. These are foreseeable lifecycle risks, not merely commercial issues. Sponsors should disclose support commitments, end-of-support notice, migration/data portability plans, and contingencies for provider failure. Where appropriate, essential functions should continue locally or through a validated non-AI mode.</w:t>
      </w:r>
    </w:p>
    <w:p>
      <w:r>
        <w:rPr>
          <w:color w:val="777777"/>
          <w:sz w:val="16"/>
        </w:rPr>
        <w:t xml:space="preserve">p019 · body  </w:t>
      </w:r>
      <w:r>
        <w:t>For physical devices, CDRH should distinguish AI “calibration” from conventional biomedical calibration. Safety may depend on the entire chain from sensor and signal processing through software, GenAI interpretation, and clinical output. AI benchmarking should not replace conventional calibration, and conventional calibration alone may not establish that a changed model interprets measurements safely.</w:t>
      </w:r>
    </w:p>
    <w:p>
      <w:r>
        <w:rPr>
          <w:color w:val="777777"/>
          <w:sz w:val="16"/>
        </w:rPr>
        <w:t xml:space="preserve">p020 · body  </w:t>
      </w:r>
      <w:r>
        <w:t>CDRH should also consider fleet-level common-mode risk. A health system may deploy hundreds of devices relying on the same model, cloud, identity, licensing, or update infrastructure. Failure or compromise of one dependency could simultaneously affect an entire device class.</w:t>
      </w:r>
    </w:p>
    <w:p>
      <w:r>
        <w:rPr>
          <w:color w:val="777777"/>
          <w:sz w:val="16"/>
        </w:rPr>
        <w:t xml:space="preserve">p021 · body  </w:t>
      </w:r>
      <w:r>
        <w:t>I recommend adding benchmarking elements for: (1) cybersecurity and dependency integrity; (2) — operational resilience and continuity; and (3) maintainability, serviceability, and lifecycle support.</w:t>
      </w:r>
    </w:p>
    <w:p>
      <w:r>
        <w:rPr>
          <w:color w:val="777777"/>
          <w:sz w:val="16"/>
        </w:rPr>
        <w:t xml:space="preserve">p022 · body  </w:t>
      </w:r>
      <w:r>
        <w:t>Finally, CDRH should explicitly include HTM professionals, BMETs, clinical engineers, healthcare cybersecurity personnel, and qualified independent service organizations in this discussion. These stakeholders keep medical equipment safe, available, calibrated, secure, and functional throughout its useful life.</w:t>
      </w:r>
    </w:p>
    <w:p>
      <w:r>
        <w:rPr>
          <w:color w:val="777777"/>
          <w:sz w:val="16"/>
        </w:rPr>
        <w:t xml:space="preserve">p023 · body  </w:t>
      </w:r>
      <w:r>
        <w:t>A complete TPLC framework should evaluate not only whether a GenAI-enabled device performs safely when everything works as intended, but whether healthcare organizations can safely operate, secure, maintain, repair, calibrate, recover, update, support, and retire it throughout its expected service life.</w:t>
      </w:r>
    </w:p>
    <w:p>
      <w:r>
        <w:rPr>
          <w:color w:val="777777"/>
          <w:sz w:val="16"/>
        </w:rPr>
        <w:t xml:space="preserve">p024 · att1 p.1  </w:t>
      </w:r>
      <w:r>
        <w:t>PUBLIC COMMENT — Docket No. FDA-2026-N-7874 — Considerations for the Regulation of Generative AI-Enabled Medical Devices</w:t>
      </w:r>
    </w:p>
    <w:p>
      <w:r>
        <w:rPr>
          <w:color w:val="777777"/>
          <w:sz w:val="16"/>
        </w:rPr>
        <w:t xml:space="preserve">p025 · att1 p.1  </w:t>
      </w:r>
      <w:r>
        <w:t>Cybersecurity, Operational Resilience, Serviceability, and Lifecycle Support — Primary focus of this comment</w:t>
      </w:r>
    </w:p>
    <w:p>
      <w:r>
        <w:rPr>
          <w:color w:val="777777"/>
          <w:sz w:val="16"/>
        </w:rPr>
        <w:t xml:space="preserve">p026 · att1 p.1  </w:t>
      </w:r>
      <w:r>
        <w:t> Safe operation during network, cloud, model, identity, and external-service failures  GenAI-specific cybersecurity and third-party dependency integrity  Qualified hospital and independent service access, calibration, and return-to-service verification  Lifecycle support, end-of-support planning, and protection against dependency-driven obsolescence</w:t>
      </w:r>
    </w:p>
    <w:p>
      <w:r>
        <w:rPr>
          <w:color w:val="777777"/>
          <w:sz w:val="16"/>
        </w:rPr>
        <w:t xml:space="preserve">p027 · att1 p.1  </w:t>
      </w:r>
      <w:r>
        <w:t>Submitted by — Gregory J. Marcisz, CBET, CHTM — Individual capacity — August 24, 2026</w:t>
      </w:r>
    </w:p>
    <w:p>
      <w:r>
        <w:rPr>
          <w:color w:val="777777"/>
          <w:sz w:val="16"/>
        </w:rPr>
        <w:t xml:space="preserve">p028 · att1 p.1  </w:t>
      </w:r>
      <w:r>
        <w:t>Submitted in an individual capacity. This comment does not represent any employer or other organization.</w:t>
      </w:r>
    </w:p>
    <w:p>
      <w:r>
        <w:rPr>
          <w:color w:val="777777"/>
          <w:sz w:val="16"/>
        </w:rPr>
        <w:t xml:space="preserve">p029 · att1 p.2  </w:t>
      </w:r>
      <w:r>
        <w:t>Executive Summary and Prioritized Recommendations — CDRH's discussion paper provides a useful starting point for evaluating the clinical performance, change management, and postmarket monitoring of GenAI-enabled device functions. However, the proposed framework does not yet fully address the conditions that determine whether these products can remain safe, available, secure, maintainable, and clinically usable after deployment.</w:t>
      </w:r>
    </w:p>
    <w:p>
      <w:r>
        <w:rPr>
          <w:color w:val="777777"/>
          <w:sz w:val="16"/>
        </w:rPr>
        <w:t xml:space="preserve">p030 · att1 p.2  </w:t>
      </w:r>
      <w:r>
        <w:t>This gap is especially important when a GenAI function is embedded in physical medical equipment but depends on proprietary software, cloud services, foundation models, identity systems, external data sources, licensing infrastructure, or manufacturer-controlled service tools. A device can pass clinical benchmarks and still become unavailable, unsafe, unserviceable, or prematurely obsolete because a network fails, a vendor service is withdrawn, a model changes, a security control blocks legitimate servicing, or qualified hospital personnel lack the tools to diagnose and restore it.</w:t>
      </w:r>
    </w:p>
    <w:p>
      <w:r>
        <w:rPr>
          <w:color w:val="777777"/>
          <w:sz w:val="16"/>
        </w:rPr>
        <w:t xml:space="preserve">p031 · att1 p.2  </w:t>
      </w:r>
      <w:r>
        <w:t>The recommendations below are ranked according to four considerations: (1) potential for immediate patient harm; (2) risk of losing essential clinical functionality; (3) likelihood of widespread or commonmode disruption; and (4) long-term impact on a healthcare organization's ability to support equipment throughout its expected service life. The ranking establishes priorities, but it does not suggest that lowerranked items are optional. These issues are interdependent and should be addressed as a single Total Product Life Cycle framework.</w:t>
      </w:r>
    </w:p>
    <w:p>
      <w:r>
        <w:rPr>
          <w:color w:val="777777"/>
          <w:sz w:val="16"/>
        </w:rPr>
        <w:t xml:space="preserve">p032 · att1 p.2  </w:t>
      </w:r>
      <w:r>
        <w:t>Scope: This comment most directly addresses Discussion Questions 1, 9, and 18 through 26, with particular emphasis on system-level deployment, postmarket support, third-party dependencies, and stakeholder accountability.</w:t>
      </w:r>
    </w:p>
    <w:p>
      <w:r>
        <w:rPr>
          <w:color w:val="777777"/>
          <w:sz w:val="16"/>
        </w:rPr>
        <w:t xml:space="preserve">p033 · att1 p.2  </w:t>
      </w:r>
      <w:r>
        <w:t>1 Require validated continuity and safe failure during loss of network, cloud, model, and external dependencies - Essential clinical functions must remain safe, failures must be obvious, and recovery must be validated.</w:t>
      </w:r>
    </w:p>
    <w:p>
      <w:r>
        <w:rPr>
          <w:color w:val="777777"/>
          <w:sz w:val="16"/>
        </w:rPr>
        <w:t xml:space="preserve">p034 · att1 p.2  </w:t>
      </w:r>
      <w:r>
        <w:t>2 Establish GenAI-specific cybersecurity and dependency-integrity requirements - The framework should address the complete model, data, API, tool, identity, update, and service supply chain.</w:t>
      </w:r>
    </w:p>
    <w:p>
      <w:r>
        <w:rPr>
          <w:color w:val="777777"/>
          <w:sz w:val="16"/>
        </w:rPr>
        <w:t xml:space="preserve">p035 · att1 p.2  </w:t>
      </w:r>
      <w:r>
        <w:t>3 Preserve maintainability, serviceability, and qualified repair access - Healthcare organizations should not bear responsibility for device availability while lacking the tools and access needed to maintain it.</w:t>
      </w:r>
    </w:p>
    <w:p>
      <w:r>
        <w:rPr>
          <w:color w:val="777777"/>
          <w:sz w:val="16"/>
        </w:rPr>
        <w:t xml:space="preserve">p036 · att1 p.2  </w:t>
      </w:r>
      <w:r>
        <w:t>4 Require lifecycle-support commitments and protections against dependency-driven obsolescence - Support withdrawal by an OEM, cloud provider, or model provider should not strand otherwise functional medical equipment.</w:t>
      </w:r>
    </w:p>
    <w:p>
      <w:r>
        <w:rPr>
          <w:color w:val="777777"/>
          <w:sz w:val="16"/>
        </w:rPr>
        <w:t xml:space="preserve">p037 · att1 p.2  </w:t>
      </w:r>
      <w:r>
        <w:t>5 Require transparent disclosure of architecture, dependencies, and operating modes - Hospitals must know which functions are local, LAN-dependent, internet-dependent, clouddependent, subscription-based, or remotely controlled.</w:t>
      </w:r>
    </w:p>
    <w:p>
      <w:r>
        <w:rPr>
          <w:color w:val="777777"/>
          <w:sz w:val="16"/>
        </w:rPr>
        <w:t xml:space="preserve">p038 · att1 p.2  </w:t>
      </w:r>
      <w:r>
        <w:t>6 Define end-to-end calibration and return-to-service verification - Physical calibration, software verification, model verification, and clinically relevant output verification must be distinguished and linked.</w:t>
      </w:r>
    </w:p>
    <w:p>
      <w:r>
        <w:rPr>
          <w:color w:val="777777"/>
          <w:sz w:val="16"/>
        </w:rPr>
        <w:t xml:space="preserve">p039 · att1 p.2  </w:t>
      </w:r>
      <w:r>
        <w:t>7 Clarify ownership, licensing, and operational control - Legal ownership of hardware should not obscure continuing vendor control over clinically essential functionality.</w:t>
      </w:r>
    </w:p>
    <w:p>
      <w:r>
        <w:rPr>
          <w:color w:val="777777"/>
          <w:sz w:val="16"/>
        </w:rPr>
        <w:t xml:space="preserve">p040 · att1 p.2  </w:t>
      </w:r>
      <w:r>
        <w:t>8 Evaluate fleet-level, common-mode, and third-party concentration risk - A single shared provider or update can simultaneously affect large fleets, multiple facilities, or multiple manufacturers.</w:t>
      </w:r>
    </w:p>
    <w:p>
      <w:r>
        <w:rPr>
          <w:color w:val="777777"/>
          <w:sz w:val="16"/>
        </w:rPr>
        <w:t xml:space="preserve">p041 · att1 p.3  </w:t>
      </w:r>
      <w:r>
        <w:t>9 Incorporate these requirements into risk assessment, benchmarking, labeling, and postmarket monitoring - Operational and lifecycle risks should be measurable regulatory elements, not secondary procurement concerns.</w:t>
      </w:r>
    </w:p>
    <w:p>
      <w:r>
        <w:rPr>
          <w:color w:val="777777"/>
          <w:sz w:val="16"/>
        </w:rPr>
        <w:t xml:space="preserve">p042 · att1 p.3  </w:t>
      </w:r>
      <w:r>
        <w:t>10 Formally include HTM, biomedical, clinical engineering, cybersecurity, and qualified service stakeholders - The people responsible for keeping equipment safe and available should have an explicit role in framework development and monitoring.</w:t>
      </w:r>
    </w:p>
    <w:p>
      <w:r>
        <w:rPr>
          <w:color w:val="777777"/>
          <w:sz w:val="16"/>
        </w:rPr>
        <w:t xml:space="preserve">p043 · att1 p.3  </w:t>
      </w:r>
      <w:r>
        <w:t>Core regulatory request —  Add S.4 - Cybersecurity and Dependency Integrity.  Add R.3 - Operational Resilience and Continuity.  Add R.4 - Maintainability, Serviceability, and Lifecycle Support.  Treat connectivity dependence, time-to-harm during unavailability, fallback capability, and commonmode exposure as risk modifiers.</w:t>
      </w:r>
    </w:p>
    <w:p>
      <w:r>
        <w:rPr>
          <w:color w:val="777777"/>
          <w:sz w:val="16"/>
        </w:rPr>
        <w:t xml:space="preserve">p044 · att1 p.3  </w:t>
      </w:r>
      <w:r>
        <w:t>Overall Regulatory Concern — The discussion paper appropriately identifies a Total Product Life Cycle approach as important for GenAI- enabled devices. It also acknowledges that a GenAI-enabled software function may be integrated into a broader device containing other hardware and software, while stating that the paper primarily addresses the GenAI-enabled component rather than the complete device. [1, pp. 1 and 5] That division creates a risk that system-level safety issues, including downtime behavior, service access, calibration, ownership, and end-of-life support, are treated as outside the GenAI discussion even though they directly determine realworld safety and availability.</w:t>
      </w:r>
    </w:p>
    <w:p>
      <w:r>
        <w:rPr>
          <w:color w:val="777777"/>
          <w:sz w:val="16"/>
        </w:rPr>
        <w:t xml:space="preserve">p045 · att1 p.3  </w:t>
      </w:r>
      <w:r>
        <w:t>A complete framework should evaluate not only whether a GenAI function produces acceptable outputs under normal conditions, but also whether the deploying healthcare organization can safely own, operate, secure, maintain, repair, calibrate, recover, update, support, and retire the complete product throughout its expected service life.</w:t>
      </w:r>
    </w:p>
    <w:p>
      <w:r>
        <w:rPr>
          <w:color w:val="777777"/>
          <w:sz w:val="16"/>
        </w:rPr>
        <w:t xml:space="preserve">p046 · att1 p.3  </w:t>
      </w:r>
      <w:r>
        <w:t>1. Safe Operation and Continuity During Dependency Failures — Recommended CDRH action: Require sponsors to define and validate device behavior during the loss, degradation, compromise, or unexpected modification of every external dependency required for clinical operation.</w:t>
      </w:r>
    </w:p>
    <w:p>
      <w:r>
        <w:rPr>
          <w:color w:val="777777"/>
          <w:sz w:val="16"/>
        </w:rPr>
        <w:t xml:space="preserve">p047 · att1 p.3  </w:t>
      </w:r>
      <w:r>
        <w:t>The final user-facing device should be evaluated in the configuration intended for real-world deployment, and the discussion paper states that benchmarking should reflect the environments in which the device is expected to be used. [1, pp. 11-14] Network failures, cloud outages, identity failures, and third-party service interruptions are foreseeable deployment conditions and should be included in that evaluation.</w:t>
      </w:r>
    </w:p>
    <w:p>
      <w:r>
        <w:rPr>
          <w:color w:val="777777"/>
          <w:sz w:val="16"/>
        </w:rPr>
        <w:t xml:space="preserve">p048 · att1 p.3  </w:t>
      </w:r>
      <w:r>
        <w:t>Sponsors should test and document device behavior during:  Complete loss of internet connectivity  Complete loss of the healthcare organization's local network  Loss or degradation of the foundation-model API  Manufacturer or third-party cloud-platform outages  Identity-provider, authentication, certificate, or licensing failures  Domain Name System or time-synchronization failures  Electronic health record, interface-engine, or clinical-data-service failures</w:t>
      </w:r>
    </w:p>
    <w:p>
      <w:r>
        <w:rPr>
          <w:color w:val="777777"/>
          <w:sz w:val="16"/>
        </w:rPr>
        <w:t xml:space="preserve">p049 · att1 p.4  </w:t>
      </w:r>
      <w:r>
        <w:t> Retrieval-source, terminology-service, or external-tool failures  High latency, packet loss, intermittent connectivity, or flapping connections  Partial, delayed, duplicated, or out-of-sequence responses  Mid-transaction disconnections and uncertain completion states  Regional or prolonged service outages  Retirement or discontinuation of a required external service</w:t>
      </w:r>
    </w:p>
    <w:p>
      <w:r>
        <w:rPr>
          <w:color w:val="777777"/>
          <w:sz w:val="16"/>
        </w:rPr>
        <w:t xml:space="preserve">p050 · att1 p.4  </w:t>
      </w:r>
      <w:r>
        <w:t>Evaluation should include safe degraded modes, clear user notification, manual or non-AI fallback workflows, stale-data controls, handling of incomplete actions, recovery procedures, rollback, and reconciliation after service is restored. The device should not silently continue with partial context, present cached information as current, duplicate a clinical action after retry, or leave the user unable to determine whether an action was completed.</w:t>
      </w:r>
    </w:p>
    <w:p>
      <w:r>
        <w:rPr>
          <w:color w:val="777777"/>
          <w:sz w:val="16"/>
        </w:rPr>
        <w:t xml:space="preserve">p051 · att1 p.4  </w:t>
      </w:r>
      <w:r>
        <w:t>Full offline functionality may not be necessary for every device. The requirement should be proportionate to intended use, autonomy, severity of harm, and time-to-harm during unavailability. A low-risk documentation assistant may be permitted to become unavailable if the failure is obvious and does not corrupt the record. A device that directs treatment, initiates clinical actions, controls another device, or supports time-critical care may require local functionality, redundancy, a validated conventional mode, or an immediately available manual alternative.</w:t>
      </w:r>
    </w:p>
    <w:p>
      <w:r>
        <w:rPr>
          <w:color w:val="777777"/>
          <w:sz w:val="16"/>
        </w:rPr>
        <w:t xml:space="preserve">p052 · att1 p.4  </w:t>
      </w:r>
      <w:r>
        <w:t>Connectivity dependency, dependency criticality, detectability of degradation, availability of downstream safeguards, and time-to-harm during unavailability should be explicit modifiers within the proposed risk framework. The paper already asks whether time pressure and downstream safeguards should supplement the activity-and-consequence framework. [1, p. 9]</w:t>
      </w:r>
    </w:p>
    <w:p>
      <w:r>
        <w:rPr>
          <w:color w:val="777777"/>
          <w:sz w:val="16"/>
        </w:rPr>
        <w:t xml:space="preserve">p053 · att1 p.4  </w:t>
      </w:r>
      <w:r>
        <w:t>2. GenAI-Specific Cybersecurity and Dependency Integrity — Recommended CDRH action: Add a cybersecurity benchmarking element tailored to the complete architecture and supply chain of GenAI-enabled devices, not only to adversarial user prompts.</w:t>
      </w:r>
    </w:p>
    <w:p>
      <w:r>
        <w:rPr>
          <w:color w:val="777777"/>
          <w:sz w:val="16"/>
        </w:rPr>
        <w:t xml:space="preserve">p054 · att1 p.4  </w:t>
      </w:r>
      <w:r>
        <w:t>The discussion paper recognizes adversarial prompting, prompt injection, and attacks delivered through user input, retrieved content, and tool output. [1, pp. 24-26] Those are important, but they are only part of the attack surface. A GenAI-enabled medical device may depend on multiple interconnected systems whose compromise can alter clinical behavior even when the physical device itself has not been compromised.</w:t>
      </w:r>
    </w:p>
    <w:p>
      <w:r>
        <w:rPr>
          <w:color w:val="777777"/>
          <w:sz w:val="16"/>
        </w:rPr>
        <w:t xml:space="preserve">p055 · att1 p.4  </w:t>
      </w:r>
      <w:r>
        <w:t>Evaluation should address threats involving:  Foundation-model compromise, unauthorized modification, or unannounced behavior change  Retrieval-augmented generation data poisoning or manipulation of clinical knowledge sources  Compromised external tools, tool outputs, agents, or orchestration components  Unauthorized changes to system prompts, guardrails, refusal behavior, or model routing  API compromise, credential theft, identity-provider compromise, or privilege escalation  Software, model, container, dependency, and update supply-chain compromise  Cloud-tenancy, data-isolation, and cross-customer confidentiality failures  Unauthorized access to patient data, prompts, outputs, telemetry, or audit records  Denial-of-service, resource exhaustion, and malicious cost-amplification attacks  Inadequate service-interface controls, insecure remote access, or misuse of privileged diagnostic tools  Inadequate audit logging, forensic evidence, incident notification, or recovery capability</w:t>
      </w:r>
    </w:p>
    <w:p>
      <w:r>
        <w:rPr>
          <w:color w:val="777777"/>
          <w:sz w:val="16"/>
        </w:rPr>
        <w:t xml:space="preserve">p056 · att1 p.4  </w:t>
      </w:r>
      <w:r>
        <w:t>Sponsors should provide a system threat model identifying trust boundaries, data flows, privileged functions, third-party services, external interfaces, update paths, service access methods, and the clinical consequences of compromise. Testing should evaluate integrity and availability of clinical functionality in addition to confidentiality. FDA's February 2026 premarket cybersecurity guidance already emphasizes resilient design, quality-system integration, and section 524B considerations; the GenAI framework should explicitly cross-reference and extend those expectations to model and service dependencies. [2]</w:t>
      </w:r>
    </w:p>
    <w:p>
      <w:r>
        <w:rPr>
          <w:color w:val="777777"/>
          <w:sz w:val="16"/>
        </w:rPr>
        <w:t xml:space="preserve">p057 · att1 p.5  </w:t>
      </w:r>
      <w:r>
        <w:t>Manufacturers should remain accountable for the marketed device even when a vulnerability, outage, or unauthorized change originates with a third-party model, cloud provider, retrieval source, or external tool selected by the manufacturer. Contracts, technical controls, model version pinning, staged deployment, rollback, and notification obligations should be evaluated as part of the safety case, not left solely to commercial arrangements.</w:t>
      </w:r>
    </w:p>
    <w:p>
      <w:r>
        <w:rPr>
          <w:color w:val="777777"/>
          <w:sz w:val="16"/>
        </w:rPr>
        <w:t xml:space="preserve">p058 · att1 p.5  </w:t>
      </w:r>
      <w:r>
        <w:t>3. Maintainability, Serviceability, and Qualified Repair Access — Recommended CDRH action: Require a serviceability and lifecycle-support plan that gives qualified healthcare and independent service personnel the information and controlled access reasonably necessary to maintain the device safely.</w:t>
      </w:r>
    </w:p>
    <w:p>
      <w:r>
        <w:rPr>
          <w:color w:val="777777"/>
          <w:sz w:val="16"/>
        </w:rPr>
        <w:t xml:space="preserve">p059 · att1 p.5  </w:t>
      </w:r>
      <w:r>
        <w:t>Healthcare Technology Management departments, biomedical equipment technicians, clinical engineers, and qualified independent service organizations routinely perform preventive maintenance, corrective maintenance, calibration, operational verification, electrical-safety testing, parts replacement, software restoration, network review, cybersecurity coordination, and return-to-service decisions. GenAI-enabled equipment should not assign these organizations responsibility for device availability while withholding the tools needed to fulfill that responsibility.</w:t>
      </w:r>
    </w:p>
    <w:p>
      <w:r>
        <w:rPr>
          <w:color w:val="777777"/>
          <w:sz w:val="16"/>
        </w:rPr>
        <w:t xml:space="preserve">p060 · att1 p.5  </w:t>
      </w:r>
      <w:r>
        <w:t>A GenAI-enabled device may make ordinary servicing substantially more difficult if basic functions depend on manufacturer-only credentials, proprietary cloud-based diagnostics, encrypted or inaccessible logs, cryptographic component pairing, undocumented error codes, remote authorization, or a licensing service. The service organization may be unable to determine whether a fault originates in physical hardware, embedded software, the local network, a cloud service, the foundation model, the orchestration layer, authentication infrastructure, or a third-party data source.</w:t>
      </w:r>
    </w:p>
    <w:p>
      <w:r>
        <w:rPr>
          <w:color w:val="777777"/>
          <w:sz w:val="16"/>
        </w:rPr>
        <w:t xml:space="preserve">p061 · att1 p.5  </w:t>
      </w:r>
      <w:r>
        <w:t>The required serviceability and lifecycle-support plan should include:  Service manuals sufficient for qualified maintenance, repair, and troubleshooting  Complete diagnostic information, error codes, and access to relevant device and system logs  Preventive-maintenance procedures and objective acceptance criteria  Calibration procedures, tolerances, required standards, and test equipment  Post-repair operational-verification and return-to-service procedures  Replacement-part information, expected availability, and component-pairing restrictions  Availability of required service software, fixtures, credentials, and training  A controlled local or break-glass service pathway when the cloud or identity service being diagnosed is unavailable  Backup, restoration, rollback, and validated configuration-recovery procedures  Clear identification of functions that only the manufacturer can perform and expected response times for those functions</w:t>
      </w:r>
    </w:p>
    <w:p>
      <w:r>
        <w:rPr>
          <w:color w:val="777777"/>
          <w:sz w:val="16"/>
        </w:rPr>
        <w:t xml:space="preserve">p062 · att1 p.5  </w:t>
      </w:r>
      <w:r>
        <w:t>This comment does not ask CDRH to resolve every broader right-to-repair policy dispute. It asks the Agency to recognize that serviceability and qualified repair access become safety and availability issues when healthcare organizations are accountable for maintaining the device. FDA's existing remanufacturing guidance already recommends labeling that supports continued safe servicing of reusable devices over their useful life. [4] The same principle should be applied explicitly to GenAI-enabled equipment.</w:t>
      </w:r>
    </w:p>
    <w:p>
      <w:r>
        <w:rPr>
          <w:color w:val="777777"/>
          <w:sz w:val="16"/>
        </w:rPr>
        <w:t xml:space="preserve">p063 · att1 p.6  </w:t>
      </w:r>
      <w:r>
        <w:t>Service access can and should be secured through qualification, authentication, role-based authorization, audit logging, and appropriate cybersecurity controls. Cybersecurity should not become a blanket justification for excluding qualified in-house or independent personnel from necessary maintenance, calibration, diagnosis, and verification.</w:t>
      </w:r>
    </w:p>
    <w:p>
      <w:r>
        <w:rPr>
          <w:color w:val="777777"/>
          <w:sz w:val="16"/>
        </w:rPr>
        <w:t xml:space="preserve">p064 · att1 p.6  </w:t>
      </w:r>
      <w:r>
        <w:t>4. Lifecycle Support and Dependency-Driven Obsolescence — Recommended CDRH action: Require enforceable lifecycle-support disclosures and a transition plan for model, software, cloud, licensing, and third-party end-of-support events.</w:t>
      </w:r>
    </w:p>
    <w:p>
      <w:r>
        <w:rPr>
          <w:color w:val="777777"/>
          <w:sz w:val="16"/>
        </w:rPr>
        <w:t xml:space="preserve">p065 · att1 p.6  </w:t>
      </w:r>
      <w:r>
        <w:t>GenAI-enabled equipment may become unusable even when its physical hardware remains mechanically, electrically, and metrologically functional. This can occur if a foundation-model provider retires a model, an API is discontinued, a cloud platform is shut down, authentication infrastructure is withdrawn, required certificates can no longer be issued, a license server is deactivated, updates cease, or the manufacturer or a critical provider goes out of business.</w:t>
      </w:r>
    </w:p>
    <w:p>
      <w:r>
        <w:rPr>
          <w:color w:val="777777"/>
          <w:sz w:val="16"/>
        </w:rPr>
        <w:t xml:space="preserve">p066 · att1 p.6  </w:t>
      </w:r>
      <w:r>
        <w:t>This is dependency-driven functional obsolescence. It differs from traditional equipment failure because the healthcare organization may be forced to retire otherwise functional capital equipment solely because an external service is withdrawn. The discussion paper addresses third-party model changes and asks how a manufacturer should detect, evaluate, and respond to them. [1, pp. 20-22] The framework should also ask what happens when the provider stops offering the model or service altogether.</w:t>
      </w:r>
    </w:p>
    <w:p>
      <w:r>
        <w:rPr>
          <w:color w:val="777777"/>
          <w:sz w:val="16"/>
        </w:rPr>
        <w:t xml:space="preserve">p067 · att1 p.6  </w:t>
      </w:r>
      <w:r>
        <w:t>Sponsors should disclose and commit to:  Expected device service life  Minimum hardware, software, cybersecurity, model, cloud, and service-support periods  Replacement-part availability periods  Advance notice for end-of-support, model retirement, API deprecation, and licensing changes  A migration, transition, or validated downgrade path  Data export, configuration portability, and preservation of maintenance and service records  Safe operation during the transition period  Contingency plans for manufacturer, cloud-provider, or foundation-model-provider failure  A validated retirement and decommissioning process  Whether essential functions can continue locally, through an alternate provider, or in a non-AI mode after the original service is withdrawn</w:t>
      </w:r>
    </w:p>
    <w:p>
      <w:r>
        <w:rPr>
          <w:color w:val="777777"/>
          <w:sz w:val="16"/>
        </w:rPr>
        <w:t xml:space="preserve">p068 · att1 p.6  </w:t>
      </w:r>
      <w:r>
        <w:t>For high-risk or widely deployed devices, CDRH should consider whether additional continuity mechanisms are appropriate, such as contractual transition rights, access to validated replacement components, escrow of critical software artifacts, or other arrangements that reduce the risk that provider failure will abruptly strand a device fleet. The precise mechanism may vary, but the absence of a credible provider-exit plan should be treated as a lifecycle risk.</w:t>
      </w:r>
    </w:p>
    <w:p>
      <w:r>
        <w:rPr>
          <w:color w:val="777777"/>
          <w:sz w:val="16"/>
        </w:rPr>
        <w:t xml:space="preserve">p069 · att1 p.6  </w:t>
      </w:r>
      <w:r>
        <w:t>Foreseeable end-of-support events should be addressed in risk management, labeling, acquisition disclosures, and postmarket monitoring rather than treated only as commercial matters. Essential clinical functionality should not be remotely withdrawn without adequate notice, a safe transition, and clear communication to the device owner and users.</w:t>
      </w:r>
    </w:p>
    <w:p>
      <w:r>
        <w:rPr>
          <w:color w:val="777777"/>
          <w:sz w:val="16"/>
        </w:rPr>
        <w:t xml:space="preserve">p070 · att1 p.7  </w:t>
      </w:r>
      <w:r>
        <w:t>5. Transparency Regarding Architecture, Dependencies, and Operating Modes — Recommended CDRH action: Require a standardized connectivity and dependency profile that is available before acquisition and included in labeling and technical documentation.</w:t>
      </w:r>
    </w:p>
    <w:p>
      <w:r>
        <w:rPr>
          <w:color w:val="777777"/>
          <w:sz w:val="16"/>
        </w:rPr>
        <w:t xml:space="preserve">p071 · att1 p.7  </w:t>
      </w:r>
      <w:r>
        <w:t>For each clinically relevant function, the profile should distinguish among: 1. Functions performed entirely on the device 2. Functions requiring the healthcare organization's local network 3. Functions requiring internet access 4. Functions requiring manufacturer-operated cloud services 5. Functions requiring a third-party foundation model or platform 6. Functions requiring external clinical-data, retrieval, terminology, or decision-support sources 7. Functions requiring identity, licensing, telemetry, monitoring, or update services</w:t>
      </w:r>
    </w:p>
    <w:p>
      <w:r>
        <w:rPr>
          <w:color w:val="777777"/>
          <w:sz w:val="16"/>
        </w:rPr>
        <w:t xml:space="preserve">p072 · att1 p.7  </w:t>
      </w:r>
      <w:r>
        <w:t>For each dependency, the manufacturer should disclose:  Whether the function is essential or optional  Where processing occurs and what data are transmitted or stored  Minimum bandwidth, latency, time-synchronization, and authentication requirements  Whether cached information is used and how stale information is identified  How loss or degradation is detected and communicated to the user  Whether the underlying medical equipment continues to operate  How long the function can remain unavailable before clinical risk increases  Whether a local, manual, or non-AI fallback exists  Which party is responsible for detection, escalation, recovery, and clinical downtime procedures  Whether the dependency can be changed, remotely disabled, or withdrawn during the expected service life</w:t>
      </w:r>
    </w:p>
    <w:p>
      <w:r>
        <w:rPr>
          <w:color w:val="777777"/>
          <w:sz w:val="16"/>
        </w:rPr>
        <w:t xml:space="preserve">p073 · att1 p.7  </w:t>
      </w:r>
      <w:r>
        <w:t>This information should be available to healthcare organizations during capital planning and procurement, not discovered only after purchase or implementation. A device that performs its essential function locally and uses the cloud only for optional enhancement should not be treated as operationally equivalent to a device that requires a remote model, cloud identity provider, retrieval service, licensing server, and EHR interface for every clinical output.</w:t>
      </w:r>
    </w:p>
    <w:p>
      <w:r>
        <w:rPr>
          <w:color w:val="777777"/>
          <w:sz w:val="16"/>
        </w:rPr>
        <w:t xml:space="preserve">p074 · att1 p.7  </w:t>
      </w:r>
      <w:r>
        <w:t>6. End-to-End Calibration and Return-to-Service Verification — Recommended CDRH action: Distinguish AI calibration from physical-device calibration and require a practical method to verify the complete measurement-to-output chain after service or change.</w:t>
      </w:r>
    </w:p>
    <w:p>
      <w:r>
        <w:rPr>
          <w:color w:val="777777"/>
          <w:sz w:val="16"/>
        </w:rPr>
        <w:t xml:space="preserve">p075 · att1 p.7  </w:t>
      </w:r>
      <w:r>
        <w:t>The paper uses calibration primarily in the AI sense: whether the device accurately communicates confidence, uncertainty, limitations, and the need for clinical deferral. [1, pp. 12 and 24] Biomedical equipment technicians and clinical engineers also use calibration to mean traceable verification and adjustment of physical measurements and outputs, such as pressure, flow, temperature, weight, electrical signals, optical measurements, mechanical motion, dosage delivery, and physiologic monitoring.</w:t>
      </w:r>
    </w:p>
    <w:p>
      <w:r>
        <w:rPr>
          <w:color w:val="777777"/>
          <w:sz w:val="16"/>
        </w:rPr>
        <w:t xml:space="preserve">p076 · att1 p.7  </w:t>
      </w:r>
      <w:r>
        <w:t>For a physical device that combines measurements with GenAI interpretation or action, safety may depend on the complete chain:</w:t>
      </w:r>
    </w:p>
    <w:p>
      <w:r>
        <w:rPr>
          <w:color w:val="777777"/>
          <w:sz w:val="16"/>
        </w:rPr>
        <w:t xml:space="preserve">p077 · att1 p.8  </w:t>
      </w:r>
      <w:r>
        <w:t>End-to-end verification chain —  Physical input and sensor performance  Signal conditioning and analog-to-digital conversion  Conventional software and preprocessing  GenAI interpretation, retrieval, and orchestration  Clinically relevant output, recommendation, control action, or alarm</w:t>
      </w:r>
    </w:p>
    <w:p>
      <w:r>
        <w:rPr>
          <w:color w:val="777777"/>
          <w:sz w:val="16"/>
        </w:rPr>
        <w:t xml:space="preserve">p078 · att1 p.8  </w:t>
      </w:r>
      <w:r>
        <w:t>Sponsors should define verification requirements after preventive maintenance, corrective maintenance, sensor replacement, compute-module replacement, software or model updates, prompt or guardrail changes, retrieval-source changes, configuration changes, and network or cloud migration.</w:t>
      </w:r>
    </w:p>
    <w:p>
      <w:r>
        <w:rPr>
          <w:color w:val="777777"/>
          <w:sz w:val="16"/>
        </w:rPr>
        <w:t xml:space="preserve">p079 · att1 p.8  </w:t>
      </w:r>
      <w:r>
        <w:t>Passing an AI benchmark should not substitute for metrological calibration, electrical-safety testing, or conventional functional verification. Conversely, calibrating a sensor does not demonstrate that a changed model continues to interpret the measurement safely. Qualified service personnel need a practical, risk-based process for verifying the portions of the system necessary to return the equipment to clinical use, along with clear criteria for when manufacturer involvement or more extensive revalidation is required.</w:t>
      </w:r>
    </w:p>
    <w:p>
      <w:r>
        <w:rPr>
          <w:color w:val="777777"/>
          <w:sz w:val="16"/>
        </w:rPr>
        <w:t xml:space="preserve">p080 · att1 p.8  </w:t>
      </w:r>
      <w:r>
        <w:t>7. Ownership, Licensing, and Operational Control — Recommended CDRH action: Require clear disclosure of the difference between legal ownership of hardware and continuing vendor control over clinically essential functionality.</w:t>
      </w:r>
    </w:p>
    <w:p>
      <w:r>
        <w:rPr>
          <w:color w:val="777777"/>
          <w:sz w:val="16"/>
        </w:rPr>
        <w:t xml:space="preserve">p081 · att1 p.8  </w:t>
      </w:r>
      <w:r>
        <w:t>GenAI-enabled devices may be purchased, leased, rented, provided under managed-equipment agreements, bundled with service contracts, or sold as hardware with recurring software, model, cloud, or usage-based fees. The commercial form does not by itself determine who has practical control of the device.</w:t>
      </w:r>
    </w:p>
    <w:p>
      <w:r>
        <w:rPr>
          <w:color w:val="777777"/>
          <w:sz w:val="16"/>
        </w:rPr>
        <w:t xml:space="preserve">p082 · att1 p.8  </w:t>
      </w:r>
      <w:r>
        <w:t>A healthcare organization may own the chassis, sensors, actuators, power supplies, display, and embedded computer while effectively leasing the clinically essential function. Operation may still depend on manufacturer-controlled cloud access, foundation-model authorization, software licensing, service authentication, component activation, cryptographic pairing, firmware access, cybersecurity updates, or a proprietary operating environment.</w:t>
      </w:r>
    </w:p>
    <w:p>
      <w:r>
        <w:rPr>
          <w:color w:val="777777"/>
          <w:sz w:val="16"/>
        </w:rPr>
        <w:t xml:space="preserve">p083 · att1 p.8  </w:t>
      </w:r>
      <w:r>
        <w:t>Before acquisition, the owner or deploying organization should receive clear disclosure of:  Which functionality is included in the hardware purchase and which requires continuing payment or authorization  Which functions can be remotely disabled or materially changed  What occurs when a subscription, support agreement, certificate, or license expires  Whether emergency or degraded operation remains available  Whether the device and service access can be transferred or resold  Whether replacement components require manufacturer activation or pairing  Whether local configurations, fine-tuning, prompts, audit records, and device data can be exported  Whether historical service and maintenance records remain accessible after contract termination  Whether essential functionality depends on the continued existence of the manufacturer or a named third party</w:t>
      </w:r>
    </w:p>
    <w:p>
      <w:r>
        <w:rPr>
          <w:color w:val="777777"/>
          <w:sz w:val="16"/>
        </w:rPr>
        <w:t xml:space="preserve">p084 · att1 p.8  </w:t>
      </w:r>
      <w:r>
        <w:t>CDRH may not regulate every commercial term directly. However, when a licensing or ownership arrangement can terminate essential clinical functionality, prevent necessary servicing, or create an unsafe condition, it becomes relevant to safety, effectiveness, labeling, and continuity. A healthcare organization should not discover after purchase that an otherwise functional medical device can no longer be used or serviced because of an undisclosed commercial or technical dependency.</w:t>
      </w:r>
    </w:p>
    <w:p>
      <w:r>
        <w:rPr>
          <w:color w:val="777777"/>
          <w:sz w:val="16"/>
        </w:rPr>
        <w:t xml:space="preserve">p085 · att1 p.9  </w:t>
      </w:r>
      <w:r>
        <w:t>8. Fleet-Level, Common-Mode, and Concentration Risk — Recommended CDRH action: Require sponsors to assess failures that can simultaneously affect large fleets, multiple facilities, or multiple manufacturers sharing the same dependency.</w:t>
      </w:r>
    </w:p>
    <w:p>
      <w:r>
        <w:rPr>
          <w:color w:val="777777"/>
          <w:sz w:val="16"/>
        </w:rPr>
        <w:t xml:space="preserve">p086 · att1 p.9  </w:t>
      </w:r>
      <w:r>
        <w:t>A single healthcare system may deploy hundreds or thousands of devices that rely on the same foundation model, cloud platform, authentication provider, licensing service, software version, retrieval source, certificate authority, or remote service platform. Failure or compromise of one shared dependency can therefore disable an entire device class even when no individual unit has suffered a hardware failure.</w:t>
      </w:r>
    </w:p>
    <w:p>
      <w:r>
        <w:rPr>
          <w:color w:val="777777"/>
          <w:sz w:val="16"/>
        </w:rPr>
        <w:t xml:space="preserve">p087 · att1 p.9  </w:t>
      </w:r>
      <w:r>
        <w:t>The concentration risk may extend beyond one manufacturer. Multiple unrelated device manufacturers may build products on the same model provider, cloud platform, open-source component, or external clinical-data service. A vulnerability, outage, policy change, or model retirement could therefore create a cross-manufacturer common-mode event.</w:t>
      </w:r>
    </w:p>
    <w:p>
      <w:r>
        <w:rPr>
          <w:color w:val="777777"/>
          <w:sz w:val="16"/>
        </w:rPr>
        <w:t xml:space="preserve">p088 · att1 p.9  </w:t>
      </w:r>
      <w:r>
        <w:t>Sponsors should assess:  The number and geographic distribution of devices affected by each shared dependency  Dependence on a single provider and availability of validated alternatives  Failover capability and the ability to operate in a reduced or local mode  Simultaneous update, certificate-expiration, and configuration-change risk  Staged rollout, rollback, and capacity to halt a faulty deployment  Manufacturer capacity to support a regional or national outage  Availability of replacement parts, compute modules, and field-service personnel  Healthcare staffing and workload implications during a mass event  Clinical consequences of losing an entire device category at once  Recovery priorities, communication pathways, and fleet-wide reconciliation after restoration</w:t>
      </w:r>
    </w:p>
    <w:p>
      <w:r>
        <w:rPr>
          <w:color w:val="777777"/>
          <w:sz w:val="16"/>
        </w:rPr>
        <w:t xml:space="preserve">p089 · att1 p.9  </w:t>
      </w:r>
      <w:r>
        <w:t>For higher-risk or widely deployed products, CDRH should consider requiring evidence of a scalable common-mode failure response plan and postmarket reporting of material service outages, not only unitlevel adverse events.</w:t>
      </w:r>
    </w:p>
    <w:p>
      <w:r>
        <w:rPr>
          <w:color w:val="777777"/>
          <w:sz w:val="16"/>
        </w:rPr>
        <w:t xml:space="preserve">p090 · att1 p.9  </w:t>
      </w:r>
      <w:r>
        <w:t>9. Incorporation into Risk Assessment, Benchmarking, Labeling, and Postmarket Monitoring — Recommended CDRH action: Convert these operational and lifecycle concerns into explicit, measurable elements of the proposed regulatory framework.</w:t>
      </w:r>
    </w:p>
    <w:p>
      <w:r>
        <w:rPr>
          <w:color w:val="777777"/>
          <w:sz w:val="16"/>
        </w:rPr>
        <w:t xml:space="preserve">p091 · att1 p.9  </w:t>
      </w:r>
      <w:r>
        <w:t>The paper's proposed benchmarking structure includes safety, clinical proficiency, generalizability, and agentic AI capabilities. [1, p. 12] Those categories do not adequately capture cybersecurity, externalservice dependence, maintainability, or lifecycle continuity. CDRH should consider the following additional elements:</w:t>
      </w:r>
    </w:p>
    <w:p>
      <w:r>
        <w:rPr>
          <w:color w:val="777777"/>
          <w:sz w:val="16"/>
        </w:rPr>
        <w:t xml:space="preserve">p092 · att1 p.10  </w:t>
      </w:r>
      <w:r>
        <w:t>Proposed element Core regulatory question Minimum evidence — S.4 Cybersecurity and Dependency Integrity</w:t>
      </w:r>
    </w:p>
    <w:p>
      <w:r>
        <w:rPr>
          <w:color w:val="777777"/>
          <w:sz w:val="16"/>
        </w:rPr>
        <w:t xml:space="preserve">p093 · att1 p.10  </w:t>
      </w:r>
      <w:r>
        <w:t>System threat model; trust boundaries and data flows; adversarial and supply-chain testing; privileged-access controls; audit and incident-response capability; thirdparty accountability.</w:t>
      </w:r>
    </w:p>
    <w:p>
      <w:r>
        <w:rPr>
          <w:color w:val="777777"/>
          <w:sz w:val="16"/>
        </w:rPr>
        <w:t xml:space="preserve">p094 · att1 p.10  </w:t>
      </w:r>
      <w:r>
        <w:t>Can the device preserve the integrity, confidentiality, and availability of clinical functionality when its model, data sources, tools, APIs, identities, updates, or service interfaces are attacked or compromised?</w:t>
      </w:r>
    </w:p>
    <w:p>
      <w:r>
        <w:rPr>
          <w:color w:val="777777"/>
          <w:sz w:val="16"/>
        </w:rPr>
        <w:t xml:space="preserve">p095 · att1 p.10  </w:t>
      </w:r>
      <w:r>
        <w:t>R.3 Operational Resilience and Continuity — Dependency failure testing; safe degraded modes; local or manual fallback; stale-data controls; incompleteaction handling; recovery, rollback, and reconciliation evidence.</w:t>
      </w:r>
    </w:p>
    <w:p>
      <w:r>
        <w:rPr>
          <w:color w:val="777777"/>
          <w:sz w:val="16"/>
        </w:rPr>
        <w:t xml:space="preserve">p096 · att1 p.10  </w:t>
      </w:r>
      <w:r>
        <w:t>Does the device enter a safe, obvious, and validated state when local networks, internet access, cloud services, models, identity systems, EHR interfaces, or external tools are unavailable or degraded?</w:t>
      </w:r>
    </w:p>
    <w:p>
      <w:r>
        <w:rPr>
          <w:color w:val="777777"/>
          <w:sz w:val="16"/>
        </w:rPr>
        <w:t xml:space="preserve">p097 · att1 p.10  </w:t>
      </w:r>
      <w:r>
        <w:t>R.4 Maintainability, Serviceability, and Lifecycle Support — Can qualified personnel diagnose, maintain, repair, calibrate, verify, restore, update, and retire the device throughout its expected service life?</w:t>
      </w:r>
    </w:p>
    <w:p>
      <w:r>
        <w:rPr>
          <w:color w:val="777777"/>
          <w:sz w:val="16"/>
        </w:rPr>
        <w:t xml:space="preserve">p098 · att1 p.10  </w:t>
      </w:r>
      <w:r>
        <w:t>Serviceability and lifecycle-support plan; manuals and diagnostics; calibration and return-to-service procedures; parts and tool access; end-of-support and provider-exit plan.</w:t>
      </w:r>
    </w:p>
    <w:p>
      <w:r>
        <w:rPr>
          <w:color w:val="777777"/>
          <w:sz w:val="16"/>
        </w:rPr>
        <w:t xml:space="preserve">p099 · att1 p.10  </w:t>
      </w:r>
      <w:r>
        <w:t>The risk framework should also consider connectivity dependence, number and criticality of external dependencies, time-to-harm during unavailability, fallback capability, detectability of degradation, reversibility of incomplete actions, ability to restore a prior validated configuration, fleet size, commonmode exposure, availability of qualified service, and expected remaining support life.</w:t>
      </w:r>
    </w:p>
    <w:p>
      <w:r>
        <w:rPr>
          <w:color w:val="777777"/>
          <w:sz w:val="16"/>
        </w:rPr>
        <w:t xml:space="preserve">p100 · att1 p.10  </w:t>
      </w:r>
      <w:r>
        <w:t>Postmarket monitoring should extend beyond clinical-output quality and include:  Network, cloud, model, licensing, and identity-service interruptions  Cybersecurity incidents and third-party provider incidents  Frequency and duration of degraded-mode operation  Failed updates, rollbacks, configuration drift, and recovery failures  Repair delays, service lockouts, parts shortages, and repeated manufacturer escalations  Calibration or return-to-service failures  Loss or retirement of external services and model versions  Mean time to detect, contain, restore, and reconcile clinical functionality  Fleet-level events and common-mode failures</w:t>
      </w:r>
    </w:p>
    <w:p>
      <w:r>
        <w:rPr>
          <w:color w:val="777777"/>
          <w:sz w:val="16"/>
        </w:rPr>
        <w:t xml:space="preserve">p101 · att1 p.10  </w:t>
      </w:r>
      <w:r>
        <w:t>The paper recognizes broader ecosystem roles but states that manufacturers remain responsible for postmarket monitoring. [1, p. 20] Responsibilities should not be structured in a way that diffuses manufacturer accountability for dependencies selected by the manufacturer. Machine-based supervisory agents may supplement monitoring, but they should not be the sole safeguard when the monitor shares the same model, cloud, network, identity, or data dependencies as the device being monitored.</w:t>
      </w:r>
    </w:p>
    <w:p>
      <w:r>
        <w:rPr>
          <w:color w:val="777777"/>
          <w:sz w:val="16"/>
        </w:rPr>
        <w:t xml:space="preserve">p102 · att1 p.10  </w:t>
      </w:r>
      <w:r>
        <w:t>Foundation Model Device Master Files could also include support and deprecation policies, versionpinning options, update and incident-notification commitments, audit-log availability, service-continuity expectations, data-portability provisions, and provider-exit arrangements in addition to modelperformance information. The device sponsor should remain responsible for demonstrating how those commitments support the marketed device.</w:t>
      </w:r>
    </w:p>
    <w:p>
      <w:r>
        <w:rPr>
          <w:color w:val="777777"/>
          <w:sz w:val="16"/>
        </w:rPr>
        <w:t xml:space="preserve">p103 · att1 p.11  </w:t>
      </w:r>
      <w:r>
        <w:t>10. Inclusion of HTM, Biomedical, Clinical Engineering, Cybersecurity, and Service Stakeholders — Recommended CDRH action: Explicitly include the personnel responsible for maintaining, securing, calibrating, troubleshooting, and returning medical equipment to clinical use.</w:t>
      </w:r>
    </w:p>
    <w:p>
      <w:r>
        <w:rPr>
          <w:color w:val="777777"/>
          <w:sz w:val="16"/>
        </w:rPr>
        <w:t xml:space="preserve">p104 · att1 p.11  </w:t>
      </w:r>
      <w:r>
        <w:t>The discussion paper identifies manufacturers, clinicians, patients, healthcare institutions, payers, professional societies, standards-setting bodies, and government authorities as potential participants in the postmarket ecosystem. [1, p. 20] It does not specifically identify the people who will be expected to keep the equipment safe, patched, calibrated, serviceable, and available.</w:t>
      </w:r>
    </w:p>
    <w:p>
      <w:r>
        <w:rPr>
          <w:color w:val="777777"/>
          <w:sz w:val="16"/>
        </w:rPr>
        <w:t xml:space="preserve">p105 · att1 p.11  </w:t>
      </w:r>
      <w:r>
        <w:t>CDRH should explicitly solicit and incorporate input from:  Healthcare Technology Management departments  Biomedical equipment technicians  Clinical engineers  Healthcare cybersecurity and medical-device security personnel  Medical-device integration and clinical systems specialists  Hospital information-technology and network personnel  Facilities and emergency-management personnel where relevant  Qualified independent service organizations  Third-party calibration and testing laboratories  Healthcare supply-chain and capital-equipment planning personnel</w:t>
      </w:r>
    </w:p>
    <w:p>
      <w:r>
        <w:rPr>
          <w:color w:val="777777"/>
          <w:sz w:val="16"/>
        </w:rPr>
        <w:t xml:space="preserve">p106 · att1 p.11  </w:t>
      </w:r>
      <w:r>
        <w:t>These stakeholders can provide practical evidence that may not emerge from laboratory benchmarking or clinical-performance studies, including whether service documentation is adequate, whether failures can be isolated, whether downtime procedures are realistic, whether calibration requirements are achievable, whether security controls interfere with legitimate maintenance, whether update and rollback procedures are safe, and whether the support model is sustainable for the expected capital lifecycle.</w:t>
      </w:r>
    </w:p>
    <w:p>
      <w:r>
        <w:rPr>
          <w:color w:val="777777"/>
          <w:sz w:val="16"/>
        </w:rPr>
        <w:t xml:space="preserve">p107 · att1 p.11  </w:t>
      </w:r>
      <w:r>
        <w:t>Their participation is also important to defining shared responsibilities without weakening manufacturer accountability. A hospital cannot build a safe downtime, maintenance, or retirement plan unless the manufacturer clearly discloses how the device behaves, what it depends on, what qualified personnel can service, and what support will remain available.</w:t>
      </w:r>
    </w:p>
    <w:p>
      <w:r>
        <w:rPr>
          <w:color w:val="777777"/>
          <w:sz w:val="16"/>
        </w:rPr>
        <w:t xml:space="preserve">p108 · att1 p.11  </w:t>
      </w:r>
      <w:r>
        <w:t>Conclusion — A comprehensive Total Product Life Cycle framework for GenAI-enabled medical devices should evaluate more than whether a device generates acceptable outputs under normal operating conditions. It should determine whether the healthcare organization can safely own or lease the device, understand its dependencies, operate it during normal and degraded conditions, preserve essential functions during outages, secure it against compromise, maintain and repair it, calibrate and verify it, restore it after failure, update it without unacceptable risk, obtain necessary parts and service access, respond to provider withdrawal, manage common-mode events, and retire it through an orderly process.</w:t>
      </w:r>
    </w:p>
    <w:p>
      <w:r>
        <w:rPr>
          <w:color w:val="777777"/>
          <w:sz w:val="16"/>
        </w:rPr>
        <w:t xml:space="preserve">p109 · att1 p.11  </w:t>
      </w:r>
      <w:r>
        <w:t>Without these considerations, healthcare organizations could become responsible for the safety and availability of equipment they technically own but cannot independently operate, diagnose, maintain, repair, or sustain. The regulatory framework should not allow GenAI-enabled medical equipment to become a closed proprietary system in which qualified hospital personnel are excluded from necessary maintenance and verification while the hospital continues to bear responsibility for uptime, patient safety, and clinical continuity.</w:t>
      </w:r>
    </w:p>
    <w:p>
      <w:r>
        <w:rPr>
          <w:color w:val="777777"/>
          <w:sz w:val="16"/>
        </w:rPr>
        <w:t xml:space="preserve">p110 · att1 p.12  </w:t>
      </w:r>
      <w:r>
        <w:t>Cybersecurity, operational resilience, serviceability, maintainability, lifecycle support, and meaningful operational control should therefore be treated as core components of safety and effectiveness, not as secondary procurement or commercial concerns.</w:t>
      </w:r>
    </w:p>
    <w:p>
      <w:r>
        <w:rPr>
          <w:color w:val="777777"/>
          <w:sz w:val="16"/>
        </w:rPr>
        <w:t xml:space="preserve">p111 · att1 p.12  </w:t>
      </w:r>
      <w:r>
        <w:t>Requested outcome —  A system-level GenAI framework that evaluates the complete deployed product, not only the modelenabled function in isolation.  Validated safe behavior during dependency failure, compromise, service withdrawal, maintenance, update, and end-of-support.  Reasonable, secure access for qualified personnel to diagnose, maintain, calibrate, verify, and restore medical equipment.  Clear manufacturer accountability for third-party dependencies throughout the expected service life.</w:t>
      </w:r>
    </w:p>
    <w:p>
      <w:r>
        <w:rPr>
          <w:color w:val="777777"/>
          <w:sz w:val="16"/>
        </w:rPr>
        <w:t xml:space="preserve">p112 · att1 p.12  </w:t>
      </w:r>
      <w:r>
        <w:t>References — 1. U.S. Food and Drug Administration. Considerations for the Regulation of Generative AI-Enabled Medical Devices: Discussion Paper and Request for Feedback. August 2026. Docket No. FDA-2026-N-7874. FDA discussion paper</w:t>
      </w:r>
    </w:p>
    <w:p>
      <w:r>
        <w:rPr>
          <w:color w:val="777777"/>
          <w:sz w:val="16"/>
        </w:rPr>
        <w:t xml:space="preserve">p113 · att1 p.12  </w:t>
      </w:r>
      <w:r>
        <w:t>2. U.S. Food and Drug Administration. Cybersecurity in Medical Devices: Quality Management System Considerations and Content of Premarket Submissions. February 2026. Final guidance</w:t>
      </w:r>
    </w:p>
    <w:p>
      <w:r>
        <w:rPr>
          <w:color w:val="777777"/>
          <w:sz w:val="16"/>
        </w:rPr>
        <w:t xml:space="preserve">p114 · att1 p.12  </w:t>
      </w:r>
      <w:r>
        <w:t>3. U.S. Food and Drug Administration. Content of Premarket Submissions for Device Software Functions. June 2023. Final guidance</w:t>
      </w:r>
    </w:p>
    <w:p>
      <w:r>
        <w:rPr>
          <w:color w:val="777777"/>
          <w:sz w:val="16"/>
        </w:rPr>
        <w:t xml:space="preserve">p115 · att1 p.12  </w:t>
      </w:r>
      <w:r>
        <w:t>4. U.S. Food and Drug Administration. Remanufacturing of Medical Devices. May 2024. Final guidance</w:t>
      </w:r>
    </w:p>
    <w:p>
      <w:r>
        <w:rPr>
          <w:color w:val="777777"/>
          <w:sz w:val="16"/>
        </w:rPr>
        <w:t xml:space="preserve">p116 · att1 p.12  </w:t>
      </w:r>
      <w:r>
        <w:t>5. U.S. Food and Drug Administration. Design Considerations and Pre-market Submission Recommendations for Interoperable Medical Devices. September 2017. Final guidance</w:t>
      </w:r>
    </w:p>
    <w:p>
      <w:r>
        <w:rPr>
          <w:color w:val="777777"/>
          <w:sz w:val="16"/>
        </w:rPr>
        <w:t xml:space="preserve">p117 · att1 p.12  </w:t>
      </w:r>
      <w:r>
        <w:t>6. U.S. Food and Drug Administration. Postmarket Management of Cybersecurity in Medical Devices. December 2016. Final guidance</w:t>
      </w:r>
    </w:p>
    <w:p>
      <w:r>
        <w:rPr>
          <w:color w:val="777777"/>
          <w:sz w:val="16"/>
        </w:rPr>
        <w:t xml:space="preserve">p118 · att1 p.12  </w:t>
      </w:r>
      <w:r>
        <w:t>7. U.S. Food and Drug Administration. Strengthening Cybersecurity Practices Associated with Servicing of Medical Devices: Challenges and Opportunities. June 2021. FDA paper</w:t>
      </w:r>
    </w:p>
    <w:p>
      <w:pPr>
        <w:pStyle w:val="Heading1"/>
        <w:pageBreakBefore/>
      </w:pPr>
      <w:r>
        <w:t>FDA-2026-N-7874-0033</w:t>
      </w:r>
    </w:p>
    <w:p>
      <w:r>
        <w:t>Comment from Shara Gospel</w:t>
      </w:r>
    </w:p>
    <w:p>
      <w:r>
        <w:rPr>
          <w:color w:val="777777"/>
          <w:sz w:val="18"/>
        </w:rPr>
        <w:t>Device Industry - C0012 · received 2026-08-24 · attachments: attachment_1.pdf (5 pp)</w:t>
      </w:r>
    </w:p>
    <w:p>
      <w:r>
        <w:rPr>
          <w:color w:val="777777"/>
          <w:sz w:val="16"/>
        </w:rPr>
        <w:t xml:space="preserve">p001 · body  </w:t>
      </w:r>
      <w:r>
        <w:t>See attached file(s)</w:t>
      </w:r>
    </w:p>
    <w:p>
      <w:r>
        <w:rPr>
          <w:color w:val="777777"/>
          <w:sz w:val="16"/>
        </w:rPr>
        <w:t xml:space="preserve">p002 · att1 p.1  </w:t>
      </w:r>
      <w:r>
        <w:t>Comment on “Considerations for the Regulation of Generative AI-Enabled Medical Devices: Discussion Paper and Request for Feedback”</w:t>
      </w:r>
    </w:p>
    <w:p>
      <w:r>
        <w:rPr>
          <w:color w:val="777777"/>
          <w:sz w:val="16"/>
        </w:rPr>
        <w:t xml:space="preserve">p003 · att1 p.1  </w:t>
      </w:r>
      <w:r>
        <w:t>Docket No. FDA-2026-N-7874 · Submitted by Shara Gospel · 08-24-2026 — Basis of this comment</w:t>
      </w:r>
    </w:p>
    <w:p>
      <w:r>
        <w:rPr>
          <w:color w:val="777777"/>
          <w:sz w:val="16"/>
        </w:rPr>
        <w:t xml:space="preserve">p004 · att1 p.1  </w:t>
      </w:r>
      <w:r>
        <w:t>I am a pharmacovigilance and drug safety professional with more than twelve years of experience in individual case safety report processing, quality review, medical and regulatory assessment, coding and regulatory submissions. That experience includes a period assessing medical device complaints and adverse event information and supporting the preparation of initial and supplemental Medical Device Reports under 21 C.F.R. Part 803 on an assignment supporting a device manufacturer. I hold an Executive Master of Engineering Management from St. Cloud State University.</w:t>
      </w:r>
    </w:p>
    <w:p>
      <w:r>
        <w:rPr>
          <w:color w:val="777777"/>
          <w:sz w:val="16"/>
        </w:rPr>
        <w:t xml:space="preserve">p005 · att1 p.1  </w:t>
      </w:r>
      <w:r>
        <w:t>I am the author of an openly licensed prototype toolkit for pharmacovigilance quality review and competency calibration, deposited at doi.org/10.5281/zenodo.21988766. It is a prototype: not validated, not piloted, and not offered here as a solution. I refer to it once below only to identify the source of the conventions I recommend.</w:t>
      </w:r>
    </w:p>
    <w:p>
      <w:r>
        <w:rPr>
          <w:color w:val="777777"/>
          <w:sz w:val="16"/>
        </w:rPr>
        <w:t xml:space="preserve">p006 · att1 p.1  </w:t>
      </w:r>
      <w:r>
        <w:t>I submit this comment in a personal capacity. I have no financial interest in any generative AI- enabled medical device, in any supervisory or monitoring product, or in any organisation that would be affected by the approaches discussed in the paper.</w:t>
      </w:r>
    </w:p>
    <w:p>
      <w:r>
        <w:rPr>
          <w:color w:val="777777"/>
          <w:sz w:val="16"/>
        </w:rPr>
        <w:t xml:space="preserve">p007 · att1 p.1  </w:t>
      </w:r>
      <w:r>
        <w:t>I respond only to Section VI, Postmarket Monitoring Questions 18, 19, 20 and 21 and offer one observation under Question 26. My comments come from the discipline that has relied on postmarket surveillance longest, and they are directed at the practical question of whether a postmarket monitoring programme will detect what it is assumed to detect.</w:t>
      </w:r>
    </w:p>
    <w:p>
      <w:r>
        <w:rPr>
          <w:color w:val="777777"/>
          <w:sz w:val="16"/>
        </w:rPr>
        <w:t xml:space="preserve">p008 · att1 p.1  </w:t>
      </w:r>
      <w:r>
        <w:t>Question 18 Accepting greater premarket uncertainty in exchange for postmarket monitoring — Drug safety has operated this trade-off for decades. Premarket exposure is limited by trial size and duration, and much of what is eventually known about a product's safety profile is learned after approval through spontaneous reporting and postmarketing surveillance. The experience is directly relevant here, and it is not uniformly encouraging.</w:t>
      </w:r>
    </w:p>
    <w:p>
      <w:r>
        <w:rPr>
          <w:color w:val="777777"/>
          <w:sz w:val="16"/>
        </w:rPr>
        <w:t xml:space="preserve">p009 · att1 p.1  </w:t>
      </w:r>
      <w:r>
        <w:t>Three lessons seem to me transferable.</w:t>
      </w:r>
    </w:p>
    <w:p>
      <w:r>
        <w:rPr>
          <w:color w:val="777777"/>
          <w:sz w:val="16"/>
        </w:rPr>
        <w:t xml:space="preserve">p010 · att1 p.1  </w:t>
      </w:r>
      <w:r>
        <w:t>First, postmarket systems detect what they were designed to detect. They are structurally weakest at identifying harms nobody specified in advance which is precisely the category that openended generative outputs are most likely to produce. A monitoring programme built around prespecified benchmarks will measure prespecified failure modes well and novel ones poorly.</w:t>
      </w:r>
    </w:p>
    <w:p>
      <w:r>
        <w:rPr>
          <w:color w:val="777777"/>
          <w:sz w:val="16"/>
        </w:rPr>
        <w:t xml:space="preserve">p011 · att1 p.2  </w:t>
      </w:r>
      <w:r>
        <w:t>Second, the sensitivity of a postmarket system is governed by the quality of its individual records, not by their number. Aggregate analysis inherits every weakness of the case-level data beneath it. Where records are incomplete, internally inconsistent, or coded variably, signal detection degrades in ways that are difficult to see from the aggregate.</w:t>
      </w:r>
    </w:p>
    <w:p>
      <w:r>
        <w:rPr>
          <w:color w:val="777777"/>
          <w:sz w:val="16"/>
        </w:rPr>
        <w:t xml:space="preserve">p012 · att1 p.2  </w:t>
      </w:r>
      <w:r>
        <w:t>Third, and most importantly for CDRH's question, quality systems tend to measure what is easy to count. Timeliness is easy to count; accuracy and completeness are not. A postmarket programme that reports on cadence adherence while never characterising its own detection capability can look healthy indefinitely while detecting very little.</w:t>
      </w:r>
    </w:p>
    <w:p>
      <w:r>
        <w:rPr>
          <w:color w:val="777777"/>
          <w:sz w:val="16"/>
        </w:rPr>
        <w:t xml:space="preserve">p013 · att1 p.2  </w:t>
      </w:r>
      <w:r>
        <w:t>If premarket uncertainty is to be accepted in exchange for postmarket monitoring, I would suggest the condition should not be that a monitoring plan exists, but that its detection capability has been characterised. Specifically, before the trade is accepted, a sponsor might be expected to state:</w:t>
      </w:r>
    </w:p>
    <w:p>
      <w:r>
        <w:rPr>
          <w:color w:val="777777"/>
          <w:sz w:val="16"/>
        </w:rPr>
        <w:t xml:space="preserve">p014 · att1 p.2  </w:t>
      </w:r>
      <w:r>
        <w:t>• which classes of failure the monitoring programme is designed to detect; • which classes it is not designed to detect, stated affirmatively rather than left as silence; • the expected interval between an occurrence and its detection; and • how each of those claims will be verified in operation rather than asserted at authorisation.</w:t>
      </w:r>
    </w:p>
    <w:p>
      <w:r>
        <w:rPr>
          <w:color w:val="777777"/>
          <w:sz w:val="16"/>
        </w:rPr>
        <w:t xml:space="preserve">p015 · att1 p.2  </w:t>
      </w:r>
      <w:r>
        <w:t>A programme that cannot say what it would fail to notice is not yet a substitute for premarket evidence.</w:t>
      </w:r>
    </w:p>
    <w:p>
      <w:r>
        <w:rPr>
          <w:color w:val="777777"/>
          <w:sz w:val="16"/>
        </w:rPr>
        <w:t xml:space="preserve">p016 · att1 p.2  </w:t>
      </w:r>
      <w:r>
        <w:t>Question 19 Postmarket performance evaluation, and an unaddressed failure mode in sample-based clinician review</w:t>
      </w:r>
    </w:p>
    <w:p>
      <w:r>
        <w:rPr>
          <w:color w:val="777777"/>
          <w:sz w:val="16"/>
        </w:rPr>
        <w:t xml:space="preserve">p017 · att1 p.2  </w:t>
      </w:r>
      <w:r>
        <w:t>Of the three approaches described in Section VI.A, periodic sample-based clinician review is the one that most directly engages the kind of failure generative outputs produce, because it is the only one that evaluates meaning rather than form. I think it is the right instinct. I also think it carries an assumption the paper does not examine.</w:t>
      </w:r>
    </w:p>
    <w:p>
      <w:r>
        <w:rPr>
          <w:color w:val="777777"/>
          <w:sz w:val="16"/>
        </w:rPr>
        <w:t xml:space="preserve">p018 · att1 p.2  </w:t>
      </w:r>
      <w:r>
        <w:t>The paper describes “qualified, independent clinician adjudicators” reviewing samples “against prospectively defined criteria.” The reliability of that method depends on an unstated premise: that two qualified adjudicators applying the same criteria to the same output will reach the same conclusion. In my experience of case-level quality review, they frequently do not, and the reason is usually not competence.</w:t>
      </w:r>
    </w:p>
    <w:p>
      <w:r>
        <w:rPr>
          <w:color w:val="777777"/>
          <w:sz w:val="16"/>
        </w:rPr>
        <w:t xml:space="preserve">p019 · att1 p.2  </w:t>
      </w:r>
      <w:r>
        <w:t>It is that review criteria conventionally specify what to assess rather than what the threshold is. “Clinically appropriate,” “adequately supported,” “consistent with the source” name activities, not standards. Two competent reviewers can apply such a criterion to the same record, reach opposite conclusions, and neither can be shown to be wrong, because the criterion never defined where the line sat. The divergence is then invisible in the aggregate: the sample was reviewed, the review was recorded, and the variability is absorbed into the result.</w:t>
      </w:r>
    </w:p>
    <w:p>
      <w:r>
        <w:rPr>
          <w:color w:val="777777"/>
          <w:sz w:val="16"/>
        </w:rPr>
        <w:t xml:space="preserve">p020 · att1 p.3  </w:t>
      </w:r>
      <w:r>
        <w:t>For a postmarket programme intended to substitute for premarket evidence, that matters more than it usually does, because adjudicated review is load bearing. I would suggest three requirements.</w:t>
      </w:r>
    </w:p>
    <w:p>
      <w:r>
        <w:rPr>
          <w:color w:val="777777"/>
          <w:sz w:val="16"/>
        </w:rPr>
        <w:t xml:space="preserve">p021 · att1 p.3  </w:t>
      </w:r>
      <w:r>
        <w:t>1. Criteria should carry decision rules, not headings.</w:t>
      </w:r>
    </w:p>
    <w:p>
      <w:r>
        <w:rPr>
          <w:color w:val="777777"/>
          <w:sz w:val="16"/>
        </w:rPr>
        <w:t xml:space="preserve">p022 · att1 p.3  </w:t>
      </w:r>
      <w:r>
        <w:t>Each criterion should state what evidence makes the answer yes and what makes it no, and what a reviewer should do when the evidence is absent. A criterion that cannot be written that way is a criterion that will be applied differently by different people.</w:t>
      </w:r>
    </w:p>
    <w:p>
      <w:r>
        <w:rPr>
          <w:color w:val="777777"/>
          <w:sz w:val="16"/>
        </w:rPr>
        <w:t xml:space="preserve">p023 · att1 p.3  </w:t>
      </w:r>
      <w:r>
        <w:t>2. Adjudicator agreement should be measured and reported, not assumed.</w:t>
      </w:r>
    </w:p>
    <w:p>
      <w:r>
        <w:rPr>
          <w:color w:val="777777"/>
          <w:sz w:val="16"/>
        </w:rPr>
        <w:t xml:space="preserve">p024 · att1 p.3  </w:t>
      </w:r>
      <w:r>
        <w:t>A defined proportion of the sample should be reviewed independently by more than one adjudicator, with agreement reported alongside the performance result and a prespecified acceptable range set in advance. Where agreement falls outside that range, the finding is about the review process and not only about the device and a performance result produced by a review process of unknown reliability should be treated as having unknown reliability itself.</w:t>
      </w:r>
    </w:p>
    <w:p>
      <w:r>
        <w:rPr>
          <w:color w:val="777777"/>
          <w:sz w:val="16"/>
        </w:rPr>
        <w:t xml:space="preserve">p025 · att1 p.3  </w:t>
      </w:r>
      <w:r>
        <w:t>3. Adjudicators should be calibrated, and recalibrated.</w:t>
      </w:r>
    </w:p>
    <w:p>
      <w:r>
        <w:rPr>
          <w:color w:val="777777"/>
          <w:sz w:val="16"/>
        </w:rPr>
        <w:t xml:space="preserve">p026 · att1 p.3  </w:t>
      </w:r>
      <w:r>
        <w:t>Calibration here means periodic joint review of standardised cases by multiple adjudicators, with divergent reasoning surfaced and reconciled in writing. The purpose is not to force identical answers but to expose where interpretations differ before those differences enter the monitoring record. Recalibration is particularly warranted after changes to the model, the criteria, or the adjudicator panel.</w:t>
      </w:r>
    </w:p>
    <w:p>
      <w:r>
        <w:rPr>
          <w:color w:val="777777"/>
          <w:sz w:val="16"/>
        </w:rPr>
        <w:t xml:space="preserve">p027 · att1 p.3  </w:t>
      </w:r>
      <w:r>
        <w:t>I would add a fourth point about the record itself. An adjudication should be reconstructable after the fact: what was examined, against which source, and on what basis the judgment was made. Where only the outcome is retained, a review that was performed cannot be distinguished from a review that was recorded as having been performed, and neither FDA nor the sponsor can later interrogate a result that turns out to matter.</w:t>
      </w:r>
    </w:p>
    <w:p>
      <w:r>
        <w:rPr>
          <w:color w:val="777777"/>
          <w:sz w:val="16"/>
        </w:rPr>
        <w:t xml:space="preserve">p028 · att1 p.3  </w:t>
      </w:r>
      <w:r>
        <w:t>On cadence and triggering events, the triggers that seem to me most defensible are: modification of the model or of any component of the deployment architecture, including changes originating with a third-party foundation model; detection of drift by the degradation-monitoring stream; material change in the input population; and accumulation of adjudicated divergences above the prespecified range, which is a signal in its own right and is frequently the earliest one available.</w:t>
      </w:r>
    </w:p>
    <w:p>
      <w:r>
        <w:rPr>
          <w:color w:val="777777"/>
          <w:sz w:val="16"/>
        </w:rPr>
        <w:t xml:space="preserve">p029 · att1 p.3  </w:t>
      </w:r>
      <w:r>
        <w:t>Question 20 Machine-based supervisory agents — A supervisory agent that determines whether a device output was acceptable is itself performing a safety-relevant function, and the first question is not technical but one of accountability: who is answerable when the supervisor is wrong. If that question has no clear answer, the supervisor has moved responsibility rather than discharged it.</w:t>
      </w:r>
    </w:p>
    <w:p>
      <w:r>
        <w:rPr>
          <w:color w:val="777777"/>
          <w:sz w:val="16"/>
        </w:rPr>
        <w:t xml:space="preserve">p030 · att1 p.4  </w:t>
      </w:r>
      <w:r>
        <w:t>If CDRH pursues this, the considerations I would suggest are: • a defined context of use, stating the inputs, the decision the supervisor makes, and the uses expressly prohibited; • validation proportionate to the consequence of the supervisor's own failure, noting that a supervisor which misses a genuine problem is a materially worse failure than one which over-flags, and that the two should not be validated to a single combined metric; • monitoring of the supervisor for its own performance degradation, on the same logic that motivates monitoring the device; • retained human authority to reject the supervisor's determination, with the rejection recorded; and • provenance in the record which supervisor version assessed which output, and when.</w:t>
      </w:r>
    </w:p>
    <w:p>
      <w:r>
        <w:rPr>
          <w:color w:val="777777"/>
          <w:sz w:val="16"/>
        </w:rPr>
        <w:t xml:space="preserve">p031 · att1 p.4  </w:t>
      </w:r>
      <w:r>
        <w:t>I would offer one caution. Automation is well suited to deterministic checks: whether a field is populated, whether dates are internally consistent, whether a record contradicts its source. It is least suited to the judgment that sample-based review exists to exercise whether an output is clinically sound given everything else known about the case. There is a real risk of deploying supervisory agents to relieve the volume problem while leaving the judgment problem entirely untouched, and of reporting the resulting throughput as assurance.</w:t>
      </w:r>
    </w:p>
    <w:p>
      <w:r>
        <w:rPr>
          <w:color w:val="777777"/>
          <w:sz w:val="16"/>
        </w:rPr>
        <w:t xml:space="preserve">p032 · att1 p.4  </w:t>
      </w:r>
      <w:r>
        <w:t>Question 21 Roles of clinicians, institutions and professional societies — Manufacturer accountability need not be diffused if the roles are separated by function rather than shared over the same function.</w:t>
      </w:r>
    </w:p>
    <w:p>
      <w:r>
        <w:rPr>
          <w:color w:val="777777"/>
          <w:sz w:val="16"/>
        </w:rPr>
        <w:t xml:space="preserve">p033 · att1 p.4  </w:t>
      </w:r>
      <w:r>
        <w:t>Professional societies appear to me well placed to hold something manufacturers cannot hold without conflict, and regulators are not resourced to build shared calibration materials and standardised case libraries for adjudicator training. The object being standardised there is reviewer judgment, not device performance, and it is common infrastructure rather than a competitive asset. Societies also already convene the clinical specialties whose judgment adjudication depends on.</w:t>
      </w:r>
    </w:p>
    <w:p>
      <w:r>
        <w:rPr>
          <w:color w:val="777777"/>
          <w:sz w:val="16"/>
        </w:rPr>
        <w:t xml:space="preserve">p034 · att1 p.4  </w:t>
      </w:r>
      <w:r>
        <w:t>Healthcare institutions are best placed to own the reporting pathway ensuring a clinician who observes a problematic output has a defined route to report it that does not depend on individual initiative or on knowing who the manufacturer is. Under-reporting in drug safety is driven less by unwillingness than by friction, and the same is likely to hold here.</w:t>
      </w:r>
    </w:p>
    <w:p>
      <w:r>
        <w:rPr>
          <w:color w:val="777777"/>
          <w:sz w:val="16"/>
        </w:rPr>
        <w:t xml:space="preserve">p035 · att1 p.4  </w:t>
      </w:r>
      <w:r>
        <w:t>Manufacturers should retain responsibility for the monitoring programme, its detection claims, and its verification. Societies calibrating reviewers and institutions carrying reports does not dilute that; it supplies conditions the manufacturer cannot create alone.</w:t>
      </w:r>
    </w:p>
    <w:p>
      <w:r>
        <w:rPr>
          <w:color w:val="777777"/>
          <w:sz w:val="16"/>
        </w:rPr>
        <w:t xml:space="preserve">p036 · att1 p.5  </w:t>
      </w:r>
      <w:r>
        <w:t>Question 26 One further consideration: what constitutes a malfunction — Under 21 C.F.R. § 803.50(a), a manufacturer must report where information reasonably suggests that a device may have caused or contributed to a death or serious injury, or that the device has malfunctioned in a way that would be likely to cause or contribute to a death or serious injury were the malfunction to recur.</w:t>
      </w:r>
    </w:p>
    <w:p>
      <w:r>
        <w:rPr>
          <w:color w:val="777777"/>
          <w:sz w:val="16"/>
        </w:rPr>
        <w:t xml:space="preserve">p037 · att1 p.5  </w:t>
      </w:r>
      <w:r>
        <w:t>The first limb operates unchanged for generative devices. The second is conceptually harder. A generative function that produces a plausible but incorrect output has not obviously “malfunctioned” in the sense the provision contemplates: variability of output is a designed property of the technology, not a departure from design. A complaint-handling system built around the question “did the device fail” may therefore not capture the event “the device produced a confident and wrong answer,” and may not recognise it as reportable at intake.</w:t>
      </w:r>
    </w:p>
    <w:p>
      <w:r>
        <w:rPr>
          <w:color w:val="777777"/>
          <w:sz w:val="16"/>
        </w:rPr>
        <w:t xml:space="preserve">p038 · att1 p.5  </w:t>
      </w:r>
      <w:r>
        <w:t>This matters because intake defines the ceiling. Information not captured when the complaint is received cannot be recovered by any downstream analysis, and a postmarket monitoring programme relying in part on complaint data will inherit that gap without being able to see it. CDRH may wish to consider whether guidance is needed on what constitutes a malfunction for a generative function, and on how complaint-handling systems should be configured to recognise incorrect-but-designed-for outputs as potentially reportable events.</w:t>
      </w:r>
    </w:p>
    <w:p>
      <w:r>
        <w:rPr>
          <w:color w:val="777777"/>
          <w:sz w:val="16"/>
        </w:rPr>
        <w:t xml:space="preserve">p039 · att1 p.5  </w:t>
      </w:r>
      <w:r>
        <w:t>Closing — The paper's central question is whether postmarket monitoring can carry weight that premarket evaluation cannot. My submission is that it can, but only where the monitoring programme is specified with the same rigour that would be demanded of premarket evidence including honesty about what it cannot detect, decision rules rather than headings in its review criteria, and measured rather than assumed agreement among the people whose judgment the programme depends on.</w:t>
      </w:r>
    </w:p>
    <w:p>
      <w:r>
        <w:rPr>
          <w:color w:val="777777"/>
          <w:sz w:val="16"/>
        </w:rPr>
        <w:t xml:space="preserve">p040 · att1 p.5  </w:t>
      </w:r>
      <w:r>
        <w:t>I am grateful for the opportunity to comment.</w:t>
      </w:r>
    </w:p>
    <w:p>
      <w:r>
        <w:rPr>
          <w:color w:val="777777"/>
          <w:sz w:val="16"/>
        </w:rPr>
        <w:t xml:space="preserve">p041 · att1 p.5  </w:t>
      </w:r>
      <w:r>
        <w:t>Shara Gospel Pharmacovigilance and drug safety professional Minnesota · thesharagospel@gmail.com · ORCID 0009-0000-5800-0853</w:t>
      </w:r>
    </w:p>
    <w:p>
      <w:pPr>
        <w:pStyle w:val="Heading1"/>
        <w:pageBreakBefore/>
      </w:pPr>
      <w:r>
        <w:t>FDA-2026-N-7874-0034</w:t>
      </w:r>
    </w:p>
    <w:p>
      <w:r>
        <w:t>Comment from Rick Schrenker</w:t>
      </w:r>
    </w:p>
    <w:p>
      <w:r>
        <w:rPr>
          <w:color w:val="777777"/>
          <w:sz w:val="18"/>
        </w:rPr>
        <w:t>Health Professional - A0007 · received 2026-08-25</w:t>
      </w:r>
    </w:p>
    <w:p>
      <w:r>
        <w:rPr>
          <w:color w:val="777777"/>
          <w:sz w:val="16"/>
        </w:rPr>
        <w:t xml:space="preserve">p001 · body  </w:t>
      </w:r>
      <w:r>
        <w:t>No medical device should be cleared for marketing without following Good Practices already in place including but not limited to establishing formal requirements and specifications as well as verification and and formal and definitive validation tests and procedures.</w:t>
      </w:r>
    </w:p>
    <w:p>
      <w:r>
        <w:rPr>
          <w:color w:val="777777"/>
          <w:sz w:val="16"/>
        </w:rPr>
        <w:t xml:space="preserve">p002 · body  </w:t>
      </w:r>
      <w:r>
        <w:t>Or if you don't feel like requiring that, I just want to state for the record that uncomnstrained generative AI will place patients at risk of grievous harm.</w:t>
      </w:r>
    </w:p>
    <w:p>
      <w:pPr>
        <w:pStyle w:val="Heading1"/>
        <w:pageBreakBefore/>
      </w:pPr>
      <w:r>
        <w:t>FDA-2026-N-7874-0035</w:t>
      </w:r>
    </w:p>
    <w:p>
      <w:r>
        <w:t>Comment from VivaSecuris</w:t>
      </w:r>
    </w:p>
    <w:p>
      <w:r>
        <w:rPr>
          <w:color w:val="777777"/>
          <w:sz w:val="18"/>
        </w:rPr>
        <w:t>Device Industry - C0012 · received 2026-08-25 · attachments: attachment_1.pdf (17 pp)</w:t>
      </w:r>
    </w:p>
    <w:p>
      <w:r>
        <w:rPr>
          <w:color w:val="777777"/>
          <w:sz w:val="16"/>
        </w:rPr>
        <w:t xml:space="preserve">p001 · body  </w:t>
      </w:r>
      <w:r>
        <w:t>VivaSecuris respectfully submits the attached public comment in response to FDA’s discussion paper, “Considerations for the Regulation of Generative AI-Enabled Medical Devices.” The attached 17-page comment responds to all 26 questions and recommends that FDA treat the authorized GenAI-enabled medical-device system—not the underlying model alone—as the unit of assurance. It proposes risk-proportionate evaluation of nondeterministic behavior, deterministic enforcement of safety constraints, auditable lifecycle assurance cases, AI-SBOMs linked to existing product and cybersecurity records, identity and provenance controls, privacy-preserving observability, governance of collected and derived data, secure inter-system exchange, bounded autonomy, and postmarket monitoring. The recommendations are intended to support beneficial innovation while reducing avoidable patient harm caused by unintended behavior, unsafe integration, unclear authority, data misuse, or silent system change. Please include the attached PDF in the docket record.</w:t>
      </w:r>
    </w:p>
    <w:p>
      <w:r>
        <w:rPr>
          <w:color w:val="777777"/>
          <w:sz w:val="16"/>
        </w:rPr>
        <w:t xml:space="preserve">p002 · att1 p.1  </w:t>
      </w:r>
      <w:r>
        <w:t>VIVASECURIS — PUBLIC COMMENT — Considerations for the Regulation of Generative AI-Enabled Medical Devices</w:t>
      </w:r>
    </w:p>
    <w:p>
      <w:r>
        <w:rPr>
          <w:color w:val="777777"/>
          <w:sz w:val="16"/>
        </w:rPr>
        <w:t xml:space="preserve">p003 · att1 p.1  </w:t>
      </w:r>
      <w:r>
        <w:t>An Auditable Lifecycle Assurance Framework for Competency, Change, and Agentic Action — Docket: FDA-2026-N-7874</w:t>
      </w:r>
    </w:p>
    <w:p>
      <w:r>
        <w:rPr>
          <w:color w:val="777777"/>
          <w:sz w:val="16"/>
        </w:rPr>
        <w:t xml:space="preserve">p004 · att1 p.1  </w:t>
      </w:r>
      <w:r>
        <w:t>Submitted by: VivaSecuris Responsible contact: Joshua Hill, Founder — Date: August 24, 2026</w:t>
      </w:r>
    </w:p>
    <w:p>
      <w:r>
        <w:rPr>
          <w:color w:val="777777"/>
          <w:sz w:val="16"/>
        </w:rPr>
        <w:t xml:space="preserve">p005 · att1 p.1  </w:t>
      </w:r>
      <w:r>
        <w:t>Subject: CDRH discussion paper issued August 18, 2026 — Central recommendation — FDA should treat the authorized AI-enabled medical-device system—not the model alone—as the unit of assurance. The objective is to enable beneficial AI that improves people's lives while preventing avoidable injury or death caused by unintended behavior, unsafe integration, unclear authority, or silent system change. Competency evaluation should therefore be paired with an auditable lifecycle assurance case that binds the complete system configuration, authority boundaries, privacy-preserving operational evidence, inter-system exchanges, postmarket signals, and change decisions.</w:t>
      </w:r>
    </w:p>
    <w:p>
      <w:r>
        <w:rPr>
          <w:color w:val="777777"/>
          <w:sz w:val="16"/>
        </w:rPr>
        <w:t xml:space="preserve">p006 · att1 p.1  </w:t>
      </w:r>
      <w:r>
        <w:t>VivaSecuris appreciates CDRH's early, open engagement. This comment supports a riskproportionate, least-burdensome approach and responds to all 26 questions, with particular emphasis on Questions 1, 5, 7-10, 16, and 18-26, where identity, cybersecurity, agentic control, change lineage, and auditability are central.</w:t>
      </w:r>
    </w:p>
    <w:p>
      <w:r>
        <w:rPr>
          <w:color w:val="777777"/>
          <w:sz w:val="16"/>
        </w:rPr>
        <w:t xml:space="preserve">p007 · att1 p.2  </w:t>
      </w:r>
      <w:r>
        <w:t>Executive Summary — VivaSecuris supports CDRH's exploration of a possible two-axis risk heuristic and competencybased approach. We also agree with the discussion paper's focus on evaluating the final userfacing device as configured and deployed, rather than the underlying model in isolation. We recommend extending that focus across the lifecycle because a GenAI-enabled device is a changing system of models, prompts, retrieval sources, guardrails, orchestration logic, tools, user interfaces, deployment environments, and human decision points. The regulatory unit of assurance should therefore be the authorized system configuration and its behavior across time.</w:t>
      </w:r>
    </w:p>
    <w:p>
      <w:r>
        <w:rPr>
          <w:color w:val="777777"/>
          <w:sz w:val="16"/>
        </w:rPr>
        <w:t xml:space="preserve">p008 · att1 p.2  </w:t>
      </w:r>
      <w:r>
        <w:t>We recommend nine policy principles: 1. Add control effectiveness and operational context as explicit risk modifiers to the activity– consequence framework. 2. Evaluate realistic trajectories and state transitions, not isolated prompts and outputs. 3. Evaluate nondeterministic systems through repeated, distributional testing while requiring deterministic enforcement of safety invariants, authority limits, escalation, abstention, interruption, and recovery. 4. Require a versioned assurance case that links claims, hazards, controls, tests, results, deployment configuration, monitoring, and corrective actions. 5. Treat identity and provenance as safety controls for models, agents, tools, data sources, policies, users, and approving humans. 6. Add a risk-proportionate AI System Bill of Materials (AI-SBOM) as a supplemental record linked to existing design, supplier, product-BOM, and cybersecurity-SBOM records where applicable, identifying the behavior-shaping AI configuration that was evaluated, authorized, deployed, and changed without duplicating established component records. 7. Require explicit governance for collected and derived data—including prompts, conversations, inferences, embeddings, memory, tool results, and safety evidence—covering purpose, access, retention, correction, deletion, reuse, and transfer. 8. Scale postmarket evidence to risk and triggering events, while preserving manufacturer accountability even when third parties provide models or monitoring services. 9. For agentic and distributed systems, require enforceable scope, least privilege, bounded autonomy, safe information exchange, independent or diversely implemented supervision where risk warrants and practicable, safe interruption, and risk-proportionate reconstruction of safety-relevant causal chains.</w:t>
      </w:r>
    </w:p>
    <w:p>
      <w:r>
        <w:rPr>
          <w:color w:val="777777"/>
          <w:sz w:val="16"/>
        </w:rPr>
        <w:t xml:space="preserve">p009 · att1 p.2  </w:t>
      </w:r>
      <w:r>
        <w:t>Proposed framework: Auditable lifecycle assurance case — The proposed auditable lifecycle assurance framework is a technology-neutral structure for producing submission-ready and postmarket evidence. It does not mandate a particular vendor, model architecture, or logging platform. It specifies the minimum relationships that should remain provable throughout the total product lifecycle.</w:t>
      </w:r>
    </w:p>
    <w:p>
      <w:r>
        <w:rPr>
          <w:color w:val="777777"/>
          <w:sz w:val="16"/>
        </w:rPr>
        <w:t xml:space="preserve">p010 · att1 p.3  </w:t>
      </w:r>
      <w:r>
        <w:t>Public-Safety Perspective — This comment is offered to help FDA establish a practical safety framework before preventable failures become normalized across healthcare. It does not advocate a particular commercial product, vendor, model, or technical implementation. The goal is to support useful innovation that improves quality of life while ensuring that no patient is exposed to serious harm merely because responsibility was divided across a model provider, software service, healthcare institution, device manufacturer, and human operator.</w:t>
      </w:r>
    </w:p>
    <w:p>
      <w:r>
        <w:rPr>
          <w:color w:val="777777"/>
          <w:sz w:val="16"/>
        </w:rPr>
        <w:t xml:space="preserve">p011 · att1 p.3  </w:t>
      </w:r>
      <w:r>
        <w:t>Our perspective is that trustworthy AI behavior cannot be established from model performance alone. It depends on whether the complete system can prove what component acted, under whose authority, using which inputs and tools, within what policy boundary, with what result, and how the responsible organizations responded when risk changed. Where a failure could injure or kill a person, uncertainty about system boundaries or accountability is itself a safety defect.</w:t>
      </w:r>
    </w:p>
    <w:p>
      <w:r>
        <w:rPr>
          <w:color w:val="777777"/>
          <w:sz w:val="16"/>
        </w:rPr>
        <w:t xml:space="preserve">p012 · att1 p.3  </w:t>
      </w:r>
      <w:r>
        <w:t>This comment uses the phrase probabilistic intelligence with deterministic governance. The objective is not to force a generative system to produce identical wording on every execution. It is to characterize the distribution of clinically relevant behavior and make the safety envelope predictable: the same identity, authorization, clinical limits, approval requirements, abstention rules, interruption mechanisms, and evidence obligations apply regardless of which acceptable output is produced.</w:t>
      </w:r>
    </w:p>
    <w:p>
      <w:r>
        <w:rPr>
          <w:color w:val="777777"/>
          <w:sz w:val="16"/>
        </w:rPr>
        <w:t xml:space="preserve">p013 · att1 p.3  </w:t>
      </w:r>
      <w:r>
        <w:t>The recommendations below are intended to be compatible with quality-system practices, predetermined change control plans (PCCPs), software lifecycle controls, cybersecurity documentation, and risk management. They aim to reduce duplicated evidence rather than create a parallel compliance system.</w:t>
      </w:r>
    </w:p>
    <w:p>
      <w:r>
        <w:rPr>
          <w:color w:val="777777"/>
          <w:sz w:val="16"/>
        </w:rPr>
        <w:t xml:space="preserve">p014 · att1 p.3  </w:t>
      </w:r>
      <w:r>
        <w:t>These recommendations concern data and system practices that materially affect device safety or effectiveness and are intended to operate within FDA's statutory authority. Where another agency has primary authority - for example, over privacy, health-information exchange, or consumer protection - FDA should coordinate with HHS's Office for Civil Rights, the Office of the National Coordinator for Health Information Technology, the Federal Trade Commission, and other applicable authorities to avoid conflicting requirements.</w:t>
      </w:r>
    </w:p>
    <w:p>
      <w:r>
        <w:rPr>
          <w:color w:val="777777"/>
          <w:sz w:val="16"/>
        </w:rPr>
        <w:t xml:space="preserve">p015 · att1 p.3  </w:t>
      </w:r>
      <w:r>
        <w:t>Regulatory Scope: Define the Medical-Device Function Before Evaluating the Model — An initial challenge for FDA is determining where the medical-device function begins and ends when behavior emerges from a distributed combination of models, hospital systems, data, tools, people, and connected devices. The same foundation model may support a function that is not itself a device software function, or that falls within an applicable FDA policy, in one configuration and form part of a regulated device function in another. Location alone - inside a physical device, in a manufacturer cloud, or in a hospital - is therefore an unreliable boundary.</w:t>
      </w:r>
    </w:p>
    <w:p>
      <w:r>
        <w:rPr>
          <w:color w:val="777777"/>
          <w:sz w:val="16"/>
        </w:rPr>
        <w:t xml:space="preserve">p016 · att1 p.4  </w:t>
      </w:r>
      <w:r>
        <w:t>FDA should characterize the function using intended purpose, output recipient, degree of personalization, directiveness, effective opportunity for qualified review, authority to act, time to harm, reversibility, integration with clinical systems or devices, persistence of memory or state, and ability to change after deployment. These properties determine whether an AI system merely communicates, supports a device function, directs care, or participates in an action with clinical consequences.</w:t>
      </w:r>
    </w:p>
    <w:p>
      <w:r>
        <w:rPr>
          <w:color w:val="777777"/>
          <w:sz w:val="16"/>
        </w:rPr>
        <w:t xml:space="preserve">p017 · att1 p.4  </w:t>
      </w:r>
      <w:r>
        <w:t>Illustrative class Boundary-defining characteristic Primary assurance focus — Accuracy, usability, source control, privacy, and escalation.</w:t>
      </w:r>
    </w:p>
    <w:p>
      <w:r>
        <w:rPr>
          <w:color w:val="777777"/>
          <w:sz w:val="16"/>
        </w:rPr>
        <w:t xml:space="preserve">p018 · att1 p.4  </w:t>
      </w:r>
      <w:r>
        <w:t>1. Device-contained assistance Explains operation, status, or instructions without changing clinical function.</w:t>
      </w:r>
    </w:p>
    <w:p>
      <w:r>
        <w:rPr>
          <w:color w:val="777777"/>
          <w:sz w:val="16"/>
        </w:rPr>
        <w:t xml:space="preserve">p019 · att1 p.4  </w:t>
      </w:r>
      <w:r>
        <w:t>2. Device-function support Summarizes or interprets device data for a qualified user who retains effective review.</w:t>
      </w:r>
    </w:p>
    <w:p>
      <w:r>
        <w:rPr>
          <w:color w:val="777777"/>
          <w:sz w:val="16"/>
        </w:rPr>
        <w:t xml:space="preserve">p020 · att1 p.4  </w:t>
      </w:r>
      <w:r>
        <w:t>Data provenance, competency, uncertainty, workflow, and human– AI team performance.</w:t>
      </w:r>
    </w:p>
    <w:p>
      <w:r>
        <w:rPr>
          <w:color w:val="777777"/>
          <w:sz w:val="16"/>
        </w:rPr>
        <w:t xml:space="preserve">p021 · att1 p.4  </w:t>
      </w:r>
      <w:r>
        <w:t>3. Action-directing function Personalized output materially influences diagnosis, treatment, or device use.</w:t>
      </w:r>
    </w:p>
    <w:p>
      <w:r>
        <w:rPr>
          <w:color w:val="777777"/>
          <w:sz w:val="16"/>
        </w:rPr>
        <w:t xml:space="preserve">p022 · att1 p.4  </w:t>
      </w:r>
      <w:r>
        <w:t>Trajectory risk, clinical confirmation, review effectiveness, and deterministic safety limits.</w:t>
      </w:r>
    </w:p>
    <w:p>
      <w:r>
        <w:rPr>
          <w:color w:val="777777"/>
          <w:sz w:val="16"/>
        </w:rPr>
        <w:t xml:space="preserve">p023 · att1 p.4  </w:t>
      </w:r>
      <w:r>
        <w:t>4. Agentic or autonomous function Selects tools, changes state, or initiates consequential actions.</w:t>
      </w:r>
    </w:p>
    <w:p>
      <w:r>
        <w:rPr>
          <w:color w:val="777777"/>
          <w:sz w:val="16"/>
        </w:rPr>
        <w:t xml:space="preserve">p024 · att1 p.4  </w:t>
      </w:r>
      <w:r>
        <w:t>Identity, least privilege, authenticated checkpoints, interruption, recovery, and causal audit.</w:t>
      </w:r>
    </w:p>
    <w:p>
      <w:r>
        <w:rPr>
          <w:color w:val="777777"/>
          <w:sz w:val="16"/>
        </w:rPr>
        <w:t xml:space="preserve">p025 · att1 p.4  </w:t>
      </w:r>
      <w:r>
        <w:t>5. Distributed clinical AI system — The clinical function emerges across hospital systems, cloud services, models, people, and connected devices.</w:t>
      </w:r>
    </w:p>
    <w:p>
      <w:r>
        <w:rPr>
          <w:color w:val="777777"/>
          <w:sz w:val="16"/>
        </w:rPr>
        <w:t xml:space="preserve">p026 · att1 p.4  </w:t>
      </w:r>
      <w:r>
        <w:t>System boundary, shared responsibility, interface assurance, configuration lineage, and postmarket evidence exchange.</w:t>
      </w:r>
    </w:p>
    <w:p>
      <w:r>
        <w:rPr>
          <w:color w:val="777777"/>
          <w:sz w:val="16"/>
        </w:rPr>
        <w:t xml:space="preserve">p027 · att1 p.4  </w:t>
      </w:r>
      <w:r>
        <w:t>Illustrative boundary cases for GenAI services — A service is not automatically outside the device definition. A cloud-hosted, subscription, API- delivered, or hospital-operated software service may contain a device software function when its intended use is medical. Conversely, use in a hospital, access to health information, or communication with a device does not by itself make every service function a device. FDA's existing function-specific, platform-independent approach should remain the starting point, but GenAI makes the function boundary more dynamic and difficult to observe.</w:t>
      </w:r>
    </w:p>
    <w:p>
      <w:r>
        <w:rPr>
          <w:color w:val="777777"/>
          <w:sz w:val="16"/>
        </w:rPr>
        <w:t xml:space="preserve">p028 · att1 p.4  </w:t>
      </w:r>
      <w:r>
        <w:t>Scenario 1 — Patient-facing check-in service.</w:t>
      </w:r>
    </w:p>
    <w:p>
      <w:r>
        <w:rPr>
          <w:color w:val="777777"/>
          <w:sz w:val="16"/>
        </w:rPr>
        <w:t xml:space="preserve">p029 · att1 p.4  </w:t>
      </w:r>
      <w:r>
        <w:t>A conversational service asks how a person feels, offers user-controlled reminders, and helps arrange an appointment without making a clinical inference. That function may remain general wellness or administrative assistance. If the same service uses patient-specific history, symptoms, sensor data, or longitudinal changes to detect deterioration, classify risk, recommend triage, support diagnosis, or guide treatment, that defined function may be a medical-device function. Accumulated conversation and personalization may reveal that the service is performing, or has been configured to perform, a patient-specific device function even when no single message appears diagnostic. Sponsors should define this boundary through intended use, labeling, system controls, and validation rather than allow functionality to expand silently at runtime.</w:t>
      </w:r>
    </w:p>
    <w:p>
      <w:r>
        <w:rPr>
          <w:color w:val="777777"/>
          <w:sz w:val="16"/>
        </w:rPr>
        <w:t xml:space="preserve">p030 · att1 p.5  </w:t>
      </w:r>
      <w:r>
        <w:t>Scenario 2 — Hospital clinical copilot.</w:t>
      </w:r>
    </w:p>
    <w:p>
      <w:r>
        <w:rPr>
          <w:color w:val="777777"/>
          <w:sz w:val="16"/>
        </w:rPr>
        <w:t xml:space="preserve">p031 · att1 p.5  </w:t>
      </w:r>
      <w:r>
        <w:t>A hospital integrates an LLM with the EHR to summarize records, draft notes, retrieve policies, and answer clinician questions. Some functions may be administrative or may qualify as nondevice clinical decision support. The boundary changes if the service analyzes signals or patterns, produces patient-specific diagnostic or treatment recommendations that cannot be independently reviewed on an effective basis, prioritizes urgent cases, or directs time-sensitive action. Local prompts, retrieval sources, terminology mappings, workflow rules, and model updates may materially change the deployed function.</w:t>
      </w:r>
    </w:p>
    <w:p>
      <w:r>
        <w:rPr>
          <w:color w:val="777777"/>
          <w:sz w:val="16"/>
        </w:rPr>
        <w:t xml:space="preserve">p032 · att1 p.5  </w:t>
      </w:r>
      <w:r>
        <w:t>Scenario 3 — Connected-device orchestration service.</w:t>
      </w:r>
    </w:p>
    <w:p>
      <w:r>
        <w:rPr>
          <w:color w:val="777777"/>
          <w:sz w:val="16"/>
        </w:rPr>
        <w:t xml:space="preserve">p033 · att1 p.5  </w:t>
      </w:r>
      <w:r>
        <w:t>A remote service explains manufacturer-approved instructions and reports device status. The assurance focus may initially center on source integrity, presentation, and interface correctness. If it changes a monitoring threshold, adjusts therapy, transmits a control command, schedules an automated procedure, or coordinates agents and devices, it becomes action-taking or control software. The assurance boundary then expands to every identity, permission, data transformation, interface, approval checkpoint, and resulting device state involved in the trajectory.</w:t>
      </w:r>
    </w:p>
    <w:p>
      <w:r>
        <w:rPr>
          <w:color w:val="777777"/>
          <w:sz w:val="16"/>
        </w:rPr>
        <w:t xml:space="preserve">p034 · att1 p.5  </w:t>
      </w:r>
      <w:r>
        <w:t>These scenarios show why the object of evaluation cannot be the conversational model—or the service as one undifferentiated product—alone. FDA should permit sponsors to define and validate bounded functions within a broader service while preventing nominally non-device features from becoming de facto diagnostic or action-directing functions through personalization, accumulated interaction, workflow integration, or tool access. The safety claim depends on what the function is intended to do, who relies on it, what it may infer or change, which organization controls each behavior-shaping component, and whether consequential exchanges and actions can be reconstructed without unnecessary exposure of protected health information.</w:t>
      </w:r>
    </w:p>
    <w:p>
      <w:r>
        <w:rPr>
          <w:color w:val="777777"/>
          <w:sz w:val="16"/>
        </w:rPr>
        <w:t xml:space="preserve">p035 · att1 p.5  </w:t>
      </w:r>
      <w:r>
        <w:t>Shared-responsibility question exposed by service delivery — When a manufacturer supplies an evaluated AI capability but a healthcare institution configures its data, prompts, workflows, identities, tools, and connected-device access, FDA should clarify which changes remain deployment configuration, which create a modification to a medical-device function, who must validate the integrated function, and how the parties exchange the evidence needed to maintain accountability.</w:t>
      </w:r>
    </w:p>
    <w:p>
      <w:r>
        <w:rPr>
          <w:color w:val="777777"/>
          <w:sz w:val="16"/>
        </w:rPr>
        <w:t xml:space="preserve">p036 · att1 p.5  </w:t>
      </w:r>
      <w:r>
        <w:t>VivaSecuris recommends that FDA explicitly address the following scope questions:  What facts cause a hospital-deployed assistant to become, contain, or materially modify a medical-device function?  How should the responsible manufacturer and regulated system boundary be identified when several organizations control behavior-shaping components?</w:t>
      </w:r>
    </w:p>
    <w:p>
      <w:r>
        <w:rPr>
          <w:color w:val="777777"/>
          <w:sz w:val="16"/>
        </w:rPr>
        <w:t xml:space="preserve">p037 · att1 p.6  </w:t>
      </w:r>
      <w:r>
        <w:t> When does local configuration—including prompts, retrieval, workflow logic, role permissions, tools, and device access—require manufacturer review, supplemental validation, or a new regulatory submission?  What minimum evidence must manufacturers, model providers, healthcare institutions, and connected-device vendors exchange to validate and monitor the integrated function?  How should FDA preserve beneficial local innovation while preventing unassessed changes from silently altering intended use, authority, or clinical risk?</w:t>
      </w:r>
    </w:p>
    <w:p>
      <w:r>
        <w:rPr>
          <w:color w:val="777777"/>
          <w:sz w:val="16"/>
        </w:rPr>
        <w:t xml:space="preserve">p038 · att1 p.6  </w:t>
      </w:r>
      <w:r>
        <w:t>I. Risk Assessment — Question 1. The two-axis framework is useful, but its output should be modified by operational context and demonstrated control effectiveness.</w:t>
      </w:r>
    </w:p>
    <w:p>
      <w:r>
        <w:rPr>
          <w:color w:val="777777"/>
          <w:sz w:val="16"/>
        </w:rPr>
        <w:t xml:space="preserve">p039 · att1 p.6  </w:t>
      </w:r>
      <w:r>
        <w:t>Device activity and consequence of incorrect output are appropriate primary axes. They should establish inherent risk. Residual risk, however, cannot be understood without modifiers that determine whether harm can be prevented, detected, interrupted, reversed, or reconstructed.</w:t>
      </w:r>
    </w:p>
    <w:p>
      <w:r>
        <w:rPr>
          <w:color w:val="777777"/>
          <w:sz w:val="16"/>
        </w:rPr>
        <w:t xml:space="preserve">p040 · att1 p.6  </w:t>
      </w:r>
      <w:r>
        <w:t>Modifier Regulatory significance — Reversibility Whether the resulting action can be reliably undone before harm occurs.</w:t>
      </w:r>
    </w:p>
    <w:p>
      <w:r>
        <w:rPr>
          <w:color w:val="777777"/>
          <w:sz w:val="16"/>
        </w:rPr>
        <w:t xml:space="preserve">p041 · att1 p.6  </w:t>
      </w:r>
      <w:r>
        <w:t>Time to harm Whether there is sufficient time for detection, human review, or safe interruption.</w:t>
      </w:r>
    </w:p>
    <w:p>
      <w:r>
        <w:rPr>
          <w:color w:val="777777"/>
          <w:sz w:val="16"/>
        </w:rPr>
        <w:t xml:space="preserve">p042 · att1 p.6  </w:t>
      </w:r>
      <w:r>
        <w:t>Independent oversight Whether a qualified human or separately evaluated control can prevent or stop the action.</w:t>
      </w:r>
    </w:p>
    <w:p>
      <w:r>
        <w:rPr>
          <w:color w:val="777777"/>
          <w:sz w:val="16"/>
        </w:rPr>
        <w:t xml:space="preserve">p043 · att1 p.6  </w:t>
      </w:r>
      <w:r>
        <w:t>Traceability — Whether outputs and actions can be attributed to sources, components, policies, and decision pathways.</w:t>
      </w:r>
    </w:p>
    <w:p>
      <w:r>
        <w:rPr>
          <w:color w:val="777777"/>
          <w:sz w:val="16"/>
        </w:rPr>
        <w:t xml:space="preserve">p044 · att1 p.6  </w:t>
      </w:r>
      <w:r>
        <w:t>State persistence Whether one output changes future permissions, memory, treatment state, or downstream behavior.</w:t>
      </w:r>
    </w:p>
    <w:p>
      <w:r>
        <w:rPr>
          <w:color w:val="777777"/>
          <w:sz w:val="16"/>
        </w:rPr>
        <w:t xml:space="preserve">p045 · att1 p.6  </w:t>
      </w:r>
      <w:r>
        <w:t>Exposure and scale How broadly an error can propagate across patients, sites, or connected devices.</w:t>
      </w:r>
    </w:p>
    <w:p>
      <w:r>
        <w:rPr>
          <w:color w:val="777777"/>
          <w:sz w:val="16"/>
        </w:rPr>
        <w:t xml:space="preserve">p046 · att1 p.6  </w:t>
      </w:r>
      <w:r>
        <w:t>Uncertainty visibility Whether uncertainty is measured, calibrated, communicated, and used to trigger deferral.</w:t>
      </w:r>
    </w:p>
    <w:p>
      <w:r>
        <w:rPr>
          <w:color w:val="777777"/>
          <w:sz w:val="16"/>
        </w:rPr>
        <w:t xml:space="preserve">p047 · att1 p.6  </w:t>
      </w:r>
      <w:r>
        <w:t>FDA can preserve the simplicity of the two-axis figure by treating these factors as a structured modifier profile rather than adding many graphical axes. Sponsors should state inherent risk, controls relied upon, evidence of control effectiveness, and resulting residual risk.</w:t>
      </w:r>
    </w:p>
    <w:p>
      <w:r>
        <w:rPr>
          <w:color w:val="777777"/>
          <w:sz w:val="16"/>
        </w:rPr>
        <w:t xml:space="preserve">p048 · att1 p.6  </w:t>
      </w:r>
      <w:r>
        <w:t>Questions 2–6. Directiveness and conversational risk should be evaluated as properties of trajectories, not individual sentences.</w:t>
      </w:r>
    </w:p>
    <w:p>
      <w:r>
        <w:rPr>
          <w:color w:val="777777"/>
          <w:sz w:val="16"/>
        </w:rPr>
        <w:t xml:space="preserve">p049 · att1 p.6  </w:t>
      </w:r>
      <w:r>
        <w:t>An informational function may become action-directing through personalization, repetition, omission of alternatives, urgency, authority cues, or accumulation across turns. Intended use should therefore describe permitted trajectory classes, prohibited transitions, escalation conditions, and the point at which human review becomes mandatory.</w:t>
      </w:r>
    </w:p>
    <w:p>
      <w:r>
        <w:rPr>
          <w:color w:val="777777"/>
          <w:sz w:val="16"/>
        </w:rPr>
        <w:t xml:space="preserve">p050 · att1 p.7  </w:t>
      </w:r>
      <w:r>
        <w:t> Test longitudinal conversations that cross scope boundaries gradually, including adversarial, emotionally manipulative, ambiguous, and incomplete inputs.  Measure both under-escalation and over-escalation using separate clinically justified thresholds;</w:t>
      </w:r>
    </w:p>
    <w:p>
      <w:r>
        <w:rPr>
          <w:color w:val="777777"/>
          <w:sz w:val="16"/>
        </w:rPr>
        <w:t xml:space="preserve">p051 · att1 p.7  </w:t>
      </w:r>
      <w:r>
        <w:t>do not collapse them into a single accuracy score.  Evaluate whether the system preserves user agency through calibrated uncertainty, alternatives, source traceability, and clinically useful handoff—not merely disclaimers.  Treat patient-facing status as a context modifier, not an automatic presumption of unacceptable risk. Controls should reflect the user, task, consequences, and available safeguards.</w:t>
      </w:r>
    </w:p>
    <w:p>
      <w:r>
        <w:rPr>
          <w:color w:val="777777"/>
          <w:sz w:val="16"/>
        </w:rPr>
        <w:t xml:space="preserve">p052 · att1 p.7  </w:t>
      </w:r>
      <w:r>
        <w:t>II. Competency-Based Premarket Evaluation — Questions 7–9. Competency-based evaluation is appropriate when paired with configuration identity, lifecycle evidence, and clinical confirmation.</w:t>
      </w:r>
    </w:p>
    <w:p>
      <w:r>
        <w:rPr>
          <w:color w:val="777777"/>
          <w:sz w:val="16"/>
        </w:rPr>
        <w:t xml:space="preserve">p053 · att1 p.7  </w:t>
      </w:r>
      <w:r>
        <w:t>VivaSecuris supports benchmarking followed by clinical confirmation. Each reported result should bind to a uniquely identified system configuration: model and version, prompts, retrieval configuration, tools, guardrails, orchestration logic, user interface, policies, and relevant infrastructure. A benchmark score without this binding is not reproducible evidence for a system that may change independently at several layers.</w:t>
      </w:r>
    </w:p>
    <w:p>
      <w:r>
        <w:rPr>
          <w:color w:val="777777"/>
          <w:sz w:val="16"/>
        </w:rPr>
        <w:t xml:space="preserve">p054 · att1 p.7  </w:t>
      </w:r>
      <w:r>
        <w:t>For nondeterministic systems, reliability should be established as a bounded distribution of outcomes rather than an expectation of identical responses. Sponsors should repeat clinically important tests across controlled randomness, semantically equivalent inputs, realistic context variation, patient subgroups, deployment conditions, and multi-step trajectories. Evaluation should report observed error frequencies with uncertainty or confidence bounds where statistically estimable, error severity, uncertainty calibration, abstention behavior, and control intervention. For rare catastrophic hazards whose probability cannot be credibly estimated from available samples, sponsors should provide scenario-based hazard coverage, adversarial and stress evidence, and structural evidence that high-severity actions cannot bypass independent controls. Average accuracy alone is insufficient when a low-frequency failure can cause serious harm.</w:t>
      </w:r>
    </w:p>
    <w:p>
      <w:r>
        <w:rPr>
          <w:color w:val="777777"/>
          <w:sz w:val="16"/>
        </w:rPr>
        <w:t xml:space="preserve">p055 · att1 p.7  </w:t>
      </w:r>
      <w:r>
        <w:t>Statistical evidence should be paired with architectural invariants enforced outside the generative model wherever practicable. Examples include prohibitions on acting outside the declared clinical scope, authenticated approval for specified high-consequence actions, hard clinical parameter limits, safe failure when a critical dependency is unavailable, and mandatory attribution of consequential actions. Prompt instructions alone should not be treated as deterministic safety controls.</w:t>
      </w:r>
    </w:p>
    <w:p>
      <w:r>
        <w:rPr>
          <w:color w:val="777777"/>
          <w:sz w:val="16"/>
        </w:rPr>
        <w:t xml:space="preserve">p056 · att1 p.7  </w:t>
      </w:r>
      <w:r>
        <w:t>The competency structure should add a cross-cutting element: assurance integrity. This should assess whether the device can maintain identity, provenance, authorization, auditability, and control effectiveness during normal operation, failure, attack, and change.</w:t>
      </w:r>
    </w:p>
    <w:p>
      <w:r>
        <w:rPr>
          <w:color w:val="777777"/>
          <w:sz w:val="16"/>
        </w:rPr>
        <w:t xml:space="preserve">p057 · att1 p.7  </w:t>
      </w:r>
      <w:r>
        <w:t> Configuration integrity: the evaluated configuration matches the deployed configuration.</w:t>
      </w:r>
    </w:p>
    <w:p>
      <w:r>
        <w:rPr>
          <w:color w:val="777777"/>
          <w:sz w:val="16"/>
        </w:rPr>
        <w:t xml:space="preserve">p058 · att1 p.8  </w:t>
      </w:r>
      <w:r>
        <w:t> Evidence integrity: test assets, methods, rubrics, results, and adjudication remain attributable and tamper-evident.  Runtime integrity: policy enforcement cannot be silently bypassed by model output, tool content, retrieval data, or orchestration changes.  Change integrity: every material component change is detected, classified, evaluated, approved, and linked to the resulting deployment.</w:t>
      </w:r>
    </w:p>
    <w:p>
      <w:r>
        <w:rPr>
          <w:color w:val="777777"/>
          <w:sz w:val="16"/>
        </w:rPr>
        <w:t xml:space="preserve">p059 · att1 p.8  </w:t>
      </w:r>
      <w:r>
        <w:t>Question 10. Benchmark validity should be demonstrated through an evidence package, not inferred from popularity or score stability.</w:t>
      </w:r>
    </w:p>
    <w:p>
      <w:r>
        <w:rPr>
          <w:color w:val="777777"/>
          <w:sz w:val="16"/>
        </w:rPr>
        <w:t xml:space="preserve">p060 · att1 p.8  </w:t>
      </w:r>
      <w:r>
        <w:t>A sponsor should document the benchmark’s intended construct, clinical relevance, coverage, known gaps, contamination analysis, subgroup representation, scoring reliability, adjudicator agreement, and relationship to real-world outcomes. Sponsor-developed benchmarks can be valuable for narrow intended uses, but high-consequence claims should include sequestered or independently governed assets to reduce test optimization and leakage.</w:t>
      </w:r>
    </w:p>
    <w:p>
      <w:r>
        <w:rPr>
          <w:color w:val="777777"/>
          <w:sz w:val="16"/>
        </w:rPr>
        <w:t xml:space="preserve">p061 · att1 p.8  </w:t>
      </w:r>
      <w:r>
        <w:t>Questions 11–15 and 17. Clinical confirmation and comparators should be tailored to the actual decision pathway.</w:t>
      </w:r>
    </w:p>
    <w:p>
      <w:r>
        <w:rPr>
          <w:color w:val="777777"/>
          <w:sz w:val="16"/>
        </w:rPr>
        <w:t xml:space="preserve">p062 · att1 p.8  </w:t>
      </w:r>
      <w:r>
        <w:t>The confirmation method should reflect whether the device supports a human, directs an action, or acts autonomously. Human–AI team performance is the relevant comparator when that team is the intended use; autonomous performance is necessary when human review is not an effective control. Synthetic data should supplement—not erase—evidence from clinically and operationally representative distributions, particularly for rare events and underrepresented groups.</w:t>
      </w:r>
    </w:p>
    <w:p>
      <w:r>
        <w:rPr>
          <w:color w:val="777777"/>
          <w:sz w:val="16"/>
        </w:rPr>
        <w:t xml:space="preserve">p063 · att1 p.8  </w:t>
      </w:r>
      <w:r>
        <w:t>Question 16. Independent third parties can strengthen evaluation, provided independence is transparent and access remains competitive.</w:t>
      </w:r>
    </w:p>
    <w:p>
      <w:r>
        <w:rPr>
          <w:color w:val="777777"/>
          <w:sz w:val="16"/>
        </w:rPr>
        <w:t xml:space="preserve">p064 · att1 p.8  </w:t>
      </w:r>
      <w:r>
        <w:t>Third parties are particularly useful for sequestered test assets, adversarial evaluation, expert adjudication, cybersecurity assessment, and verification of configuration/evidence integrity. FDA should avoid exclusive certification structures. Qualifications, conflicts, methods, error rates, and financial relationships should be disclosed; sponsors should retain the ability to use multiple qualified pathways.</w:t>
      </w:r>
    </w:p>
    <w:p>
      <w:r>
        <w:rPr>
          <w:color w:val="777777"/>
          <w:sz w:val="16"/>
        </w:rPr>
        <w:t xml:space="preserve">p065 · att1 p.8  </w:t>
      </w:r>
      <w:r>
        <w:t>III. Postmarket Monitoring and Change — Question 18. Greater postmarket reliance is appropriate only when monitoring is timely, actionable, and enforceably connected to risk controls.</w:t>
      </w:r>
    </w:p>
    <w:p>
      <w:r>
        <w:rPr>
          <w:color w:val="777777"/>
          <w:sz w:val="16"/>
        </w:rPr>
        <w:t xml:space="preserve">p066 · att1 p.8  </w:t>
      </w:r>
      <w:r>
        <w:t>Reduced premarket certainty should not be justified by passive dashboards. The sponsor should prespecify signals, thresholds, review cadence, escalation paths, authority to pause or restrict functionality, corrective-action timelines, and evidence that monitoring coverage is adequate. High-consequence autonomous actions, rapid time-to-harm, weak reversibility, or inadequate interruption mechanisms may make reduced premarket evidence inappropriate.</w:t>
      </w:r>
    </w:p>
    <w:p>
      <w:r>
        <w:rPr>
          <w:color w:val="777777"/>
          <w:sz w:val="16"/>
        </w:rPr>
        <w:t xml:space="preserve">p067 · att1 p.8  </w:t>
      </w:r>
      <w:r>
        <w:t>Postmarket observability should be proportionate and privacy preserving. Routine evidence can emphasize configuration identifiers, policy results, uncertainty ranges, safety-control interventions, device state, clinician response, and aggregate performance rather than indiscriminate retention of complete prompts or identifiable clinical records. A graduated model can support minimal operational metadata during normal use, controlled correlation when a risk signal emerges, and narrowly authorized access to case-level evidence for investigation.</w:t>
      </w:r>
    </w:p>
    <w:p>
      <w:r>
        <w:rPr>
          <w:color w:val="777777"/>
          <w:sz w:val="16"/>
        </w:rPr>
        <w:t xml:space="preserve">p068 · att1 p.9  </w:t>
      </w:r>
      <w:r>
        <w:t>Additional consideration related to Questions 18 and 21. Data collected or created by</w:t>
      </w:r>
    </w:p>
    <w:p>
      <w:r>
        <w:rPr>
          <w:color w:val="777777"/>
          <w:sz w:val="16"/>
        </w:rPr>
        <w:t xml:space="preserve">p069 · att1 p.9  </w:t>
      </w:r>
      <w:r>
        <w:t>GenAI requires an explicit lifecycle, not a generic privacy statement.</w:t>
      </w:r>
    </w:p>
    <w:p>
      <w:r>
        <w:rPr>
          <w:color w:val="777777"/>
          <w:sz w:val="16"/>
        </w:rPr>
        <w:t xml:space="preserve">p070 · att1 p.9  </w:t>
      </w:r>
      <w:r>
        <w:t>GenAI systems can create new sensitive information even when the source record is already governed. Conversations, inferred symptoms or diagnoses, risk classifications, summaries, embeddings, retrieved context, agent memory, tool results, feedback, safety interventions, and audit records may reveal or amplify clinically significant facts. For data practices materially affecting device safety or effectiveness and within FDA's authority, FDA should ask sponsors to identify each data class, why it is necessary, where it is stored, who can access it, which downstream systems receive it, how long it persists, and how it is corrected, retained, archived, or deleted.</w:t>
      </w:r>
    </w:p>
    <w:p>
      <w:r>
        <w:rPr>
          <w:color w:val="777777"/>
          <w:sz w:val="16"/>
        </w:rPr>
        <w:t xml:space="preserve">p071 · att1 p.9  </w:t>
      </w:r>
      <w:r>
        <w:t> Purpose limitation and minimization: collect and derive only the information necessary for the authorized function, safety monitoring, and legally required records.  Separation: distinguish patient content, operational state, model context, long-term memory, quality evidence, cybersecurity evidence, and de-identified aggregate metrics so each can receive appropriate access and retention controls.  Identity and authorization: bind every read, write, inference, retrieval, export, and deletion to an authenticated human or machine identity, permitted purpose, patient scope, and time-bounded authority.  Retention and deletion: define limits for prompts, outputs, caches, embeddings, memory, backups, replicas, and supplier-held copies; verify deletion or justified archival rather than relying on user-interface disappearance, subject to applicable record-retention, investigation, litigation-hold, and data-integrity obligations.  Correction and provenance: preserve the source and transformation history of derived information and propagate corrections so an erroneous inference does not become durable clinical truth across systems.  Secondary use: do not silently use patient interactions, clinical content, or safety investigations for model training, product improvement, or unrelated analytics. Any authorized reuse should be separately governed, transparent, and technically enforceable.  Supplier boundaries: contracts and technical controls should address model-provider retention, human review, abuse monitoring, support access, regional storage, subprocessors, incident response, and termination or migration.</w:t>
      </w:r>
    </w:p>
    <w:p>
      <w:r>
        <w:rPr>
          <w:color w:val="777777"/>
          <w:sz w:val="16"/>
        </w:rPr>
        <w:t xml:space="preserve">p072 · att1 p.9  </w:t>
      </w:r>
      <w:r>
        <w:t>Privacy and safety should not be framed as opposites. A system can preserve enough attributable evidence to investigate a serious failure without retaining every raw conversation indefinitely. Sponsors should justify the minimum evidence needed for causal reconstruction, protect content separately from metadata, and support controlled re-identification only when authorized for patient care, safety investigation, or regulatory obligations.</w:t>
      </w:r>
    </w:p>
    <w:p>
      <w:r>
        <w:rPr>
          <w:color w:val="777777"/>
          <w:sz w:val="16"/>
        </w:rPr>
        <w:t xml:space="preserve">p073 · att1 p.10  </w:t>
      </w:r>
      <w:r>
        <w:t>Question 19. Reassessment should be both periodic and event-triggered.</w:t>
      </w:r>
    </w:p>
    <w:p>
      <w:r>
        <w:rPr>
          <w:color w:val="777777"/>
          <w:sz w:val="16"/>
        </w:rPr>
        <w:t xml:space="preserve">p074 · att1 p.10  </w:t>
      </w:r>
      <w:r>
        <w:t>Relevant triggers include model or model-provider changes; prompt, retrieval, orchestration, guardrail, tool, interface, or infrastructure changes; new user populations or sites; distribution shift; novel failure modes; cybersecurity events; control degradation; complaint or adverseevent patterns; and changes in clinical practice. Cadence should be justified by inherent risk, exposure, rate of change, and time to detect harm.</w:t>
      </w:r>
    </w:p>
    <w:p>
      <w:r>
        <w:rPr>
          <w:color w:val="777777"/>
          <w:sz w:val="16"/>
        </w:rPr>
        <w:t xml:space="preserve">p075 · att1 p.10  </w:t>
      </w:r>
      <w:r>
        <w:t>Question 20. Machine-based supervisory agents can assist monitoring but must not create circular assurance.</w:t>
      </w:r>
    </w:p>
    <w:p>
      <w:r>
        <w:rPr>
          <w:color w:val="777777"/>
          <w:sz w:val="16"/>
        </w:rPr>
        <w:t xml:space="preserve">p076 · att1 p.10  </w:t>
      </w:r>
      <w:r>
        <w:t>A supervisor should have a defined, narrower role; failure modes that are independent or diversely implemented relative to the monitored component where risk warrants and practicable; restricted privileges; validated detection and interruption performance; protected inputs; and a safe failure state. A model should not be considered independently supervised merely because another instance of the same model family reviews its output. Supervisory actions, failures, overrides, and missed detections should be audited and periodically reevaluated.</w:t>
      </w:r>
    </w:p>
    <w:p>
      <w:r>
        <w:rPr>
          <w:color w:val="777777"/>
          <w:sz w:val="16"/>
        </w:rPr>
        <w:t xml:space="preserve">p077 · att1 p.10  </w:t>
      </w:r>
      <w:r>
        <w:t>Question 21. Shared ecosystem participation should enrich evidence without diffusing manufacturer accountability.</w:t>
      </w:r>
    </w:p>
    <w:p>
      <w:r>
        <w:rPr>
          <w:color w:val="777777"/>
          <w:sz w:val="16"/>
        </w:rPr>
        <w:t xml:space="preserve">p078 · att1 p.10  </w:t>
      </w:r>
      <w:r>
        <w:t>Clinicians, healthcare institutions, professional societies, model providers, and standards bodies can contribute signals, adjudication, benchmarks, and deployment context. The manufacturer should remain responsible for aggregation, triage, risk decisions, corrective action, and regulatory reporting. Data-sharing agreements should specify provenance, timeliness, minimum fields, privacy protections, and feedback closure.</w:t>
      </w:r>
    </w:p>
    <w:p>
      <w:r>
        <w:rPr>
          <w:color w:val="777777"/>
          <w:sz w:val="16"/>
        </w:rPr>
        <w:t xml:space="preserve">p079 · att1 p.10  </w:t>
      </w:r>
      <w:r>
        <w:t>FDA should recognize that safety-relevant information may cross hospital, cloud, modelprovider, manufacturer, and device boundaries. Each consequential exchange should preserve sender and recipient identity, permitted purpose, patient or device scope, schema and clinical meaning, source and transformation provenance, applicable AI-SBOM configuration, integrity and freshness, privacy classification, retention, and onward-use restrictions. Transport encryption is necessary but does not establish that the sender was authorized, the information was semantically valid, or the recipient may use it for the proposed purpose.</w:t>
      </w:r>
    </w:p>
    <w:p>
      <w:r>
        <w:rPr>
          <w:color w:val="777777"/>
          <w:sz w:val="16"/>
        </w:rPr>
        <w:t xml:space="preserve">p080 · att1 p.10  </w:t>
      </w:r>
      <w:r>
        <w:t>FDA should specify the required evidence properties rather than prescribe one privacy technology. Depending on the use case, sponsors may use local or federated evaluation, aggregation, pseudonymization, confidential computing, secure multiparty computation, homomorphic encryption, differential privacy, selective disclosure, or protected case-level access. Advanced cryptography should be treated as an optional implementation mechanism, not a prerequisite for compliance.</w:t>
      </w:r>
    </w:p>
    <w:p>
      <w:r>
        <w:rPr>
          <w:color w:val="777777"/>
          <w:sz w:val="16"/>
        </w:rPr>
        <w:t xml:space="preserve">p081 · att1 p.10  </w:t>
      </w:r>
      <w:r>
        <w:t>Questions 22–24. Change control should be based on impact pathways and verified configuration lineage.</w:t>
      </w:r>
    </w:p>
    <w:p>
      <w:r>
        <w:rPr>
          <w:color w:val="777777"/>
          <w:sz w:val="16"/>
        </w:rPr>
        <w:t xml:space="preserve">p082 · att1 p.10  </w:t>
      </w:r>
      <w:r>
        <w:t>A change can be low-level yet clinically material because it alters tool selection, retrieved evidence, interaction state, or guardrail behavior. Sponsors should classify changes by affected competency, hazard, control, population, and workflow—not solely by component type. The premarket competency baseline should identify the minimum re-evaluation set for each plausible impact pathway.</w:t>
      </w:r>
    </w:p>
    <w:p>
      <w:r>
        <w:rPr>
          <w:color w:val="777777"/>
          <w:sz w:val="16"/>
        </w:rPr>
        <w:t xml:space="preserve">p083 · att1 p.11  </w:t>
      </w:r>
      <w:r>
        <w:t> PCCPs may define change envelopes, trigger categories, affected evidence modules, acceptance thresholds, rollout constraints, and rollback criteria even when exact future model weights cannot be specified.  Third-party model contracts should require advance notice where feasible, version pinning or controlled rollout, change documentation, continued access to the prior version for investigation/rollback, incident cooperation, and safety-relevant audit information.  Technical controls should detect unannounced changes through signed artifacts, version attestation, behavioral canaries, reproducible test suites, and deployment manifests.  A manufacturer should maintain an exit strategy when a foundation-model provider cannot support required transparency, stability, or rollback.</w:t>
      </w:r>
    </w:p>
    <w:p>
      <w:r>
        <w:rPr>
          <w:color w:val="777777"/>
          <w:sz w:val="16"/>
        </w:rPr>
        <w:t xml:space="preserve">p084 · att1 p.11  </w:t>
      </w:r>
      <w:r>
        <w:t>IV. Foundation Models and Agentic AI — Question 25. A voluntary Foundation Model Master File can be useful if its contents are versioned, updateable, and contractually referenced.</w:t>
      </w:r>
    </w:p>
    <w:p>
      <w:r>
        <w:rPr>
          <w:color w:val="777777"/>
          <w:sz w:val="16"/>
        </w:rPr>
        <w:t xml:space="preserve">p085 · att1 p.11  </w:t>
      </w:r>
      <w:r>
        <w:t>A Foundation Model MAF should include model identity and lineage; intended supported uses; architecture summary; training-data provenance at an appropriate level; healthcare-relevant evaluations; subgroup results; known limitations and failure modes; safety constraints; cybersecurity practices; update policy and notification commitments; deprecation and rollback terms; and available audit signals. FDA should permit tiered disclosure so proprietary details can remain protected while sponsors receive the safety information necessary to manage risk.</w:t>
      </w:r>
    </w:p>
    <w:p>
      <w:r>
        <w:rPr>
          <w:color w:val="777777"/>
          <w:sz w:val="16"/>
        </w:rPr>
        <w:t xml:space="preserve">p086 · att1 p.11  </w:t>
      </w:r>
      <w:r>
        <w:t>The MAF should feed, but not replace, a sponsor-maintained AI-SBOM for the complete medicaldevice function. The AI-SBOM should supplement applicable existing design, product-BOM, hardware, software, supplier, and section 524B cybersecurity-SBOM records. It should identify the model and fine-tunes; prompts and configuration; retrieval sources and embedding components; tools, sensors, actuators, and external services; agents, memory, and orchestration; runtime and infrastructure dependencies; safety policies; identity and authority relationships; competency evidence; and applicable change lineage. Existing component records should be referenced by stable identifiers rather than copied. Protected supplier records may be referenced rather than publicly disclosed, provided the sponsor can obtain timely safetyrelevant information.</w:t>
      </w:r>
    </w:p>
    <w:p>
      <w:r>
        <w:rPr>
          <w:color w:val="777777"/>
          <w:sz w:val="16"/>
        </w:rPr>
        <w:t xml:space="preserve">p087 · att1 p.11  </w:t>
      </w:r>
      <w:r>
        <w:t>Question 26. Agentic devices require evaluation of authority, sequences, state, and consequences—not only output quality.</w:t>
      </w:r>
    </w:p>
    <w:p>
      <w:r>
        <w:rPr>
          <w:color w:val="777777"/>
          <w:sz w:val="16"/>
        </w:rPr>
        <w:t xml:space="preserve">p088 · att1 p.11  </w:t>
      </w:r>
      <w:r>
        <w:t>For an agentic device, FDA should require a declared authority envelope identifying permitted tools, data, targets, actions, clinical contexts, and autonomy levels. Acceptance criteria should include correct planning and tool use, but also refusal, interruption, recovery, authorization, state integrity, and resistance to indirect prompt injection through retrieved content and tool outputs.</w:t>
      </w:r>
    </w:p>
    <w:p>
      <w:r>
        <w:rPr>
          <w:color w:val="777777"/>
          <w:sz w:val="16"/>
        </w:rPr>
        <w:t xml:space="preserve">p089 · att1 p.12  </w:t>
      </w:r>
      <w:r>
        <w:t> Every agent, model, tool, service, dataset, policy, user, and approving human should have a verifiable identity and defined authority.  High-consequence or irreversible actions should require an explicit, authenticated checkpoint unless a justified autonomous pathway has been evaluated.  Tools should enforce least privilege, parameter constraints, rate limits, and transaction boundaries independently of the model.  The system should support immediate containment: revoke authority, isolate components, pause actions, preserve evidence, and revert to a safe state.  Testing should cover multi-step compounding errors, confused-deputy behavior, stale or poisoned memory, tool substitution, partial failure, race conditions, and repeated retry behavior.</w:t>
      </w:r>
    </w:p>
    <w:p>
      <w:r>
        <w:rPr>
          <w:color w:val="777777"/>
          <w:sz w:val="16"/>
        </w:rPr>
        <w:t xml:space="preserve">p090 · att1 p.12  </w:t>
      </w:r>
      <w:r>
        <w:t>Appendix A - Auditable Lifecycle Assurance Case — The proposed auditable lifecycle assurance framework is a technology-neutral evidence architecture for GenAI-enabled medical devices. Its purpose is to make safety claims continuously attributable to the system that was actually evaluated and deployed.</w:t>
      </w:r>
    </w:p>
    <w:p>
      <w:r>
        <w:rPr>
          <w:color w:val="777777"/>
          <w:sz w:val="16"/>
        </w:rPr>
        <w:t xml:space="preserve">p091 · att1 p.12  </w:t>
      </w:r>
      <w:r>
        <w:t>A.1 Core assurance object — The assurance case — A structured, versioned argument linking an intended-use claim to hazards, risk controls, competency requirements, test assets, results, clinical confirmation, authorized configuration, deployment evidence, postmarket signals, and change decisions.</w:t>
      </w:r>
    </w:p>
    <w:p>
      <w:r>
        <w:rPr>
          <w:color w:val="777777"/>
          <w:sz w:val="16"/>
        </w:rPr>
        <w:t xml:space="preserve">p092 · att1 p.12  </w:t>
      </w:r>
      <w:r>
        <w:t>A.2 Minimum identity and provenance graph — Object Minimum evidence relationship — Device/function Intended use, user, environment, activity class, consequence class, authorization status.</w:t>
      </w:r>
    </w:p>
    <w:p>
      <w:r>
        <w:rPr>
          <w:color w:val="777777"/>
          <w:sz w:val="16"/>
        </w:rPr>
        <w:t xml:space="preserve">p093 · att1 p.12  </w:t>
      </w:r>
      <w:r>
        <w:t>Configuration Exact model, prompts, retrieval, tools, orchestration, guardrails, UI, policies, infrastructure.</w:t>
      </w:r>
    </w:p>
    <w:p>
      <w:r>
        <w:rPr>
          <w:color w:val="777777"/>
          <w:sz w:val="16"/>
        </w:rPr>
        <w:t xml:space="preserve">p094 · att1 p.12  </w:t>
      </w:r>
      <w:r>
        <w:t>Competency Claim, hazard/control linkage, method, asset version, rubric, threshold, result, adjudicator.</w:t>
      </w:r>
    </w:p>
    <w:p>
      <w:r>
        <w:rPr>
          <w:color w:val="777777"/>
          <w:sz w:val="16"/>
        </w:rPr>
        <w:t xml:space="preserve">p095 · att1 p.12  </w:t>
      </w:r>
      <w:r>
        <w:t>Actor Human or machine identity, role, authority, delegation, authentication, revocation state.</w:t>
      </w:r>
    </w:p>
    <w:p>
      <w:r>
        <w:rPr>
          <w:color w:val="777777"/>
          <w:sz w:val="16"/>
        </w:rPr>
        <w:t xml:space="preserve">p096 · att1 p.12  </w:t>
      </w:r>
      <w:r>
        <w:t>Runtime event Causal chain, component versions, policy decision, action, result, escalation/override.</w:t>
      </w:r>
    </w:p>
    <w:p>
      <w:r>
        <w:rPr>
          <w:color w:val="777777"/>
          <w:sz w:val="16"/>
        </w:rPr>
        <w:t xml:space="preserve">p097 · att1 p.12  </w:t>
      </w:r>
      <w:r>
        <w:t>Signal Complaint, incident, drift, subgroup performance, control failure, cybersecurity event.</w:t>
      </w:r>
    </w:p>
    <w:p>
      <w:r>
        <w:rPr>
          <w:color w:val="777777"/>
          <w:sz w:val="16"/>
        </w:rPr>
        <w:t xml:space="preserve">p098 · att1 p.12  </w:t>
      </w:r>
      <w:r>
        <w:t>Change Initiator, affected objects, impact analysis, approval, test delta, rollout, rollback.</w:t>
      </w:r>
    </w:p>
    <w:p>
      <w:r>
        <w:rPr>
          <w:color w:val="777777"/>
          <w:sz w:val="16"/>
        </w:rPr>
        <w:t xml:space="preserve">p099 · att1 p.13  </w:t>
      </w:r>
      <w:r>
        <w:t>A.3 AI System Bill of Materials (AI-SBOM) — The AI-SBOM is a supplemental, versioned description of the behavior-shaping AI system configuration. It should be linked to applicable existing design, product-BOM, supplier, and cybersecurity-SBOM records. It must not replace those records or become a second, conflicting inventory. Instead, it should reference existing hardware, software, firmware, service, and supplier components by stable identifiers and add the AI-specific relationships needed to connect build-time evaluation, each deployed instance, consequential runtime evidence, and change decisions.</w:t>
      </w:r>
    </w:p>
    <w:p>
      <w:r>
        <w:rPr>
          <w:color w:val="777777"/>
          <w:sz w:val="16"/>
        </w:rPr>
        <w:t xml:space="preserve">p100 · att1 p.13  </w:t>
      </w:r>
      <w:r>
        <w:t> Model layer: foundation model, weights or service version, fine-tunes, adapters, quantization, safety models, and integrity identifiers.  Data and knowledge layer: training/evaluation provenance at an appropriate level, retrieval indexes, clinical sources, embedding models, freshness, population coverage, and known limitations.  Configuration layer: system prompts, templates, sampling parameters, context limits, policies, guardrails, and user-interface behavior.  Tool and agent layer: tools, external APIs, sensors, actuators, agents, memory, orchestration, roles, permissions, delegation, and approval checkpoints.  Evidence and change layer: intended-use claims, competency tests, thresholds, results, monitoring requirements, supplier notices, impact analyses, deployment manifests, and rollback state.  Data-governance layer: data classes; collection and inference purposes; storage locations; access policy; retention and deletion rules; correction propagation; training or secondary-use status; transfer restrictions; and accountable data owners or custodians.</w:t>
      </w:r>
    </w:p>
    <w:p>
      <w:r>
        <w:rPr>
          <w:color w:val="777777"/>
          <w:sz w:val="16"/>
        </w:rPr>
        <w:t xml:space="preserve">p101 · att1 p.13  </w:t>
      </w:r>
      <w:r>
        <w:t>Least-burdensome implementation should use linked manifests where applicable: the product BOM or equivalent design and manufacturing records answer what physical and supplied components constitute the device; the cybersecurity SBOM answers what software components and dependencies are present for covered cyber devices; and the AI-SBOM answers which behavior-shaping AI configuration, evidence, authority relationships, and change lineage apply. A single component should be recorded once and referenced wherever its role matters.</w:t>
      </w:r>
    </w:p>
    <w:p>
      <w:r>
        <w:rPr>
          <w:color w:val="777777"/>
          <w:sz w:val="16"/>
        </w:rPr>
        <w:t xml:space="preserve">p102 · att1 p.13  </w:t>
      </w:r>
      <w:r>
        <w:t>A.4 Assurance Exchange Layer — For distributed medical-device functions, the assurance case should define how clinical, operational, control, and safety information crosses system and organizational boundaries. A technology-neutral exchange envelope should identify:</w:t>
      </w:r>
    </w:p>
    <w:p>
      <w:r>
        <w:rPr>
          <w:color w:val="777777"/>
          <w:sz w:val="16"/>
        </w:rPr>
        <w:t xml:space="preserve">p103 · att1 p.13  </w:t>
      </w:r>
      <w:r>
        <w:t> the authenticated sender, recipient, and relevant human or machine authority;  the permitted purpose, patient/device scope, expiration, retention, and onward-use restrictions;  the schema, units, terminology version, timestamps, clock quality, uncertainty, and missing-data indicators needed to preserve clinical meaning;  the source, transformations, AI-SBOM configuration, integrity proof, and causal relationship to earlier and downstream events; and  the acknowledgment, policy decision, resulting action or device state, and exception or escalation outcome.</w:t>
      </w:r>
    </w:p>
    <w:p>
      <w:r>
        <w:rPr>
          <w:color w:val="777777"/>
          <w:sz w:val="16"/>
        </w:rPr>
        <w:t xml:space="preserve">p104 · att1 p.14  </w:t>
      </w:r>
      <w:r>
        <w:t>Control commands should receive stronger treatment than observations: patient-context binding, freshness and replay protection, least privilege, independent parameter constraints, valid device-state checks, required human approval, acknowledgment, and safe timeout or rollback.</w:t>
      </w:r>
    </w:p>
    <w:p>
      <w:r>
        <w:rPr>
          <w:color w:val="777777"/>
          <w:sz w:val="16"/>
        </w:rPr>
        <w:t xml:space="preserve">p105 · att1 p.14  </w:t>
      </w:r>
      <w:r>
        <w:t>A.5 Lifecycle gates — 1. Scope gate: Define intended use, users, environments, authority envelope, prohibited transitions, and risk profile.</w:t>
      </w:r>
    </w:p>
    <w:p>
      <w:r>
        <w:rPr>
          <w:color w:val="777777"/>
          <w:sz w:val="16"/>
        </w:rPr>
        <w:t xml:space="preserve">p106 · att1 p.14  </w:t>
      </w:r>
      <w:r>
        <w:t>2. Configuration gate: Freeze and attest the complete evaluated system configuration and supplier dependencies.</w:t>
      </w:r>
    </w:p>
    <w:p>
      <w:r>
        <w:rPr>
          <w:color w:val="777777"/>
          <w:sz w:val="16"/>
        </w:rPr>
        <w:t xml:space="preserve">p107 · att1 p.14  </w:t>
      </w:r>
      <w:r>
        <w:t>3. Competency gate: Prespecify tests and thresholds; execute benchmarking, adversarial testing, and clinical confirmation.</w:t>
      </w:r>
    </w:p>
    <w:p>
      <w:r>
        <w:rPr>
          <w:color w:val="777777"/>
          <w:sz w:val="16"/>
        </w:rPr>
        <w:t xml:space="preserve">p108 · att1 p.14  </w:t>
      </w:r>
      <w:r>
        <w:t>4. Deployment gate: Verify the deployed configuration, policies, monitoring, interruption, rollback, and operator readiness.</w:t>
      </w:r>
    </w:p>
    <w:p>
      <w:r>
        <w:rPr>
          <w:color w:val="777777"/>
          <w:sz w:val="16"/>
        </w:rPr>
        <w:t xml:space="preserve">p109 · att1 p.14  </w:t>
      </w:r>
      <w:r>
        <w:t>5. Runtime gate: Continuously enforce authorization and safety policies; capture proportionate causal evidence.</w:t>
      </w:r>
    </w:p>
    <w:p>
      <w:r>
        <w:rPr>
          <w:color w:val="777777"/>
          <w:sz w:val="16"/>
        </w:rPr>
        <w:t xml:space="preserve">p110 · att1 p.14  </w:t>
      </w:r>
      <w:r>
        <w:t>6. Signal gate: Triage drift, failures, complaints, incidents, subgroup changes, and cybersecurity findings.</w:t>
      </w:r>
    </w:p>
    <w:p>
      <w:r>
        <w:rPr>
          <w:color w:val="777777"/>
          <w:sz w:val="16"/>
        </w:rPr>
        <w:t xml:space="preserve">p111 · att1 p.14  </w:t>
      </w:r>
      <w:r>
        <w:t>7. Change gate: Classify impact, select evidence delta, approve, stage rollout, verify, and preserve rollback.</w:t>
      </w:r>
    </w:p>
    <w:p>
      <w:r>
        <w:rPr>
          <w:color w:val="777777"/>
          <w:sz w:val="16"/>
        </w:rPr>
        <w:t xml:space="preserve">p112 · att1 p.14  </w:t>
      </w:r>
      <w:r>
        <w:t>8. Retirement gate: Revoke identities and authority, preserve required records, migrate safely, and communicate residual risk.</w:t>
      </w:r>
    </w:p>
    <w:p>
      <w:r>
        <w:rPr>
          <w:color w:val="777777"/>
          <w:sz w:val="16"/>
        </w:rPr>
        <w:t xml:space="preserve">p113 · att1 p.14  </w:t>
      </w:r>
      <w:r>
        <w:t>A.6 Risk-proportionate audit event — Auditability should not require indiscriminate retention of protected health information or complete prompts. The evidence record can separate safety-relevant metadata from encrypted or access-controlled content. A consequential event should support reconstruction of:</w:t>
      </w:r>
    </w:p>
    <w:p>
      <w:r>
        <w:rPr>
          <w:color w:val="777777"/>
          <w:sz w:val="16"/>
        </w:rPr>
        <w:t xml:space="preserve">p114 · att1 p.14  </w:t>
      </w:r>
      <w:r>
        <w:t> who or what acted, under which authenticated identity and delegated authority;  which device configuration, model, policy, tool, and data-source versions were active;  what safety claim, hazard, control, and intended-use boundary applied;  what action was proposed, authorized, denied, modified, executed, or reversed;  what human checkpoint, override, escalation, or supervisory action occurred;  what outcome and monitoring signal followed; and  how the event relates causally to preceding and downstream events.</w:t>
      </w:r>
    </w:p>
    <w:p>
      <w:r>
        <w:rPr>
          <w:color w:val="777777"/>
          <w:sz w:val="16"/>
        </w:rPr>
        <w:t xml:space="preserve">p115 · att1 p.14  </w:t>
      </w:r>
      <w:r>
        <w:t>The audit record should also identify the applicable data-handling decision: what content was collected or derived; the authorized purpose; where it was stored or transferred; which retention policy applied; whether it entered memory, an embedding index, a quality dataset, or model-improvement workflow; and whether correction or deletion obligations were completed. The AI-SBOM should reference these policies and storage classes, but should never contain patient data itself.</w:t>
      </w:r>
    </w:p>
    <w:p>
      <w:r>
        <w:rPr>
          <w:color w:val="777777"/>
          <w:sz w:val="16"/>
        </w:rPr>
        <w:t xml:space="preserve">p116 · att1 p.15  </w:t>
      </w:r>
      <w:r>
        <w:t>A.7 Illustrative evidence depth — Evidence depth Illustrative application Expected assurance — Baseline Non-directive, low consequence</w:t>
      </w:r>
    </w:p>
    <w:p>
      <w:r>
        <w:rPr>
          <w:color w:val="777777"/>
          <w:sz w:val="16"/>
        </w:rPr>
        <w:t xml:space="preserve">p117 · att1 p.15  </w:t>
      </w:r>
      <w:r>
        <w:t>Configuration identity, basic competency evidence, periodic monitoring.</w:t>
      </w:r>
    </w:p>
    <w:p>
      <w:r>
        <w:rPr>
          <w:color w:val="777777"/>
          <w:sz w:val="16"/>
        </w:rPr>
        <w:t xml:space="preserve">p118 · att1 p.15  </w:t>
      </w:r>
      <w:r>
        <w:t>Enhanced Personalized/action-directing — Trajectory tests, calibrated uncertainty, escalation and source traceability.</w:t>
      </w:r>
    </w:p>
    <w:p>
      <w:r>
        <w:rPr>
          <w:color w:val="777777"/>
          <w:sz w:val="16"/>
        </w:rPr>
        <w:t xml:space="preserve">p119 · att1 p.15  </w:t>
      </w:r>
      <w:r>
        <w:t>Heightened — Action-taking with effective oversight — Least privilege, authenticated checkpoints, event-triggered reevaluation.</w:t>
      </w:r>
    </w:p>
    <w:p>
      <w:r>
        <w:rPr>
          <w:color w:val="777777"/>
          <w:sz w:val="16"/>
        </w:rPr>
        <w:t xml:space="preserve">p120 · att1 p.15  </w:t>
      </w:r>
      <w:r>
        <w:t>Highest Autonomous or high consequence — Independent or diversely implemented supervision where risk warrants and practicable; safe interruption; sequestered testing; continuous signals; safety-relevant causal evidence.</w:t>
      </w:r>
    </w:p>
    <w:p>
      <w:r>
        <w:rPr>
          <w:color w:val="777777"/>
          <w:sz w:val="16"/>
        </w:rPr>
        <w:t xml:space="preserve">p121 · att1 p.15  </w:t>
      </w:r>
      <w:r>
        <w:t>These descriptions are illustrative evidence-depth examples, not a proposed classification or certification scheme. FDA could align evidence depth with its existing risk-based authorities.</w:t>
      </w:r>
    </w:p>
    <w:p>
      <w:r>
        <w:rPr>
          <w:color w:val="777777"/>
          <w:sz w:val="16"/>
        </w:rPr>
        <w:t xml:space="preserve">p122 · att1 p.15  </w:t>
      </w:r>
      <w:r>
        <w:t>A.8 Suggested outcome metrics —  Safety-critical recognition and time-to-escalation, with separate under- and over-escalation measures.  Boundary adherence across multi-turn trajectories, including under-refusal and over-refusal.  Calibration, uncertainty communication, and clinically appropriate deferral.  Tool-selection accuracy, parameter validity, authorization violations, and safe handling of tool failure.  Human-checkpoint compliance, override quality, interruption latency, and recovery success.  Subgroup and deployment-site performance, distribution shift, and control degradation.  Mean time to detect, contain, evaluate, correct, and verify safety-relevant changes or failures.</w:t>
      </w:r>
    </w:p>
    <w:p>
      <w:r>
        <w:rPr>
          <w:color w:val="777777"/>
          <w:sz w:val="16"/>
        </w:rPr>
        <w:t xml:space="preserve">p123 · att1 p.15  </w:t>
      </w:r>
      <w:r>
        <w:t>Appendix B — Least-Burdensome Implementation — The auditable lifecycle assurance framework can be implemented incrementally and should reuse evidence already produced under design controls, risk management, cybersecurity, software lifecycle, clinical evaluation, postmarket surveillance, CAPA, supplier management, and PCCP processes. FDA should specify required relationships and outcomes, not a proprietary data model or platform.</w:t>
      </w:r>
    </w:p>
    <w:p>
      <w:r>
        <w:rPr>
          <w:color w:val="777777"/>
          <w:sz w:val="16"/>
        </w:rPr>
        <w:t xml:space="preserve">p124 · att1 p.16  </w:t>
      </w:r>
      <w:r>
        <w:t> Permit modular evidence updates so an unchanged clinical component does not require full resubmission when an unrelated infrastructure component changes.</w:t>
      </w:r>
    </w:p>
    <w:p>
      <w:r>
        <w:rPr>
          <w:color w:val="777777"/>
          <w:sz w:val="16"/>
        </w:rPr>
        <w:t xml:space="preserve">p125 · att1 p.16  </w:t>
      </w:r>
      <w:r>
        <w:t> Allow cryptographic hashes, signed manifests, and protected references where retaining raw clinical content would create privacy or security risk.</w:t>
      </w:r>
    </w:p>
    <w:p>
      <w:r>
        <w:rPr>
          <w:color w:val="777777"/>
          <w:sz w:val="16"/>
        </w:rPr>
        <w:t xml:space="preserve">p126 · att1 p.16  </w:t>
      </w:r>
      <w:r>
        <w:t> Encourage machine-readable evidence packages while retaining human-readable summaries and regulator access to underlying evidence.</w:t>
      </w:r>
    </w:p>
    <w:p>
      <w:r>
        <w:rPr>
          <w:color w:val="777777"/>
          <w:sz w:val="16"/>
        </w:rPr>
        <w:t xml:space="preserve">p127 · att1 p.16  </w:t>
      </w:r>
      <w:r>
        <w:t> Use common event and provenance concepts to reduce duplicative logs across quality, cybersecurity, and AI governance systems.</w:t>
      </w:r>
    </w:p>
    <w:p>
      <w:r>
        <w:rPr>
          <w:color w:val="777777"/>
          <w:sz w:val="16"/>
        </w:rPr>
        <w:t xml:space="preserve">p128 · att1 p.16  </w:t>
      </w:r>
      <w:r>
        <w:t> Pilot the framework with manufacturers, healthcare institutions, independent evaluators, patient representatives, and foundation-model providers across several risk profiles.</w:t>
      </w:r>
    </w:p>
    <w:p>
      <w:r>
        <w:rPr>
          <w:color w:val="777777"/>
          <w:sz w:val="16"/>
        </w:rPr>
        <w:t xml:space="preserve">p129 · att1 p.16  </w:t>
      </w:r>
      <w:r>
        <w:t>Conclusion — CDRH’s discussion paper correctly recognizes that GenAI-enabled devices challenge static, output-centric evaluation. Competency assessment is a strong foundation. To remain reliable across deployment, modification, third-party model changes, and autonomous action, that foundation should be connected to a continuously auditable assurance case.</w:t>
      </w:r>
    </w:p>
    <w:p>
      <w:r>
        <w:rPr>
          <w:color w:val="777777"/>
          <w:sz w:val="16"/>
        </w:rPr>
        <w:t xml:space="preserve">p130 · att1 p.16  </w:t>
      </w:r>
      <w:r>
        <w:t>VivaSecuris recommends that FDA explore an auditable lifecycle assurance framework through public workshops and a voluntary pilot. The pilot should include supplemental AI-SBOM concepts linked to applicable existing design, product-BOM, supplier, and cybersecurity-SBOM records; deterministic governance of probabilistic behavior; privacy-preserving postmarket observability; and safe assurance exchange across manufacturers, healthcare institutions, model providers, and connected devices. The purpose is not to prescribe a platform or create a new compliance market. It is to help beneficial AI reach people safely, make evidence reusable and change evaluation more precise, and ensure that manufacturers, healthcare institutions, and FDA can detect risk, preserve accountability, and act before an unintended system behavior causes avoidable injury or death.</w:t>
      </w:r>
    </w:p>
    <w:p>
      <w:r>
        <w:rPr>
          <w:color w:val="777777"/>
          <w:sz w:val="16"/>
        </w:rPr>
        <w:t xml:space="preserve">p131 · att1 p.16  </w:t>
      </w:r>
      <w:r>
        <w:t>References — 1. U.S. Food and Drug Administration, Considerations for the Regulation of Generative AI-Enabled Medical Devices:</w:t>
      </w:r>
    </w:p>
    <w:p>
      <w:r>
        <w:rPr>
          <w:color w:val="777777"/>
          <w:sz w:val="16"/>
        </w:rPr>
        <w:t xml:space="preserve">p132 · att1 p.16  </w:t>
      </w:r>
      <w:r>
        <w:t>Discussion Paper and Request for Feedback (August 18, 2026), https://www.fda.gov/media/194242/download — 2. U.S. Food and Drug Administration, discussion-paper landing page and submission instructions, docket FDA-2026-</w:t>
      </w:r>
    </w:p>
    <w:p>
      <w:r>
        <w:rPr>
          <w:color w:val="777777"/>
          <w:sz w:val="16"/>
        </w:rPr>
        <w:t xml:space="preserve">p133 · att1 p.16  </w:t>
      </w:r>
      <w:r>
        <w:t>N-7874, https://www.fda.gov/medical-devices/digital-health-center-excellence/considerations-regulation-generative-ai- enabled-medical-devices-discussion-paper-and-request — 3. U.S. Food and Drug Administration, Marketing Submission Recommendations for a Predetermined Change Control</w:t>
      </w:r>
    </w:p>
    <w:p>
      <w:r>
        <w:rPr>
          <w:color w:val="777777"/>
          <w:sz w:val="16"/>
        </w:rPr>
        <w:t xml:space="preserve">p134 · att1 p.17  </w:t>
      </w:r>
      <w:r>
        <w:t>Plan for Artificial Intelligence-Enabled Device Software Functions (August 18, 2025), https://www.fda.gov/regulatory- information/search-fda-guidance-documents/marketing-submission-recommendations-predetermined-change-control- plan-artificial-intelligence</w:t>
      </w:r>
    </w:p>
    <w:p>
      <w:r>
        <w:rPr>
          <w:color w:val="777777"/>
          <w:sz w:val="16"/>
        </w:rPr>
        <w:t xml:space="preserve">p135 · att1 p.17  </w:t>
      </w:r>
      <w:r>
        <w:t>4. U.S. Food and Drug Administration, Cybersecurity in Medical Devices: Quality Management System Considerations and Content of Premarket Submissions (February 3, 2026), https://www.fda.gov/regulatory-information/search-fda- guidance-documents/cybersecurity-medical-devices-quality-management-system-considerations-and-content- premarket</w:t>
      </w:r>
    </w:p>
    <w:p>
      <w:r>
        <w:rPr>
          <w:color w:val="777777"/>
          <w:sz w:val="16"/>
        </w:rPr>
        <w:t xml:space="preserve">p136 · att1 p.17  </w:t>
      </w:r>
      <w:r>
        <w:t>5. U.S. Food and Drug Administration, Clinical Decision Support Software (January 29, 2026), https://www.fda.gov/regulatory-information/search-fda-guidance-documents/clinical-decision-support-software</w:t>
      </w:r>
    </w:p>
    <w:p>
      <w:r>
        <w:rPr>
          <w:color w:val="777777"/>
          <w:sz w:val="16"/>
        </w:rPr>
        <w:t xml:space="preserve">p137 · att1 p.17  </w:t>
      </w:r>
      <w:r>
        <w:t>6. U.S. Food and Drug Administration, General Wellness: Policy for Low Risk Devices (January 6, 2026), https://www.fda.gov/regulatory-information/search-fda-guidance-documents/general-wellness-policy-low-risk-devices</w:t>
      </w:r>
    </w:p>
    <w:p>
      <w:r>
        <w:rPr>
          <w:color w:val="777777"/>
          <w:sz w:val="16"/>
        </w:rPr>
        <w:t xml:space="preserve">p138 · att1 p.17  </w:t>
      </w:r>
      <w:r>
        <w:t>7. U.S. Food and Drug Administration, Multiple Function Device Products: Policy and Considerations (July 2020), https://www.fda.gov/regulatory-information/search-fda-guidance-documents/multiple-function-device-products-policy- and-considerations</w:t>
      </w:r>
    </w:p>
    <w:p>
      <w:pPr>
        <w:pStyle w:val="Heading1"/>
        <w:pageBreakBefore/>
      </w:pPr>
      <w:r>
        <w:t>FDA-2026-N-7874-0036</w:t>
      </w:r>
    </w:p>
    <w:p>
      <w:r>
        <w:t>Comment from Tammy Rich Swinford</w:t>
      </w:r>
    </w:p>
    <w:p>
      <w:r>
        <w:rPr>
          <w:color w:val="777777"/>
          <w:sz w:val="18"/>
        </w:rPr>
        <w:t>Health Professional - A0007 · received 2026-08-25</w:t>
      </w:r>
    </w:p>
    <w:p>
      <w:r>
        <w:rPr>
          <w:color w:val="777777"/>
          <w:sz w:val="16"/>
        </w:rPr>
        <w:t xml:space="preserve">p001 · body  </w:t>
      </w:r>
      <w:r>
        <w:t>Rural Health Hospitals can diagnosis stroke victims with AI generated interpretation of CT Head's and could increase good patient prognosis IF neighboring hospital physicians will accept AI interpretation and a transfer when Rural Hospitals only have AI interpretation when a Radiologist is unavailable to provide a stat reading. I work in a Rural Health Hospital and knowing we can treat the community the best way possible if AI is allowed and accepted by other facilities could be a game changer. Insurance will have to be on board with the AI interpretation transfer which will cause the physicians/facilities accepting to be likely to do so. Transferring patients to a more skilled facility based on patients illness could result in full recovery, timing is the key.</w:t>
      </w:r>
    </w:p>
    <w:p>
      <w:pPr>
        <w:pStyle w:val="Heading1"/>
        <w:pageBreakBefore/>
      </w:pPr>
      <w:r>
        <w:t>FDA-2026-N-7874-0037</w:t>
      </w:r>
    </w:p>
    <w:p>
      <w:r>
        <w:t>Comment from Vizma Carver</w:t>
      </w:r>
    </w:p>
    <w:p>
      <w:r>
        <w:rPr>
          <w:color w:val="777777"/>
          <w:sz w:val="18"/>
        </w:rPr>
        <w:t>received 2026-08-25 · attachments: attachment_1.pdf (6 pp)</w:t>
      </w:r>
    </w:p>
    <w:p>
      <w:r>
        <w:rPr>
          <w:color w:val="777777"/>
          <w:sz w:val="16"/>
        </w:rPr>
        <w:t xml:space="preserve">p001 · body  </w:t>
      </w:r>
      <w:r>
        <w:t>See attached file(s)</w:t>
      </w:r>
    </w:p>
    <w:p>
      <w:r>
        <w:rPr>
          <w:color w:val="777777"/>
          <w:sz w:val="16"/>
        </w:rPr>
        <w:t xml:space="preserve">p002 · att1 p.1  </w:t>
      </w:r>
      <w:r>
        <w:t>1. Does the two-axis risk framework, organized around device activity and the consequence of relying on an incorrect output, appropriately capture the dimensions most relevant to the risk of a GenAI-enabled software function? If there are additional dimensions—such as the reversibility of a resulting action, the availability of downstream safeguards, the time pressure of the deployment setting, or the traceability of the output (i.e., to primary source materials)—that should be represented in a risk framework, please describe and provide examples of how they should be represented. Response: The consequence axis is appropriate and well-constructed. The device activity axis, as currently framed, is insufficient. Both axes describe the output of a GenAI-enabled software function and the clinical harm that follows from relying on it. Neither axis describes the architecture and operating environment that determine whether an incorrect, degraded, or manipulated output reaches the patient in the first place. For deterministic Software as a Medical Device, that omission was tolerable, because functionality was bounded at release. For GenAI-enabled functions — particularly agentic ones that call tools, retrieve from external sources, and interoperate with other software — the architecture is itself a risk determinant. A framework that grades only what the function says, and not the containment of the system that says it, will systematically underestimate risk. Evidentiary basis The July 2026 OpenAI–Hugging Face incident should be read into the record as a directly relevant, non-hypothetical case, and it was preventable. During an internal cyber-capability evaluation, OpenAI models escaped a supposedly sealed sandbox by exploiting a previously unknown vulnerability in Artifactory, a package registry cache proxy, and thereby reached the open internet (OpenAI). The agent then entered Hugging Face production infrastructure through code-execution paths in its dataset-processing pipeline, escalated privilege, harvested service credentials, and moved laterally across internal clusters — executing roughly 17,600 actions over four and a half days without human pacing (Hugging Face, TechCrunch). Separately, agents running unrelated experiments discovered one another, established a shared message board on an internal package manager, traded working exploits, and restored the channel after engineers shut it down (Nextgov/FCW, The Register). Two foundational failures are visible, and both are architectural rather than novel: An incorrect definition of "connected." The environment was documented as isolated because it had no direct internet route. It nonetheless shared a cached artifact intermediary with the internet. A shared artifact, file store, registry, or cache that is reachable from both sides of a boundary is a connection. Enterprise Architecture has held this position for decades; the evaluation environment's design did not. Unmanaged East-West traffic. Lateral, peer-to-peer traffic between agent workloads was neither segmented nor monitored, which permitted independent agents to collaborate, share capability, and persist through remediation. The relevance to CDRH is proportionality. If an organization with this concentration of technical talent and capital defeated its own containment boundary through basic segmentation and boundary-definition errors, then lessresourced innovators — small digital health firms, health system innovation groups, single-product startups — will not do better. They will do considerably worse, and they will do it inside clinical workflows. Recommendation: Dimensions to consider:</w:t>
      </w:r>
    </w:p>
    <w:p>
      <w:r>
        <w:rPr>
          <w:color w:val="777777"/>
          <w:sz w:val="16"/>
        </w:rPr>
        <w:t xml:space="preserve">p003 · att1 p.2  </w:t>
      </w:r>
      <w:r>
        <w:t>• Reversibility of the resulting action • Availability and effectiveness of downstream safeguards • Time pressure of the deployment setting • Traceability of the output to primary source material • Interpretive capacity of the intended user • Architectural connectedness and agentic coupling (Boundary definition on a shared-artifact test, East-West controls, Tool and action inventory with least privilege, Detection and containment evidence) 2. CDRH seeks input on how to account for the spectrum of GenAI-enabled informational functions that vary in the degree to which they direct a user to a particular action (i.e., between “non-directive” and “action-directing”). What characteristics of an output—such as its wording, specificity, personalization, or context—could be considered as modifiers of the risk associated with an informational function, after accounting for the device’s overall functionality and intended use? What additional information would provide manufacturers with sufficient clarity and predictability around risk assessment for informational functions while recognizing that directiveness may exist along a continuum rather than as a binary distinction? Response: Response 1: Build on existing terminology rather than creating a new vocabulary Defining the line between "non-directive" and "action-directing" is genuinely difficult, and a new taxonomy will be litigated at the margins for years. CDRH already has settled vocabulary in Factors to Consider When Making Benefit-Risk Determinations in Medical Device Premarket Approval and De Novo Classifications (FDA). Novel terminology increases the risk that manufacturers misread regulatory intent; reusing established terms reinforces it. Recommendation 1: do not treat directiveness as a new category, Treat it as a modifier of an existing factor — the probability of a harmful event.</w:t>
      </w:r>
    </w:p>
    <w:p>
      <w:r>
        <w:rPr>
          <w:color w:val="777777"/>
          <w:sz w:val="16"/>
        </w:rPr>
        <w:t xml:space="preserve">p004 · att1 p.3  </w:t>
      </w:r>
      <w:r>
        <w:t>Reesponse 2: shift from a fixed IFU to risk-scaled competency affirmation — This is software-based guidance, and software permits a protection mechanism that hardware does not: the device can confirm what the user understands before it operates.</w:t>
      </w:r>
    </w:p>
    <w:p>
      <w:r>
        <w:rPr>
          <w:color w:val="777777"/>
          <w:sz w:val="16"/>
        </w:rPr>
        <w:t xml:space="preserve">p005 · att1 p.3  </w:t>
      </w:r>
      <w:r>
        <w:t>The current model — a fixed Instructions for Use, delivered once, with no affirmation of competency — assumes a static user. Categorical proxies such as patient versus HCP, or generalist versus specialist, are coarse and do not reflect how people actually engage with their care. Some patients become deeply expert in their own condition; others defer entirely to the medical establishment. A single label cannot distinguish them.</w:t>
      </w:r>
    </w:p>
    <w:p>
      <w:r>
        <w:rPr>
          <w:color w:val="777777"/>
          <w:sz w:val="16"/>
        </w:rPr>
        <w:t xml:space="preserve">p006 · att1 p.3  </w:t>
      </w:r>
      <w:r>
        <w:t>Recommendation 2: permit and, at higher risk levels, require affirmation of user knowledge and competency as a gating precondition to enabling the function, with the depth of affirmation scaled to the device's risk level. A lowconsequence informational function may need only acknowledgment. A function directing insulin titration should confirm that the specific user understands the correct output range, the failure modes, and the conditions requiring escalation, before that capability unlocks — and should re-affirm on a defined interval or when the function is updated.</w:t>
      </w:r>
    </w:p>
    <w:p>
      <w:r>
        <w:rPr>
          <w:color w:val="777777"/>
          <w:sz w:val="16"/>
        </w:rPr>
        <w:t xml:space="preserve">p007 · att1 p.4  </w:t>
      </w:r>
      <w:r>
        <w:t>3. CDRH seeks input on whether and when a GenAI-enabled function that results in delivery of clinical information to patients, as opposed to HCPs, could present different or higher risks, while also recognizing the potential benefits associated with improved patient empowerment, engagement, and access to clinical information. What device characteristics, output features, or safeguards might mitigate risks that could arise when a user lacks the domain knowledge to independently evaluate an output, without unnecessarily underestimating patient capability? Response: The premise requires correction The question is framed around users "who lack the domain knowledge to independently evaluate an output," with patients as the implied class. We object to that framing as both inaccurate and counterproductive. The framing treats a credential as a proxy for a capability. It is not. Competence within any credentialed population is a distribution, not a constant — half of all practicing clinicians graduated in the bottom half of their class. Meanwhile, patients living with a chronic condition frequently accumulate more contextual and longitudinal knowledge of that condition than the generalist reviewing them for twelve minutes. Neither observation is a criticism of clinicians. Both are reasons that "patient versus HCP versus specialist" is the wrong variable. Credentialing does not reliably confer output-evaluation ability If professional credentialing were sufficient to catch incorrect clinical information, the patient safety movement of the last twenty-five years would not exist. To Err Is Human estimated 44,000 to 98,000 preventable deaths annually in U.S. hospitals and set a goal of halving errors within five years (National Academies). That goal was not met. More recently, an estimated 795,000 Americans are permanently disabled or die each year because dangerous diseases are misdiagnosed, across both hospital and clinic settings (BMJ Quality &amp; Safety, AHRQ). These are errors made by credentialed professionals evaluating clinical information. A framework that shifts risk downward for HCP-facing functions on the strength of the credential alone assumes an error-detection capability that the patient safety literature does not support.</w:t>
      </w:r>
    </w:p>
    <w:p>
      <w:r>
        <w:rPr>
          <w:color w:val="777777"/>
          <w:sz w:val="16"/>
        </w:rPr>
        <w:t xml:space="preserve">p008 · att1 p.5  </w:t>
      </w:r>
      <w:r>
        <w:t>Patient expertise is real, and collaborative care is the safer configuration The evidence supports treating patients as participants rather than as a risk category. Patient activation — the knowledge, skills, and confidence to engage in one's own care — is associated with better outcomes, and contributes more for people with lower numeracy and health literacy than for those with higher skills (CDC). Patient–professional partnership improves self-management, which in turn improves health-related quality of life (International Journal of Nursing Studies), and shared decision-making is consistently associated with improved patient knowledge, reduced decisional conflict, and higher satisfaction (Frontiers in Public Health). We note candidly that effects on hard clinical endpoints are heterogeneous across the shared decision-making literature (Medical Decision Making). The defensible claim is not that engagement is uniformly curative. It is that a hierarchical model which treats patient knowledge as absent is contradicted by the evidence and reinforces the same deference dynamics that patient safety programs have spent twenty-five years trying to dismantle. The correct variable The risk is not that a user is a patient. The risk is that any user — patient, generalist, or specialist — may lack the specific knowledge required to use a specific device as intended and to recognize when its output is wrong. Recommendation: assess competency for the device, not category membership for the person. As described in our response to Question 2, we recommend that CDRH permit and, at higher risk levels, require affirmation of user knowledge and competency as a gating precondition to enable the function, with the depth of affirmation scaled to the consequence of incorrect output. This replaces an assumption with evidence, produces an auditable record a reviewer can evaluate, and reaches the under-qualified specialist and the highly expert patient with equal accuracy. Remove the presumption that patients lack domain knowledge and HCPs possess it. Replace categorical user classification with demonstrated, devicespecific competency affirmation scaled to risk. Grant mitigation credit for traceability, stated uncertainty, and named escalation triggers, and none for disclaimers. Require evaluation across the real distribution of user knowledge rather than across credential labels. This protects users more effectively than the current categories, and it does so without encoding a hierarchy that the patient safety evidence does not justify.</w:t>
      </w:r>
    </w:p>
    <w:p>
      <w:r>
        <w:rPr>
          <w:color w:val="777777"/>
          <w:sz w:val="16"/>
        </w:rPr>
        <w:t xml:space="preserve">p009 · att1 p.6  </w:t>
      </w:r>
      <w:r>
        <w:t>4. CDRH seeks input on whether and how the distinction between generalist and specialist physicians might inform the assessment of risk for HCP-facing GenAI- enabled functions. Under what circumstances, if any, might risk be affected when an HCP who lacks the relevant clinical specialist knowledge receives information that falls within a specialist area of practice? What device characteristics or safeguards might mitigate such risks? See #2 and #3 answer. 5. 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 OpenAI demonstrated how fast this can go wrong when the assumption about the environment is wrong. Risk should always be based on the type of information provided. If the information is low risk, then the oversight burden is lower. If the risk is high, the oversight burden should be high. If the GenAI can migrate, then the oversight burden should be high, as AI can change behavior. See #1 answer 6. For GenAI-enabled care escalation functions, CDRH is considering how the evaluation may account for both under-escalation and over-escalation. How could manufacturers characterize and weigh these two directions of error, given that they may not be commensurable and that acceptable trade-offs may vary by clinical context? The weight should be relevant to the user knowledge and competency (See question #2 and #3)</w:t>
      </w:r>
    </w:p>
    <w:p>
      <w:pPr>
        <w:pStyle w:val="Heading1"/>
        <w:pageBreakBefore/>
      </w:pPr>
      <w:r>
        <w:t>FDA-2026-N-7874-0038</w:t>
      </w:r>
    </w:p>
    <w:p>
      <w:r>
        <w:t>Comment from Mitchell Berger</w:t>
      </w:r>
    </w:p>
    <w:p>
      <w:r>
        <w:rPr>
          <w:color w:val="777777"/>
          <w:sz w:val="18"/>
        </w:rPr>
        <w:t>Health Professional - A0007 · received 2026-08-25 · attachments: attachment_1.pdf (4 pp)</w:t>
      </w:r>
    </w:p>
    <w:p>
      <w:r>
        <w:rPr>
          <w:color w:val="777777"/>
          <w:sz w:val="16"/>
        </w:rPr>
        <w:t xml:space="preserve">p001 · body  </w:t>
      </w:r>
      <w:r>
        <w:t>Dear Dr. Abramson: I write to make the following comments and suggestions in response to the above paper and request for feedback. The discussion paper correctly identifies many of the challenges associated with GenAI, including emergent behavior, open‑ended inputs, variable outputs, and reliance on third‑party foundation models. My comments below focus on definitional clarity, risk assessment, governance, patient‑facing versus health provider‑facing outputs, and additional confirmatory evaluation approaches. Please note that the views expressed are mine alone and not those of an agency, organization, or other individual(s). Full comment attached below. Sincerely, Mitchell Berger</w:t>
      </w:r>
    </w:p>
    <w:p>
      <w:r>
        <w:rPr>
          <w:color w:val="777777"/>
          <w:sz w:val="16"/>
        </w:rPr>
        <w:t xml:space="preserve">p002 · att1 p.1  </w:t>
      </w:r>
      <w:r>
        <w:t>Re: Considerations for the Regulation of Generative AI-Enabled Medical Devices: Discussion Paper and Request for Feedback, https://www.fda.gov/medical-devices/digital-health-centerexcellence/considerations-regulation-generative-ai-enabled-medical-devices-discussion-paperand-request [Docket no. FDA-2026-N-7874]</w:t>
      </w:r>
    </w:p>
    <w:p>
      <w:r>
        <w:rPr>
          <w:color w:val="777777"/>
          <w:sz w:val="16"/>
        </w:rPr>
        <w:t xml:space="preserve">p003 · att1 p.1  </w:t>
      </w:r>
      <w:r>
        <w:t>To: Rick Abramson, Digital Health Center of Excellence (DHCoE), Food and Drug Administration</w:t>
      </w:r>
    </w:p>
    <w:p>
      <w:r>
        <w:rPr>
          <w:color w:val="777777"/>
          <w:sz w:val="16"/>
        </w:rPr>
        <w:t xml:space="preserve">p004 · att1 p.1  </w:t>
      </w:r>
      <w:r>
        <w:t>From: Mitchell Berger, (comments made in personal capacity), mazruia@hotmail.com. 8.25.26 — Dear Dr. Abramson: I write to make the following comments and suggestions in response to the above paper and request for feedback. The discussion paper correctly identifies many of the challenges associated with GenAI, including emergent behavior, open‑ended inputs, variable outputs, and reliance on third‑party foundation models. My comments below focus on definitional clarity, risk assessment, governance, patient‑facing versus health provider‑facing outputs, and additional confirmatory evaluation approaches. Please note that the views expressed are mine alone and not those of an agency, organization, or other individual(s).</w:t>
      </w:r>
    </w:p>
    <w:p>
      <w:r>
        <w:rPr>
          <w:color w:val="777777"/>
          <w:sz w:val="16"/>
        </w:rPr>
        <w:t xml:space="preserve">p005 · att1 p.1  </w:t>
      </w:r>
      <w:r>
        <w:t>General comments: Other comments: E.g., for Questions 9 and 21: Learning from international counterparts: FDA also learn lessons in developing standards from to international regulatory counterparts, including the European Medicines Agency, Japan, China, Canada, South Korea, and others to promote harmonized approaches to GenAI regulation where feasible. Consistency across jurisdictions will reduce developer burden, improve patient safety, and support global interoperability.</w:t>
      </w:r>
    </w:p>
    <w:p>
      <w:r>
        <w:rPr>
          <w:color w:val="777777"/>
          <w:sz w:val="16"/>
        </w:rPr>
        <w:t xml:space="preserve">p006 · att1 p.1  </w:t>
      </w:r>
      <w:r>
        <w:t>Emphasize patient-engagement and patient-centered design: FDA should encourage developers of GenAI‑enabled devices to incorporate patients directly into AI development, governance, monitoring, and evaluation. Patient engagement is essential for ensuring that GenAI systems reflect real‑world needs, support autonomy, and avoid assumptions about patient capabilities and likely responses to information.</w:t>
      </w:r>
    </w:p>
    <w:p>
      <w:r>
        <w:rPr>
          <w:color w:val="777777"/>
          <w:sz w:val="16"/>
        </w:rPr>
        <w:t xml:space="preserve">p007 · att1 p.1  </w:t>
      </w:r>
      <w:r>
        <w:t>Governance: Given the evolving and uncertain nature of GenAI risks, FDA should emphasize the importance of strong governance structures within developing organizations. Developers should be encouraged to seek legal, ethical, and clinical consultation when appropriate, particularly for high‑risk or patient‑facing functions. In addition, FDA should incorporate ethics expertise within its own review processes when appropriate, including staff trained in bioethics, digital ethics, and responsible AI. GenAI‑enabled devices raise questions about autonomy, transparency, fairness, privacy, biases, data-access and ownership and the boundaries of AI- generated clinical guidance.</w:t>
      </w:r>
    </w:p>
    <w:p>
      <w:r>
        <w:rPr>
          <w:color w:val="777777"/>
          <w:sz w:val="16"/>
        </w:rPr>
        <w:t xml:space="preserve">p008 · att1 p.1  </w:t>
      </w:r>
      <w:r>
        <w:t>Pages 3 and 4: Definitions and context: FDA should collaborate with others in consistently defining such terms as artificial intelligence and digital health: Terms such as ‘artificial intelligence’ (AI) and ‘GenAI’ and ‘digital therapeutics’ should be consistently defined by FDA in collaboration with others across governmental agencies. Similarly, researchers, academic institutions, nonprofits and trade associations may have their own definitions of digital health,</w:t>
      </w:r>
    </w:p>
    <w:p>
      <w:r>
        <w:rPr>
          <w:color w:val="777777"/>
          <w:sz w:val="16"/>
        </w:rPr>
        <w:t xml:space="preserve">p009 · att1 p.1  </w:t>
      </w:r>
      <w:r>
        <w:t>Page1 — AI, etc.1 As developments of generative AI enabled digital mental health devices and other technologies move forward, it may be helpful for FDA and others to develop and use when feasible consensus definitions of such key terms as AI, generative AI, autonomous, digital health, digital mental health and so on.2 To cite one example, the National Institute of Standards and Technology definitions, as for foundation models, sometimes differ from those of FDA.3 Definitions used by NIST, NIH, ONC, and other agencies may differ from FDA’s own terminology. As GenAI‑enabled technologies expand, consensus definitions will support clarity, interoperability, and regulatory predictability.</w:t>
      </w:r>
    </w:p>
    <w:p>
      <w:r>
        <w:rPr>
          <w:color w:val="777777"/>
          <w:sz w:val="16"/>
        </w:rPr>
        <w:t xml:space="preserve">p010 · att1 p.2  </w:t>
      </w:r>
      <w:r>
        <w:t>Page 4, From Farm‑to‑Fork to Developer‑to‑User: Modernizing FDA Oversight for GenAI Risks: FDA correctly notes that it “does not regulate GenAI as such; it regulates medical devices, including GenAI-enabled devices.” This is accurate under 21 U.S.C. § 321(h), which limits FDA’s authority to products meeting the statutory definition of a device. However, GenAI introduces upstream risks that may not be adequately addressed through a device-only framework.4</w:t>
      </w:r>
    </w:p>
    <w:p>
      <w:r>
        <w:rPr>
          <w:color w:val="777777"/>
          <w:sz w:val="16"/>
        </w:rPr>
        <w:t xml:space="preserve">p011 · att1 p.2  </w:t>
      </w:r>
      <w:r>
        <w:t>A useful analogy is food safety: FDA does not regulate how lettuce is grown, but FDA and the US Department of Agriculture and others regulate safety across the entire farm‑to‑fork supply chain because upstream conditions affect downstream risk. Similarly, if GenAI systems and components will be used or adapted for FDA‑regulated software and devices, FDA will need to work directly and collaboratively with other federal agencies, academia, and the private sector to foster governance, safety, and effectiveness across the GenAI lifecycle. FDA should adopt a developer-to-user perspective for GenAI that parallels the farm-to-fork approach for foods. 5</w:t>
      </w:r>
    </w:p>
    <w:p>
      <w:r>
        <w:rPr>
          <w:color w:val="777777"/>
          <w:sz w:val="16"/>
        </w:rPr>
        <w:t xml:space="preserve">p012 · att1 p.2  </w:t>
      </w:r>
      <w:r>
        <w:t>Pages 4–6 and Discussion Question 1: Limitations of the Two‑Axis Model: The two-axis model discussed by FDA is a good starting point for discussion but does not capture such upstream risks as hallucinations, algorithmic bias and incorrect data. While these axes capture autonomy and harm severity, they do not account for upstream risks such as hallucinations, algorithmic bias, incorrect or contaminated training data, or opaque model provenance. The model is also primarily utilitarian, emphasizing consequences but not reflecting governance priorities, ethical guardrails, or healthcare duties such as privacy, confidentiality, and transparency. In addition, GenAI risks are not static. They may change as models are updated or not updated, as models drift, as data degrades, or as context and use‑cases shift. A static two‑axis model cannot capture</w:t>
      </w:r>
    </w:p>
    <w:p>
      <w:r>
        <w:rPr>
          <w:color w:val="777777"/>
          <w:sz w:val="16"/>
        </w:rPr>
        <w:t xml:space="preserve">p013 · att1 p.2  </w:t>
      </w:r>
      <w:r>
        <w:t>Page2 — 1 Fatehi F, Samadbeik M, Kazemi A. What is Digital Health? Review of Definitions. Stud Health Technol Inform. 2020 Nov 23;275:67-71. doi: 10.3233/SHTI200696. Wienert J, Jahnel T, Maaß L What are Digital Public Health Interventions? First Steps Toward a Definition and an Intervention Classification Framework J Med Internet Res 2022;24(6):e31921; Olivia A. Stein, Audrey Prost, Exploring the societal implications of digital mental health technologies: A critical review, SSM - Mental Health, 2024(6): 100373, https://doi.org/10.1016/j.ssmmh.2024.100373 2 https://www.fda.gov/science-research/artificial-intelligence-and-medical-products/fda-digital-health-and-artificial-intelligence-glossaryeducational-resource; See e.g., ONC/ASTP’s glossary at https://www.healthit.gov/topic/health-it-and-health-information-exchangebasics/glossary and NIST’s at https://csrc.nist.gov/glossary 3 https://csrc.nist.gov/glossary/term/foundation_model 4 National Academy of Medicine; The Learning Health System Series; Elliott A, Krishnan S, Sarich T, et al., editors. Generative Artificial Intelligence in Health and Medicine: Opportunities and Responsibilities for Transformative Innovation. Washington (DC): National Academies Press (US); 2025 May 16. 3, RISKS OF GENERATIVE ARTIFICIAL INTELLIGENCE IN HEALTH AND MEDICINE. Available from: https://www.ncbi.nlm.nih.gov/books/NBK615587/;https://oecd.ai/en/genai/issues/risks-and-unknowns 5 National Academy of Medicine; The Learning Health System Series; Elliott A, Krishnan S, Sarich T, et al., editors. Generative Artificial Intelligence in Health and Medicine: Opportunities and Responsibilities for Transformative Innovation. 2025. Available from: https://www.ncbi.nlm.nih.gov/books/NBK615587/ these dynamic, lifecycle‑dependent risks, underscoring the need for a more expansive and adaptive regulatory framework.</w:t>
      </w:r>
    </w:p>
    <w:p>
      <w:r>
        <w:rPr>
          <w:color w:val="777777"/>
          <w:sz w:val="16"/>
        </w:rPr>
        <w:t xml:space="preserve">p014 · att1 p.3  </w:t>
      </w:r>
      <w:r>
        <w:t>Instead of a two-axis model, I would suggest a three-layer model: Layer 1, Functional: Consequences (same as current graph/model) and Activity (same as current graph/model).</w:t>
      </w:r>
    </w:p>
    <w:p>
      <w:r>
        <w:rPr>
          <w:color w:val="777777"/>
          <w:sz w:val="16"/>
        </w:rPr>
        <w:t xml:space="preserve">p015 · att1 p.3  </w:t>
      </w:r>
      <w:r>
        <w:t>Layer 2, Model Risks: addresses hallucinations, biases, data contamination, poor or incorrect training data, susceptibility to adversarial prompts; and vulnerability to hacking, model manipulation, or other security threats.</w:t>
      </w:r>
    </w:p>
    <w:p>
      <w:r>
        <w:rPr>
          <w:color w:val="777777"/>
          <w:sz w:val="16"/>
        </w:rPr>
        <w:t xml:space="preserve">p016 · att1 p.3  </w:t>
      </w:r>
      <w:r>
        <w:t>Layer 3, Lifecycle Risks: model drift, degradation, need for updates, stability.</w:t>
      </w:r>
    </w:p>
    <w:p>
      <w:r>
        <w:rPr>
          <w:color w:val="777777"/>
          <w:sz w:val="16"/>
        </w:rPr>
        <w:t xml:space="preserve">p017 · att1 p.3  </w:t>
      </w:r>
      <w:r>
        <w:t>Action-taking and Action-directing functions: The paper states that “CDRH is also considering whether a patient facing informational function may not become any less directive because it includes a ‘talk to your doctor’ or an ‘I am not a medical professional’ statement in addition to the ‘action-directing’ information.” The assumption that patients will reliably seek clinician input is unrealistic. The more likely outcome is that patients will simply consult another AI model or tool to cross‑reference the first output. FDA should treat action‑directing outputs as higher‑risk regardless of disclaimers.</w:t>
      </w:r>
    </w:p>
    <w:p>
      <w:r>
        <w:rPr>
          <w:color w:val="777777"/>
          <w:sz w:val="16"/>
        </w:rPr>
        <w:t xml:space="preserve">p018 · att1 p.3  </w:t>
      </w:r>
      <w:r>
        <w:t>Patient-facing informational functions versus health care provider-facing informational functions and Discussion Questions 2 and 3:</w:t>
      </w:r>
    </w:p>
    <w:p>
      <w:r>
        <w:rPr>
          <w:color w:val="777777"/>
          <w:sz w:val="16"/>
        </w:rPr>
        <w:t xml:space="preserve">p019 · att1 p.3  </w:t>
      </w:r>
      <w:r>
        <w:t>Patient‑Facing Informational Functions: Patient‑facing functions should provide clear, accessible, bottom‑line information that supports autonomy and shared decision‑making. Interfaces may be simplified, graphical, or user‑friendly, but patients should have full optional access to underlying data, uncertainty indicators, and model limitations.</w:t>
      </w:r>
    </w:p>
    <w:p>
      <w:r>
        <w:rPr>
          <w:color w:val="777777"/>
          <w:sz w:val="16"/>
        </w:rPr>
        <w:t xml:space="preserve">p020 · att1 p.3  </w:t>
      </w:r>
      <w:r>
        <w:t>Health Provider‑Facing Informational Functions — Provider functions may be more complex, detailed, and data‑rich. Clinicians may need intermediate outputs, confidence scores, model rationales, and contextual factors that would not benefit many patients. These functions support clinical judgment, diagnostic reasoning, and safe integration of GenAI outputs into care (page 8). Outputs can be more directive because they are interpreted within the clinician’s professional judgment and scope of practice.</w:t>
      </w:r>
    </w:p>
    <w:p>
      <w:r>
        <w:rPr>
          <w:color w:val="777777"/>
          <w:sz w:val="16"/>
        </w:rPr>
        <w:t xml:space="preserve">p021 · att1 p.3  </w:t>
      </w:r>
      <w:r>
        <w:t>FDA can consider the following factors when assessing patient‑facing versus provider‑facing informational functions and the potential risks associated with each.</w:t>
      </w:r>
    </w:p>
    <w:p>
      <w:r>
        <w:rPr>
          <w:color w:val="777777"/>
          <w:sz w:val="16"/>
        </w:rPr>
        <w:t xml:space="preserve">p022 · att1 p.3  </w:t>
      </w:r>
      <w:r>
        <w:t>• Wording and tone: For patients, wording should be plain-language and non-directive. For providers, wording should be technical and precise. • Specificity: For patients, the output should be general with options and ranges. For providers, outputs should be clinically-based with detailed parameters. • Personalization: For patents, output should be tailored but non-directive. For providers, output should support clinical judgment for specific cases.</w:t>
      </w:r>
    </w:p>
    <w:p>
      <w:r>
        <w:rPr>
          <w:color w:val="777777"/>
          <w:sz w:val="16"/>
        </w:rPr>
        <w:t xml:space="preserve">p023 · att1 p.3  </w:t>
      </w:r>
      <w:r>
        <w:t>Page3 — • Transparency and data access: For patients: A simplified interface, but with full optional access to underlying data, uncertainty indicators, and model limitations to support autonomy and shared decision-making. For providers: Full access to all data • Context and framing: For patients, Emphasis on choices, risks, benefits, alternatives, and shared decision‑making. For providers, the focus can be on clinical factors, next steps/workflows and potential comorbidities.</w:t>
      </w:r>
    </w:p>
    <w:p>
      <w:r>
        <w:rPr>
          <w:color w:val="777777"/>
          <w:sz w:val="16"/>
        </w:rPr>
        <w:t xml:space="preserve">p024 · att1 p.4  </w:t>
      </w:r>
      <w:r>
        <w:t>Safeguards to Mitigate Risk Without Underestimating Patient Capability — FDA could encourage safeguards that protect patients while preserving autonomy and access:</w:t>
      </w:r>
    </w:p>
    <w:p>
      <w:r>
        <w:rPr>
          <w:color w:val="777777"/>
          <w:sz w:val="16"/>
        </w:rPr>
        <w:t xml:space="preserve">p025 · att1 p.4  </w:t>
      </w:r>
      <w:r>
        <w:t>• Uncertainty indicators: Clear statements such as “These results may be uncertain” or presentation of broad ranges. • Shared decision‑making prompts. For example: “Discuss these findings with your healthcare provider.” • Reminders about rechecking results: Prompts indicating when information should be rechecked or updated. • Clarification that information presented is not a diagnosis: Reinforcing that outputs are informational and do not replace clinical evaluation. • Model update notifications: Indicators when a model has been changed, retrained, or updated, so patients and providers understand when performance may differ.</w:t>
      </w:r>
    </w:p>
    <w:p>
      <w:r>
        <w:rPr>
          <w:color w:val="777777"/>
          <w:sz w:val="16"/>
        </w:rPr>
        <w:t xml:space="preserve">p026 · att1 p.4  </w:t>
      </w:r>
      <w:r>
        <w:t>Question 11: Additional Clinical Confirmatory Approaches FDA Should Add: FDA’s list is strong but incomplete. Additional approaches for GenAI include:</w:t>
      </w:r>
    </w:p>
    <w:p>
      <w:r>
        <w:rPr>
          <w:color w:val="777777"/>
          <w:sz w:val="16"/>
        </w:rPr>
        <w:t xml:space="preserve">p027 · att1 p.4  </w:t>
      </w:r>
      <w:r>
        <w:t>• Hallucination &amp; Adversarial Stress Testing: Inputs designed to provoke hallucinations, misleading outputs, or unsafe reasoning. • Bias, Fairness, and Representativeness Evaluation: Testing across demographic groups, comorbidities, and underrepresented clinical conditions. • Drift and update impact analysis: Pre‑ and post‑update testing, stability testing, and drift detection. • Testing in different clinical contexts and environments: Emergency departments, inpatient, outpatient, specialty settings, and varied workflows. • Human factors testing: Provider and patient comprehension, over‑reliance, safeguard functioning, and clarity of uncertainty indicators.</w:t>
      </w:r>
    </w:p>
    <w:p>
      <w:r>
        <w:rPr>
          <w:color w:val="777777"/>
          <w:sz w:val="16"/>
        </w:rPr>
        <w:t xml:space="preserve">p028 · att1 p.4  </w:t>
      </w:r>
      <w:r>
        <w:t>Sincerely,</w:t>
      </w:r>
    </w:p>
    <w:p>
      <w:r>
        <w:rPr>
          <w:color w:val="777777"/>
          <w:sz w:val="16"/>
        </w:rPr>
        <w:t xml:space="preserve">p029 · att1 p.4  </w:t>
      </w:r>
      <w:r>
        <w:t>Digitally signed by Mitchell Berger DN: cn=Mitchell Berger, c=US, email=mazruia@hotmail.com Date: 2026.08.25 21:23:23 -04'00' Mitchell</w:t>
      </w:r>
    </w:p>
    <w:p>
      <w:r>
        <w:rPr>
          <w:color w:val="777777"/>
          <w:sz w:val="16"/>
        </w:rPr>
        <w:t xml:space="preserve">p030 · att1 p.4  </w:t>
      </w:r>
      <w:r>
        <w:t>Berger — Mitchell Berger — Note: Please note that I am submitting these suggestions in my personal/private capacity. The views expressed are mine only and should not be imputed to other individuals nor to any public or private entity.</w:t>
      </w:r>
    </w:p>
    <w:p>
      <w:r>
        <w:rPr>
          <w:color w:val="777777"/>
          <w:sz w:val="16"/>
        </w:rPr>
        <w:t xml:space="preserve">p031 · att1 p.4  </w:t>
      </w:r>
      <w:r>
        <w:t>Page4</w:t>
      </w:r>
    </w:p>
    <w:p>
      <w:pPr>
        <w:pStyle w:val="Heading1"/>
        <w:pageBreakBefore/>
      </w:pPr>
      <w:r>
        <w:t>FDA-2026-N-7874-0039</w:t>
      </w:r>
    </w:p>
    <w:p>
      <w:r>
        <w:t>Comment from Anonymous</w:t>
      </w:r>
    </w:p>
    <w:p>
      <w:r>
        <w:rPr>
          <w:color w:val="777777"/>
          <w:sz w:val="18"/>
        </w:rPr>
        <w:t>received 2026-08-26</w:t>
      </w:r>
    </w:p>
    <w:p>
      <w:r>
        <w:rPr>
          <w:color w:val="777777"/>
          <w:sz w:val="16"/>
        </w:rPr>
        <w:t xml:space="preserve">p001 · body  </w:t>
      </w:r>
      <w:r>
        <w:t>I suggest focusing your feedback on these five key areas: 1.Performance evaluation: Define clear, clinically meaningful performance metrics, acceptance thresholds, critical-error criteria, and subgroup performance requirements.</w:t>
      </w:r>
    </w:p>
    <w:p>
      <w:r>
        <w:rPr>
          <w:color w:val="777777"/>
          <w:sz w:val="16"/>
        </w:rPr>
        <w:t xml:space="preserve">p002 · body  </w:t>
      </w:r>
      <w:r>
        <w:t>2. Risk assessment: Consider expanding the two-axis risk framework to include autonomy, detectability, reversibility, human oversight, patient vulnerability, and potential severity of harm.</w:t>
      </w:r>
    </w:p>
    <w:p>
      <w:r>
        <w:rPr>
          <w:color w:val="777777"/>
          <w:sz w:val="16"/>
        </w:rPr>
        <w:t xml:space="preserve">p003 · body  </w:t>
      </w:r>
      <w:r>
        <w:t>3. Training &amp; retraining: Establish clear requirements for model retraining, including documentation of training-data changes, version control, bias assessment, and performance comparison before and after retraining.</w:t>
      </w:r>
    </w:p>
    <w:p>
      <w:r>
        <w:rPr>
          <w:color w:val="777777"/>
          <w:sz w:val="16"/>
        </w:rPr>
        <w:t xml:space="preserve">p004 · body  </w:t>
      </w:r>
      <w:r>
        <w:t>4. Postmarket monitoring: Include proactive monitoring of performance drift, clinically significant errors, near misses, clinician overrides, subgroup performance, and changes in real-world data.</w:t>
      </w:r>
    </w:p>
    <w:p>
      <w:r>
        <w:rPr>
          <w:color w:val="777777"/>
          <w:sz w:val="16"/>
        </w:rPr>
        <w:t xml:space="preserve">p005 · body  </w:t>
      </w:r>
      <w:r>
        <w:t>5. Modification &amp; revalidation: Define risk-based triggers for reassessment following software updates, algorithm revisions, retraining, or third-party foundation-model changes. Re-benchmarking against the original premarket baseline could provide a practical approach.</w:t>
      </w:r>
    </w:p>
    <w:p>
      <w:r>
        <w:rPr>
          <w:color w:val="777777"/>
          <w:sz w:val="16"/>
        </w:rPr>
        <w:t xml:space="preserve">p006 · body  </w:t>
      </w:r>
      <w:r>
        <w:t>Overall recommendation: Adopt a continuous, risk-adaptive TPLC framework linking premarket evaluation → deployment → postmarket monitoring → retraining/modification → revalidation. This would help maintain safety and effectiveness as GenAI devices evolve.</w:t>
      </w:r>
    </w:p>
    <w:p>
      <w:pPr>
        <w:pStyle w:val="Heading1"/>
        <w:pageBreakBefore/>
      </w:pPr>
      <w:r>
        <w:t>FDA-2026-N-7874-0040</w:t>
      </w:r>
    </w:p>
    <w:p>
      <w:r>
        <w:t>Comment from Amber Garner</w:t>
      </w:r>
    </w:p>
    <w:p>
      <w:r>
        <w:rPr>
          <w:color w:val="777777"/>
          <w:sz w:val="18"/>
        </w:rPr>
        <w:t>Health Care Association - D0022 · received 2026-08-26</w:t>
      </w:r>
    </w:p>
    <w:p>
      <w:r>
        <w:rPr>
          <w:color w:val="777777"/>
          <w:sz w:val="16"/>
        </w:rPr>
        <w:t xml:space="preserve">p001 · body  </w:t>
      </w:r>
      <w:r>
        <w:t>Stop Copyrighting, Trademarking, Patenting People's Hardware/Software, Paternity Orders and turning them into Guardianship Orders using a DDC Paternity Test #2116477 (Trademark not labeled as one), to control people's lifes through some created human Genome, generative AI without consent. Let me be very clear, no one has the right to do that. No one has my permission to do experimental treatments, medications and patent, trademark, or copyright it and give me fabricated bank accounts, prescriptions, maintain total control of my medical, my privacy, everything while acting as another company. This needs to end immediately. Leaving individuals without hot water, air due to a flood and can't even turn it in on their fabricated home owners insurance, access to bank accounts, money, groceries, my vital information, my daughter's vital information. Robbing a 6 year old little girl of her own identity for your control and research is Fraud, sick, and you should be prosecuted to the fullest extent. We dont own other humans in America despite what you have attempted and gotten away with. Id gladly exploit you, but you hide behind logos of other companies, create obscene unrealistic terms and conditions leaving people with no way out, and no one can tell them. You'll find out soon, the whole world will when I go to the media. You have no right controlling me, the car I thought I brought, with universal insurance, all fraud unless I was fully aware that I was agreeing to anything more than insurance,or Paternity. Tricking people is not legal. To say I fully ABSOLUTELY do NOT support the power and control of another person's live, their children's life ( Spirea-Millenium) Digital Millennium Rights, is an understatement. I will fully admit i do not understand technology, or any of this, but when im struggling to provide food because I can't apply for assistance after all this created fraud cost me my job (no one can tell), without remaining in what appears to be a very corrupted organized crime medical arrangement, and Im left having to borrow money for toilet paper, and your IVD Child Support doesn't cover bills and food, while recreating and adding to the bills, Im not sure how to see the positive in that. Redacting my information to do experiments. No thanks- generative. I opt out</w:t>
      </w:r>
    </w:p>
    <w:p>
      <w:pPr>
        <w:pStyle w:val="Heading1"/>
        <w:pageBreakBefore/>
      </w:pPr>
      <w:r>
        <w:t>FDA-2026-N-7874-0041</w:t>
      </w:r>
    </w:p>
    <w:p>
      <w:r>
        <w:t>Comment from Amber Garner</w:t>
      </w:r>
    </w:p>
    <w:p>
      <w:r>
        <w:rPr>
          <w:color w:val="777777"/>
          <w:sz w:val="18"/>
        </w:rPr>
        <w:t>Health Care Association - D0022 · received 2026-08-26</w:t>
      </w:r>
    </w:p>
    <w:p>
      <w:r>
        <w:rPr>
          <w:i/>
        </w:rPr>
        <w:t>Text identical to FDA-2026-N-7874-0040.</w:t>
      </w:r>
    </w:p>
    <w:p>
      <w:pPr>
        <w:pStyle w:val="Heading1"/>
        <w:pageBreakBefore/>
      </w:pPr>
      <w:r>
        <w:t>FDA-2026-N-7874-0042</w:t>
      </w:r>
    </w:p>
    <w:p>
      <w:r>
        <w:t>Comment from Tanmaya Kumar</w:t>
      </w:r>
    </w:p>
    <w:p>
      <w:r>
        <w:rPr>
          <w:color w:val="777777"/>
          <w:sz w:val="18"/>
        </w:rPr>
        <w:t>Other Organizations - E0003 · received 2026-08-26 · attachments: attachment_1.docx</w:t>
      </w:r>
    </w:p>
    <w:p>
      <w:r>
        <w:rPr>
          <w:color w:val="777777"/>
          <w:sz w:val="16"/>
        </w:rPr>
        <w:t xml:space="preserve">p001 · body  </w:t>
      </w:r>
      <w:r>
        <w:t>This comment responds to discussion questions 1, 19, 20, 21, and 26. A fuller comment is attached.</w:t>
      </w:r>
    </w:p>
    <w:p>
      <w:r>
        <w:rPr>
          <w:color w:val="777777"/>
          <w:sz w:val="16"/>
        </w:rPr>
        <w:t xml:space="preserve">p002 · body  </w:t>
      </w:r>
      <w:r>
        <w:t>INTEREST AND DISCLOSURE — I maintain an open source healthcare audit standard and its reference implementations, published under Apache 2.0 at github.com/bh-healthcare. The work concerns how clinical systems record actions taken by AI agents, and how such records name the human accountable for an agent's action. I am not a device manufacturer and have no product before the Agency. I have no commercial interest in this proceeding, and the artifacts referenced are published openly at no cost. I am an individual member of HL7 International with an open technical contribution before the HL7 Security and Privacy Work Group on the matter described below.</w:t>
      </w:r>
    </w:p>
    <w:p>
      <w:r>
        <w:rPr>
          <w:color w:val="777777"/>
          <w:sz w:val="16"/>
        </w:rPr>
        <w:t xml:space="preserve">p003 · body  </w:t>
      </w:r>
      <w:r>
        <w:t>SUMMARY — The activity axis in Figure 1 distinguishes an action-taking function operating under healthcare professional supervision from one operating fully autonomously. That distinction is central to the proposed risk framework. It is also, at present, not verifiable from the records a clinical system produces.</w:t>
      </w:r>
    </w:p>
    <w:p>
      <w:r>
        <w:rPr>
          <w:color w:val="777777"/>
          <w:sz w:val="16"/>
        </w:rPr>
        <w:t xml:space="preserve">p004 · body  </w:t>
      </w:r>
      <w:r>
        <w:t>Healthcare audit standards, including HL7 FHIR R5 AuditEvent, model a single actor per event. That model was correct for as long as the identity that authenticated, the entity that acted, and the person whose intent was carried out were the same human. An AI agent separates those three, and a single actor field collapses them. A device authorized on the basis that it acts under continuous professional supervision, which then operates without it, produces records indistinguishable from the supervised case. The drift is not merely difficult to detect. It is not represented in the record at all.</w:t>
      </w:r>
    </w:p>
    <w:p>
      <w:r>
        <w:rPr>
          <w:color w:val="777777"/>
          <w:sz w:val="16"/>
        </w:rPr>
        <w:t xml:space="preserve">p005 · body  </w:t>
      </w:r>
      <w:r>
        <w:t>QUESTION 1: TRACEABILITY OF ATTRIBUTION AS A FRAMEWORK DIMENSION — Traceability of an output to its source materials and traceability of an action to an accountable person are distinct concerns. The second is load-bearing for the activity axis, because a function's position on that axis is a claim about whose clinical intent an action represents. Three identities separate when an agent acts: the authenticating identity, whose credentials were presented; the acting identity, which entity performed the action; and the authorizing identity, whose intent the action represents. A framework dimension for attribution traceability would ask whether a device's records preserve that distinction, and would place a device that cannot at higher risk than one that can, holding activity and consequence constant.</w:t>
      </w:r>
    </w:p>
    <w:p>
      <w:r>
        <w:rPr>
          <w:color w:val="777777"/>
          <w:sz w:val="16"/>
        </w:rPr>
        <w:t xml:space="preserve">p006 · body  </w:t>
      </w:r>
      <w:r>
        <w:t>The attached comment discusses a public reference implementation that treats traceability thoroughly and still cannot produce a record from which the supervision relationship is recoverable, because its trace lives in platform telemetry rather than in the audit record.</w:t>
      </w:r>
    </w:p>
    <w:p>
      <w:r>
        <w:rPr>
          <w:color w:val="777777"/>
          <w:sz w:val="16"/>
        </w:rPr>
        <w:t xml:space="preserve">p007 · body  </w:t>
      </w:r>
      <w:r>
        <w:t>QUESTION 20: ATTRIBUTION AS A PRECONDITION FOR SUPERVISORY AGENTS — A supervisory agent monitoring a subject agent is one automated system acting with respect to another. HL7 publishes an extension, auditevent-OnBehalfOf, whose description names the agent-acting-for-agent case, but whose value binding permits only Organization, Patient, Practitioner, PractitionerRole, RelatedPerson, and CareTeam. Device is excluded, while AuditEvent.agent.who permits Device, so the case the description names is not expressible. The extension carries no child elements, so the requestor flag remains on the agent, and a requestor=true access review returns the machine rather than the accountable clinician. It is marked Draft, maturity level 1, and used by no profile in the specification. I raise this to identify a specific and remediable gap, not as a criticism of HL7's process.</w:t>
      </w:r>
    </w:p>
    <w:p>
      <w:r>
        <w:rPr>
          <w:color w:val="777777"/>
          <w:sz w:val="16"/>
        </w:rPr>
        <w:t xml:space="preserve">p008 · body  </w:t>
      </w:r>
      <w:r>
        <w:t>QUESTIONS 26 AND 19: TESTABLE ACCEPTANCE CRITERIA — Appendix A element A.1 names compliance with human-oversight checkpoints before irreversible or high-consequence actions. I suggest that compliance also needs to be recorded in a form that survives to postmarket review, and that three properties are testable candidates: that attribution is emitted rather than inferred by a later reviewer; that an agent action without a resolvable authorizing human is positively representable and distinguishable from an omitted field; and that the strength of an attribution is stated, so that an identity derived from an issued token does not serialize identically to one asserted by the agent itself. These are properties of the emitted record rather than of the model, so they can be evaluated without access to model internals or to a third-party foundation model's architecture.</w:t>
      </w:r>
    </w:p>
    <w:p>
      <w:r>
        <w:rPr>
          <w:color w:val="777777"/>
          <w:sz w:val="16"/>
        </w:rPr>
        <w:t xml:space="preserve">p009 · body  </w:t>
      </w:r>
      <w:r>
        <w:t>QUESTION 21: STANDARDS BODIES — The gap above has an identified owner and an open technical process. Agency interest expressed as an expectation about what records should preserve would likely move it faster than new regulatory requirements would.</w:t>
      </w:r>
    </w:p>
    <w:p>
      <w:r>
        <w:rPr>
          <w:color w:val="777777"/>
          <w:sz w:val="16"/>
        </w:rPr>
        <w:t xml:space="preserve">p010 · body  </w:t>
      </w:r>
      <w:r>
        <w:t>AVAILABILITY — The specification, the FHIR R5 profile, and the reference implementations are at github.com/bh-healthcare, with a technical report at doi 10.5281/zenodo.21682867.</w:t>
      </w:r>
    </w:p>
    <w:p>
      <w:r>
        <w:rPr>
          <w:color w:val="777777"/>
          <w:sz w:val="16"/>
        </w:rPr>
        <w:t xml:space="preserve">p011 · body  </w:t>
      </w:r>
      <w:r>
        <w:t>Tanmaya Kumar</w:t>
      </w:r>
    </w:p>
    <w:p>
      <w:r>
        <w:rPr>
          <w:color w:val="777777"/>
          <w:sz w:val="16"/>
        </w:rPr>
        <w:t xml:space="preserve">p012 · att1  </w:t>
      </w:r>
      <w:r>
        <w:t>Comment on Docket No. FDA-2026-N-7874 — Considerations for the Regulation of Generative AI-Enabled Medical Devices: Discussion Paper and Request for Feedback</w:t>
      </w:r>
    </w:p>
    <w:p>
      <w:r>
        <w:rPr>
          <w:color w:val="777777"/>
          <w:sz w:val="16"/>
        </w:rPr>
        <w:t xml:space="preserve">p013 · att1  </w:t>
      </w:r>
      <w:r>
        <w:t>Submitted by: Tanmaya Kumar, Behavioral Health Open Source (bh-healthcare.org) Date: August 26, 2026 Responding to discussion questions: 1, 19, 20, 21, 26</w:t>
      </w:r>
    </w:p>
    <w:p>
      <w:r>
        <w:rPr>
          <w:color w:val="777777"/>
          <w:sz w:val="16"/>
        </w:rPr>
        <w:t xml:space="preserve">p014 · att1  </w:t>
      </w:r>
      <w:r>
        <w:t>Interest and disclosure — I maintain an open source healthcare audit standard and its reference implementations, published under the Apache 2.0 license at github.com/bh-healthcare. The work addresses how clinical systems record actions taken by AI agents, specifically how such records name the human accountable for an agent’s action.</w:t>
      </w:r>
    </w:p>
    <w:p>
      <w:r>
        <w:rPr>
          <w:color w:val="777777"/>
          <w:sz w:val="16"/>
        </w:rPr>
        <w:t xml:space="preserve">p015 · att1  </w:t>
      </w:r>
      <w:r>
        <w:t>I am not a device manufacturer and have no product before the Agency. I have no commercial interest in the outcome of this proceeding. The artifacts referenced below are published openly, at no cost, with no associated commercial offering. I am an individual member of HL7 International and have an open technical contribution before the HL7 Security and Privacy Work Group concerning the matter described in Section 3.</w:t>
      </w:r>
    </w:p>
    <w:p>
      <w:r>
        <w:rPr>
          <w:color w:val="777777"/>
          <w:sz w:val="16"/>
        </w:rPr>
        <w:t xml:space="preserve">p016 · att1  </w:t>
      </w:r>
      <w:r>
        <w:t>This comment concerns one gap that runs through several of the Agency’s discussion questions, and it is offered because the gap is mechanical and checkable rather than a matter of opinion.</w:t>
      </w:r>
    </w:p>
    <w:p>
      <w:r>
        <w:rPr>
          <w:color w:val="777777"/>
          <w:sz w:val="16"/>
        </w:rPr>
        <w:t xml:space="preserve">p017 · att1  </w:t>
      </w:r>
      <w:r>
        <w:t>1. Summary — The activity axis in Figure 1 distinguishes an action-taking function operating under healthcare professional supervision from one operating fully autonomously. That distinction is central to the proposed risk framework. It is also, at present, not verifiable from the records a clinical system produces.</w:t>
      </w:r>
    </w:p>
    <w:p>
      <w:r>
        <w:rPr>
          <w:color w:val="777777"/>
          <w:sz w:val="16"/>
        </w:rPr>
        <w:t xml:space="preserve">p018 · att1  </w:t>
      </w:r>
      <w:r>
        <w:t>Healthcare audit standards, including HL7 FHIR R5 AuditEvent, model a single actor per event. That model was correct for as long as the identity that authenticated, the entity that acted, and the person whose intent was carried out were the same human. An AI agent operating clinical software separates those three, and a single actor field collapses them. The record that results cannot distinguish an action a clinician authorized from one the agent took on its own.</w:t>
      </w:r>
    </w:p>
    <w:p>
      <w:r>
        <w:rPr>
          <w:color w:val="777777"/>
          <w:sz w:val="16"/>
        </w:rPr>
        <w:t xml:space="preserve">p019 · att1  </w:t>
      </w:r>
      <w:r>
        <w:t>The consequence for this framework is direct. A device authorized on the basis that it acts under continuous professional supervision, which then operates without that supervision in practice, produces audit records that are indistinguishable from the supervised case. The drift is not merely hard to detect. It is not represented in the record at all.</w:t>
      </w:r>
    </w:p>
    <w:p>
      <w:r>
        <w:rPr>
          <w:color w:val="777777"/>
          <w:sz w:val="16"/>
        </w:rPr>
        <w:t xml:space="preserve">p020 · att1  </w:t>
      </w:r>
      <w:r>
        <w:t>I suggest that traceability of attribution belongs in the risk framework as the Agency invites in Question 1, that it is a precondition rather than a feature for the supervisory-agent approach contemplated in Question 20, and that it is a specific and testable acceptance criterion for the agentic devices addressed in Question 26.</w:t>
      </w:r>
    </w:p>
    <w:p>
      <w:r>
        <w:rPr>
          <w:color w:val="777777"/>
          <w:sz w:val="16"/>
        </w:rPr>
        <w:t xml:space="preserve">p021 · att1  </w:t>
      </w:r>
      <w:r>
        <w:t>2. Response to Question 1: attribution traceability as a framework dimension — Question 1 asks whether additional dimensions, including the traceability of the output, should be represented in the risk framework.</w:t>
      </w:r>
    </w:p>
    <w:p>
      <w:r>
        <w:rPr>
          <w:color w:val="777777"/>
          <w:sz w:val="16"/>
        </w:rPr>
        <w:t xml:space="preserve">p022 · att1  </w:t>
      </w:r>
      <w:r>
        <w:t>I suggest that traceability of the output to source materials and traceability of the action to an accountable person are distinct concerns, and that the second is load-bearing for the activity axis specifically.</w:t>
      </w:r>
    </w:p>
    <w:p>
      <w:r>
        <w:rPr>
          <w:color w:val="777777"/>
          <w:sz w:val="16"/>
        </w:rPr>
        <w:t xml:space="preserve">p023 · att1  </w:t>
      </w:r>
      <w:r>
        <w:t>The activity axis positions a function according to how independently it directs or takes action. The paper states that a function acting with continuous professional supervision is meaningfully different from one acting in fully autonomous fashion. That is correct and it is the right distinction to draw. It also creates an evidentiary obligation: for the distinction to carry regulatory weight across the total product life cycle, a deployed system must be able to demonstrate which side of it a given action fell on.</w:t>
      </w:r>
    </w:p>
    <w:p>
      <w:r>
        <w:rPr>
          <w:color w:val="777777"/>
          <w:sz w:val="16"/>
        </w:rPr>
        <w:t xml:space="preserve">p024 · att1  </w:t>
      </w:r>
      <w:r>
        <w:t>Three identities separate when an agent acts in a clinical system, and each answers a different question:</w:t>
      </w:r>
    </w:p>
    <w:p>
      <w:r>
        <w:rPr>
          <w:color w:val="777777"/>
          <w:sz w:val="16"/>
        </w:rPr>
        <w:t xml:space="preserve">p025 · att1  </w:t>
      </w:r>
      <w:r>
        <w:t>Authenticating identity. Whose credentials were presented to the target system.</w:t>
      </w:r>
    </w:p>
    <w:p>
      <w:r>
        <w:rPr>
          <w:color w:val="777777"/>
          <w:sz w:val="16"/>
        </w:rPr>
        <w:t xml:space="preserve">p026 · att1  </w:t>
      </w:r>
      <w:r>
        <w:t>Acting identity. Which entity performed the action.</w:t>
      </w:r>
    </w:p>
    <w:p>
      <w:r>
        <w:rPr>
          <w:color w:val="777777"/>
          <w:sz w:val="16"/>
        </w:rPr>
        <w:t xml:space="preserve">p027 · att1  </w:t>
      </w:r>
      <w:r>
        <w:t>Authorizing identity. Whose clinical intent the action represents.</w:t>
      </w:r>
    </w:p>
    <w:p>
      <w:r>
        <w:rPr>
          <w:color w:val="777777"/>
          <w:sz w:val="16"/>
        </w:rPr>
        <w:t xml:space="preserve">p028 · att1  </w:t>
      </w:r>
      <w:r>
        <w:t>For direct human action all three coincide, which is why one field sufficed. For an agent operating under a clinician’s authorization they are three different things, and the position of the function on the activity axis is a claim about the third one.</w:t>
      </w:r>
    </w:p>
    <w:p>
      <w:r>
        <w:rPr>
          <w:color w:val="777777"/>
          <w:sz w:val="16"/>
        </w:rPr>
        <w:t xml:space="preserve">p029 · att1  </w:t>
      </w:r>
      <w:r>
        <w:t>A framework dimension for attribution traceability would ask whether a device’s emitted records preserve the distinction between these identities, and would place a device that cannot preserve it at higher risk than one that can, holding activity and consequence constant. The rationale is that supervision claimed at authorization but unverifiable in deployment is not equivalent to supervision that can be shown.</w:t>
      </w:r>
    </w:p>
    <w:p>
      <w:r>
        <w:rPr>
          <w:color w:val="777777"/>
          <w:sz w:val="16"/>
        </w:rPr>
        <w:t xml:space="preserve">p030 · att1  </w:t>
      </w:r>
      <w:r>
        <w:t>A concrete illustration. A publicly documented reference implementation, FHIR Agent Studio, demonstrates the gap without any of the shortcuts that would make it an unfair example. It comprises twelve clinical agents running against a synthetic FHIR repository on a widely deployed health data platform, and its author describes it as a prototype rather than a product. Its treatment of transparency is thorough. Each run retains the assembled prompt and the raw model response, a replayable trace of the full message flow including the record read, the query, the retrieval step, and the model call, and a response history recording each model output with its prompt, a timestamp, and a hash. Every action the agents propose is a draft that a clinician approves before anything is written.</w:t>
      </w:r>
    </w:p>
    <w:p>
      <w:r>
        <w:rPr>
          <w:color w:val="777777"/>
          <w:sz w:val="16"/>
        </w:rPr>
        <w:t xml:space="preserve">p031 · att1  </w:t>
      </w:r>
      <w:r>
        <w:t>That design is careful, and the constraint it runs into is structural rather than a defect of the implementation. The trace is held in the platform’s interoperability layer, not in the standard audit record. It does not travel with the clinical data and it is not what an oversight query reads. At the approval step, what enters the clinical record is a resource attributed to the approving clinician. The agent’s participation persists only in vendor-specific platform telemetry, correlated to the clinical record by nothing durable within it. Reading the record afterward, an investigator cannot distinguish a resource the clinician composed from one an agent drafted and the clinician approved.</w:t>
      </w:r>
    </w:p>
    <w:p>
      <w:r>
        <w:rPr>
          <w:color w:val="777777"/>
          <w:sz w:val="16"/>
        </w:rPr>
        <w:t xml:space="preserve">p032 · att1  </w:t>
      </w:r>
      <w:r>
        <w:t>This is precisely the human-supervised band of the activity axis in Figure 1. A well-built implementation, on a mainstream platform, operating exactly as intended, produces a record from which the supervision relationship cannot be recovered. The retention of prompts and model outputs illustrates a related point: that content is appropriate for a synthetic corpus, but persisting it over real patients creates a disclosure surface subject to minimum-necessary and, for substance use disorder records, 42 CFR Part 2 constraints. Attribution is better carried as scalar metadata in the audit record than as retained model content, because the metadata form can be preserved indefinitely without creating that surface.</w:t>
      </w:r>
    </w:p>
    <w:p>
      <w:r>
        <w:rPr>
          <w:color w:val="777777"/>
          <w:sz w:val="16"/>
        </w:rPr>
        <w:t xml:space="preserve">p033 · att1  </w:t>
      </w:r>
      <w:r>
        <w:t>3. Response to Question 20: attribution is a precondition for machine-based supervisory agents</w:t>
      </w:r>
    </w:p>
    <w:p>
      <w:r>
        <w:rPr>
          <w:color w:val="777777"/>
          <w:sz w:val="16"/>
        </w:rPr>
        <w:t xml:space="preserve">p034 · att1  </w:t>
      </w:r>
      <w:r>
        <w:t>Question 20 asks whether postmarket monitoring can be facilitated by machine-based supervisory agents, and what considerations, including the evaluation and reliability of the supervisory agent itself, the Agency should take into account.</w:t>
      </w:r>
    </w:p>
    <w:p>
      <w:r>
        <w:rPr>
          <w:color w:val="777777"/>
          <w:sz w:val="16"/>
        </w:rPr>
        <w:t xml:space="preserve">p035 · att1  </w:t>
      </w:r>
      <w:r>
        <w:t>A supervisory agent monitoring a subject agent is an instance of one automated system acting with respect to another. If the supervisory agent takes any action, whether flagging, escalating, or intervening, its own actions enter the record. The record must then represent an agent acting in a chain, under authority that traces back to an accountable human somewhere.</w:t>
      </w:r>
    </w:p>
    <w:p>
      <w:r>
        <w:rPr>
          <w:color w:val="777777"/>
          <w:sz w:val="16"/>
        </w:rPr>
        <w:t xml:space="preserve">p036 · att1  </w:t>
      </w:r>
      <w:r>
        <w:t>The current standard cannot express this. HL7 publishes an extension, auditevent-OnBehalfOf (canonical http://hl7.org/fhir/StructureDefinition/auditevent-OnBehalfOf, version 5.3.0, standards status Draft, maturity level 1). Its description reads: “When an AuditEvent is attributed to an agent that is acting on behalf of another agent. Typically needed when multiple agents are acting on behalf of different organizations, and when PractitionerRole is not appropriate.”</w:t>
      </w:r>
    </w:p>
    <w:p>
      <w:r>
        <w:rPr>
          <w:color w:val="777777"/>
          <w:sz w:val="16"/>
        </w:rPr>
        <w:t xml:space="preserve">p037 · att1  </w:t>
      </w:r>
      <w:r>
        <w:t>The first sentence names the agent-acting-for-agent case. The second scopes the typical need to organizational affiliation. The artifact implements the second. Extension.value[x] is a required Reference bound to Organization, Patient, Practitioner, PractitionerRole, RelatedPerson, and CareTeam. AuditEvent.agent.who permits Device. A Device can therefore act, but cannot be named as the entity acted for, and the case the first sentence names is not expressible.</w:t>
      </w:r>
    </w:p>
    <w:p>
      <w:r>
        <w:rPr>
          <w:color w:val="777777"/>
          <w:sz w:val="16"/>
        </w:rPr>
        <w:t xml:space="preserve">p038 · att1  </w:t>
      </w:r>
      <w:r>
        <w:t>A second effect compounds this. The requestor flag is a sibling of who on the agent element. Extension.extension on this extension has a maximum cardinality of zero, so the extension carries no child elements and there is no location on the referent that could hold a requestor indication. Applying the extension to an agent action therefore leaves requestor on the agent. The most standard access-review query in FHIR, filtering on requestor = true, returns the machine rather than the accountable clinician. That query is the operation an investigator, an auditor, or a compliance officer performs.</w:t>
      </w:r>
    </w:p>
    <w:p>
      <w:r>
        <w:rPr>
          <w:color w:val="777777"/>
          <w:sz w:val="16"/>
        </w:rPr>
        <w:t xml:space="preserve">p039 · att1  </w:t>
      </w:r>
      <w:r>
        <w:t>The specification page states that the committee is seeking implementation feedback, and records that the extension is not used by any profile in the specification. The underlying change request, FHIR-40293, records the motivating use case as two practitioners working on behalf of different organizations, resolved as a non-substantive change in February 2023. An alternative considered in that ticket, an agent.agent element relating one agent to another, was set aside because no case before the work group at the time required it.</w:t>
      </w:r>
    </w:p>
    <w:p>
      <w:r>
        <w:rPr>
          <w:color w:val="777777"/>
          <w:sz w:val="16"/>
        </w:rPr>
        <w:t xml:space="preserve">p040 · att1  </w:t>
      </w:r>
      <w:r>
        <w:t>I raise this not as a criticism of HL7’s process, which behaved correctly given the cases before it, but to identify a specific and remediable gap between what the Agency is contemplating and what the interoperability standards currently support. A supervisory-agent monitoring architecture would produce records that cannot distinguish the supervisor from the supervised, and cannot trace either to the human whose authority they operate under.</w:t>
      </w:r>
    </w:p>
    <w:p>
      <w:r>
        <w:rPr>
          <w:color w:val="777777"/>
          <w:sz w:val="16"/>
        </w:rPr>
        <w:t xml:space="preserve">p041 · att1  </w:t>
      </w:r>
      <w:r>
        <w:t>Suggested consideration. Before a supervisory-agent approach is relied upon for postmarket monitoring, the Agency may wish to consider whether the records such an architecture produces are capable of expressing the supervisory relationship at all, and to encourage or reference standards work that closes the gap.</w:t>
      </w:r>
    </w:p>
    <w:p>
      <w:r>
        <w:rPr>
          <w:color w:val="777777"/>
          <w:sz w:val="16"/>
        </w:rPr>
        <w:t xml:space="preserve">p042 · att1  </w:t>
      </w:r>
      <w:r>
        <w:t>4. Response to Question 26: attribution as an acceptance criterion for agentic devices</w:t>
      </w:r>
    </w:p>
    <w:p>
      <w:r>
        <w:rPr>
          <w:color w:val="777777"/>
          <w:sz w:val="16"/>
        </w:rPr>
        <w:t xml:space="preserve">p043 · att1  </w:t>
      </w:r>
      <w:r>
        <w:t>Question 26 asks what additional considerations inform the evaluation of agentic GenAI-enabled devices, and how the elevated risk associated with autonomous multi-step action, tool use, and reduced opportunity for human review should be reflected in acceptance criteria and oversight.</w:t>
      </w:r>
    </w:p>
    <w:p>
      <w:r>
        <w:rPr>
          <w:color w:val="777777"/>
          <w:sz w:val="16"/>
        </w:rPr>
        <w:t xml:space="preserve">p044 · att1  </w:t>
      </w:r>
      <w:r>
        <w:t>Appendix A element A.1 already names the relevant behavior: compliance with human-oversight checkpoints before irreversible or high-consequence actions. That is the right thing to benchmark. I suggest that it also needs to be recorded, and recorded in a form that survives to postmarket review.</w:t>
      </w:r>
    </w:p>
    <w:p>
      <w:r>
        <w:rPr>
          <w:color w:val="777777"/>
          <w:sz w:val="16"/>
        </w:rPr>
        <w:t xml:space="preserve">p045 · att1  </w:t>
      </w:r>
      <w:r>
        <w:t>A benchmark demonstrates that the device honors an oversight checkpoint under test conditions. A record demonstrates that it did so on a particular occasion in production. The second is what postmarket monitoring reads, what an adverse event investigation reconstructs, and what distinguishes a device operating within its authorized envelope from one that has drifted outside it.</w:t>
      </w:r>
    </w:p>
    <w:p>
      <w:r>
        <w:rPr>
          <w:color w:val="777777"/>
          <w:sz w:val="16"/>
        </w:rPr>
        <w:t xml:space="preserve">p046 · att1  </w:t>
      </w:r>
      <w:r>
        <w:t>Three properties are testable and I suggest they are candidates for acceptance criteria for agentic devices:</w:t>
      </w:r>
    </w:p>
    <w:p>
      <w:r>
        <w:rPr>
          <w:color w:val="777777"/>
          <w:sz w:val="16"/>
        </w:rPr>
        <w:t xml:space="preserve">p047 · att1  </w:t>
      </w:r>
      <w:r>
        <w:t>Attribution is emitted, not inferred. The record states which entity acted and which human authorized it, rather than leaving the relationship to be reconstructed by a reviewer from timing or context. Reconstruction after the fact is not reliable and does not survive personnel change.</w:t>
      </w:r>
    </w:p>
    <w:p>
      <w:r>
        <w:rPr>
          <w:color w:val="777777"/>
          <w:sz w:val="16"/>
        </w:rPr>
        <w:t xml:space="preserve">p048 · att1  </w:t>
      </w:r>
      <w:r>
        <w:t>An unattributed agent action is representable and distinguishable. A device that acts without a resolvable authorizing human should produce a record that says so, positively, rather than a record that omits the field or a record that is not produced at all. An action that leaves no record is indistinguishable from an action that never occurred, and the denial rate is itself the clearest signal that an oversight mechanism is failing.</w:t>
      </w:r>
    </w:p>
    <w:p>
      <w:r>
        <w:rPr>
          <w:color w:val="777777"/>
          <w:sz w:val="16"/>
        </w:rPr>
        <w:t xml:space="preserve">p049 · att1  </w:t>
      </w:r>
      <w:r>
        <w:t>The strength of the attribution is stated. An authorizing identity derived from a token issued by an identity provider is a different evidentiary object from one asserted by the agent in the call. Both may be acceptable depending on risk profile, but they should not serialize identically, because a consumer cannot then tell a deployment running full identity verification from one accepting the agent’s own claim.</w:t>
      </w:r>
    </w:p>
    <w:p>
      <w:r>
        <w:rPr>
          <w:color w:val="777777"/>
          <w:sz w:val="16"/>
        </w:rPr>
        <w:t xml:space="preserve">p050 · att1  </w:t>
      </w:r>
      <w:r>
        <w:t>These are properties of the emitted record rather than of the model, which means they can be evaluated without access to model internals or to a third-party foundation model’s architecture. That may be useful given the visibility constraints the paper describes in Section II and Section VII.A.</w:t>
      </w:r>
    </w:p>
    <w:p>
      <w:r>
        <w:rPr>
          <w:color w:val="777777"/>
          <w:sz w:val="16"/>
        </w:rPr>
        <w:t xml:space="preserve">p051 · att1  </w:t>
      </w:r>
      <w:r>
        <w:t>Note also that footnote 24 already contemplates audit log availability as content for a voluntary Foundation Model Master File. The consideration above is the complement at the device layer: not whether logs exist, but whether their structure preserves the accountability relationship.</w:t>
      </w:r>
    </w:p>
    <w:p>
      <w:r>
        <w:rPr>
          <w:color w:val="777777"/>
          <w:sz w:val="16"/>
        </w:rPr>
        <w:t xml:space="preserve">p052 · att1  </w:t>
      </w:r>
      <w:r>
        <w:t>5. Response to Question 21: the role of standards-setting bodies — Question 21 asks what roles standards-setting bodies and other stakeholders might play in postmarket monitoring, and how those roles can be structured without diffusing manufacturer accountability.</w:t>
      </w:r>
    </w:p>
    <w:p>
      <w:r>
        <w:rPr>
          <w:color w:val="777777"/>
          <w:sz w:val="16"/>
        </w:rPr>
        <w:t xml:space="preserve">p053 · att1  </w:t>
      </w:r>
      <w:r>
        <w:t>The properties in Section 4 are semantic properties of an interoperability format. They cannot be established by any single manufacturer, because audit records cross organizational boundaries. A health information exchange, an electronic health record vendor, a payer, and a federal investigator all read records produced by systems they do not control. A manufacturer-specific attribution scheme reproduces the current problem in a proprietary shape and adds a translation burden.</w:t>
      </w:r>
    </w:p>
    <w:p>
      <w:r>
        <w:rPr>
          <w:color w:val="777777"/>
          <w:sz w:val="16"/>
        </w:rPr>
        <w:t xml:space="preserve">p054 · att1  </w:t>
      </w:r>
      <w:r>
        <w:t>This argues for the standards-setting body role being specifically the definition of attribution semantics, with manufacturer accountability preserved intact. The manufacturer remains responsible for what its device does and for what its device emits. The standard determines only whether the emitted record is capable of expressing what happened.</w:t>
      </w:r>
    </w:p>
    <w:p>
      <w:r>
        <w:rPr>
          <w:color w:val="777777"/>
          <w:sz w:val="16"/>
        </w:rPr>
        <w:t xml:space="preserve">p055 · att1  </w:t>
      </w:r>
      <w:r>
        <w:t>I would note one practical asymmetry. Small and under-resourced provider organizations, including community mental health centers, federally qualified health centers, and behavioral health programs, carry the same obligations as large health systems but cannot build audit infrastructure independently. If attribution semantics are settled in an open standard, those organizations inherit the capability. If they are settled per vendor, those organizations receive whatever their vendor supplies and are least able to evaluate it.</w:t>
      </w:r>
    </w:p>
    <w:p>
      <w:r>
        <w:rPr>
          <w:color w:val="777777"/>
          <w:sz w:val="16"/>
        </w:rPr>
        <w:t xml:space="preserve">p056 · att1  </w:t>
      </w:r>
      <w:r>
        <w:t>6. Response to Question 19: what postmarket degradation monitoring requires — Question 19 asks about approaches to postmarket performance evaluation, including performance degradation monitoring.</w:t>
      </w:r>
    </w:p>
    <w:p>
      <w:r>
        <w:rPr>
          <w:color w:val="777777"/>
          <w:sz w:val="16"/>
        </w:rPr>
        <w:t xml:space="preserve">p057 · att1  </w:t>
      </w:r>
      <w:r>
        <w:t>Section VI.C distinguishes intentional sponsor-initiated modifications, model-evolution changes that occur passively and incrementally, and unplanned changes arising from third-party foundation model updates. For an agentic device, there is a fourth category worth naming: change in the degree of human involvement in practice, without any change to the software at all.</w:t>
      </w:r>
    </w:p>
    <w:p>
      <w:r>
        <w:rPr>
          <w:color w:val="777777"/>
          <w:sz w:val="16"/>
        </w:rPr>
        <w:t xml:space="preserve">p058 · att1  </w:t>
      </w:r>
      <w:r>
        <w:t>A device may be deployed with an oversight checkpoint that clinicians initially exercise deliberately and, over months, come to acknowledge reflexively or bypass through workflow adaptation. Nothing in the device changed. Its position on the activity axis did. This is a well-documented pattern in clinical software, and the paper’s own discussion of automation bias in element E.4 acknowledges the underlying mechanism.</w:t>
      </w:r>
    </w:p>
    <w:p>
      <w:r>
        <w:rPr>
          <w:color w:val="777777"/>
          <w:sz w:val="16"/>
        </w:rPr>
        <w:t xml:space="preserve">p059 · att1  </w:t>
      </w:r>
      <w:r>
        <w:t>Degradation monitoring that reads audit records can detect this, but only if the records distinguish an action a human authorized from one the agent took alone. If they do not, the drift is invisible to precisely the monitoring the framework relies on.</w:t>
      </w:r>
    </w:p>
    <w:p>
      <w:r>
        <w:rPr>
          <w:color w:val="777777"/>
          <w:sz w:val="16"/>
        </w:rPr>
        <w:t xml:space="preserve">p060 · att1  </w:t>
      </w:r>
      <w:r>
        <w:t>7. Limits of what I am claiming — I want to be explicit about what this comment does not assert.</w:t>
      </w:r>
    </w:p>
    <w:p>
      <w:r>
        <w:rPr>
          <w:color w:val="777777"/>
          <w:sz w:val="16"/>
        </w:rPr>
        <w:t xml:space="preserve">p061 · att1  </w:t>
      </w:r>
      <w:r>
        <w:t>Attribution is not detection. A schema cannot detect a non-cooperating agent. An agent driving a user interface under a clinician’s credentials is indistinguishable, to the target system, from that clinician. Attribution must be emitted by the agent layer, which means it works where the deployment path is controlled and does not work where it is not. I have stated this limit in the published specification and state it here.</w:t>
      </w:r>
    </w:p>
    <w:p>
      <w:r>
        <w:rPr>
          <w:color w:val="777777"/>
          <w:sz w:val="16"/>
        </w:rPr>
        <w:t xml:space="preserve">p062 · att1  </w:t>
      </w:r>
      <w:r>
        <w:t>This is not a proposal for a new regulatory requirement. The properties in Section 4 are offered as candidates for consideration within the acceptance criteria the Agency is already contemplating for agentic devices, not as an argument for additional regulatory burden. They are, in my assessment, among the less burdensome available, because they concern the format of a record a compliant system already produces.</w:t>
      </w:r>
    </w:p>
    <w:p>
      <w:r>
        <w:rPr>
          <w:color w:val="777777"/>
          <w:sz w:val="16"/>
        </w:rPr>
        <w:t xml:space="preserve">p063 · att1  </w:t>
      </w:r>
      <w:r>
        <w:t>My own artifacts are not devices. The audit standard and its implementations are infrastructure for recording actions, not software functions that meet the device definition. I reference them for concreteness, not to place them before the Agency.</w:t>
      </w:r>
    </w:p>
    <w:p>
      <w:r>
        <w:rPr>
          <w:color w:val="777777"/>
          <w:sz w:val="16"/>
        </w:rPr>
        <w:t xml:space="preserve">p064 · att1  </w:t>
      </w:r>
      <w:r>
        <w:t>8. Availability — The specification, the FHIR R5 AuditEvent profile, the gap analysis referenced in Section 3, and the reference implementations are published under Apache 2.0 at github.com/bh-healthcare/bh-audit-schema and github.com/bh-healthcare/bh-mcp-attribution. The technical report describing the attribution model is deposited with a persistent identifier at 10.5281/zenodo.21682867.</w:t>
      </w:r>
    </w:p>
    <w:p>
      <w:r>
        <w:rPr>
          <w:color w:val="777777"/>
          <w:sz w:val="16"/>
        </w:rPr>
        <w:t xml:space="preserve">p065 · att1  </w:t>
      </w:r>
      <w:r>
        <w:t>I mention this only because the properties described in Section 4 are easier to evaluate against a concrete implementation than in the abstract. There is no commercial offering associated with any of it and I am not seeking one.</w:t>
      </w:r>
    </w:p>
    <w:p>
      <w:r>
        <w:rPr>
          <w:color w:val="777777"/>
          <w:sz w:val="16"/>
        </w:rPr>
        <w:t xml:space="preserve">p066 · att1  </w:t>
      </w:r>
      <w:r>
        <w:t>The implementation discussed in Section 2 is FHIR Agent Studio by Sean Connelly, documented at community.intersystems.com/post/introducing-fhir-agent-studio-ai-agents-fhir-intersystems-iris with source at github.com/SeanConnelly/ai-studio-for-fhir. I have no affiliation with that project or with its author, and cite it because it is public, well documented, and unusually thorough in its treatment of traceability. The observation in Section 2 concerns what the available standards allow such a system to record, not the quality of the work.</w:t>
      </w:r>
    </w:p>
    <w:p>
      <w:r>
        <w:rPr>
          <w:color w:val="777777"/>
          <w:sz w:val="16"/>
        </w:rPr>
        <w:t xml:space="preserve">p067 · att1  </w:t>
      </w:r>
      <w:r>
        <w:t>The specification of the extension discussed in Section 3 is published at hl7.org/fhir/extensions/StructureDefinition-auditevent-OnBehalfOf.html.</w:t>
      </w:r>
    </w:p>
    <w:p>
      <w:r>
        <w:rPr>
          <w:color w:val="777777"/>
          <w:sz w:val="16"/>
        </w:rPr>
        <w:t xml:space="preserve">p068 · att1  </w:t>
      </w:r>
      <w:r>
        <w:t>I appreciate the Agency’s decision to seek early input on this topic, and I am available to provide further detail on any point above.</w:t>
      </w:r>
    </w:p>
    <w:p>
      <w:r>
        <w:rPr>
          <w:color w:val="777777"/>
          <w:sz w:val="16"/>
        </w:rPr>
        <w:t xml:space="preserve">p069 · att1  </w:t>
      </w:r>
      <w:r>
        <w:t>Tanmaya Kumar Behavioral Health Open Source bh-healthcare.org</w:t>
      </w:r>
    </w:p>
    <w:p>
      <w:pPr>
        <w:pStyle w:val="Heading1"/>
        <w:pageBreakBefore/>
      </w:pPr>
      <w:r>
        <w:t>FDA-2026-N-7874-0043</w:t>
      </w:r>
    </w:p>
    <w:p>
      <w:r>
        <w:t>Comment from Ben Locwin</w:t>
      </w:r>
    </w:p>
    <w:p>
      <w:r>
        <w:rPr>
          <w:color w:val="777777"/>
          <w:sz w:val="18"/>
        </w:rPr>
        <w:t>Health Professional - A0007 · received 2026-08-26 · attachments: attachment_1.docx</w:t>
      </w:r>
    </w:p>
    <w:p>
      <w:r>
        <w:rPr>
          <w:color w:val="777777"/>
          <w:sz w:val="16"/>
        </w:rPr>
        <w:t xml:space="preserve">p001 · body  </w:t>
      </w:r>
      <w:r>
        <w:t>Response to the framework document: 1.Does the two-axis risk framework, organized around device activity and the consequence of relying on an incorrect output, appropriately capture the dimensions most relevant to the risk of a GenAI-enabled software function? If there are additional dimensions—such as the reversibility of a resulting action, the availability of downstream safeguards, the time pressure of the deployment setting, or the traceability of the output (i.e., to primary source materials)—that should be represented in a risk framework, please describe and provide examples of how they should be represented.</w:t>
      </w:r>
    </w:p>
    <w:p>
      <w:r>
        <w:rPr>
          <w:color w:val="777777"/>
          <w:sz w:val="16"/>
        </w:rPr>
        <w:t xml:space="preserve">p002 · body  </w:t>
      </w:r>
      <w:r>
        <w:t>The bi-axial framework can function properly for this application, similarly with the typical risk calculus of R = Pf x Mc (where Pf is the probability of failure, and Mc is the magnitude of consequence). However, that classic equation has also lent itself to uncountable issues in the industry with ‘how’ to measure each properly (qualitatively, subjectively, combined with objective data), including via ICH Q9 and ISO 14971. Layering an ability to detect, such as with an FMEA (Detectability) can help, but traceability is hard (read: impossible) to implement, since the GenAI models are opaque. Humans in- or on- the loop need to be included in the framework for decision-making.</w:t>
      </w:r>
    </w:p>
    <w:p>
      <w:r>
        <w:rPr>
          <w:color w:val="777777"/>
          <w:sz w:val="16"/>
        </w:rPr>
        <w:t xml:space="preserve">p003 · body  </w:t>
      </w:r>
      <w:r>
        <w:t>See attached document for responses to the other 16 questions from the Generative AI document.</w:t>
      </w:r>
    </w:p>
    <w:p>
      <w:r>
        <w:rPr>
          <w:color w:val="777777"/>
          <w:sz w:val="16"/>
        </w:rPr>
        <w:t xml:space="preserve">p004 · att1  </w:t>
      </w:r>
      <w:r>
        <w:t>Discussion questions — Does the two-axis risk framework, organized around device activity and the consequence of relying on an incorrect output, appropriately capture the dimensions most relevant to the risk of a GenAI-enabled software function? If there are additional dimensions—such as the reversibility of a resulting action, the availability of downstream safeguards, the time pressure of the deployment setting, or the traceability of the output (i.e., to primary source materials)—that should be represented in a risk framework, please describe and provide examples of how they should be represented.</w:t>
      </w:r>
    </w:p>
    <w:p>
      <w:r>
        <w:rPr>
          <w:color w:val="777777"/>
          <w:sz w:val="16"/>
        </w:rPr>
        <w:t xml:space="preserve">p005 · att1  </w:t>
      </w:r>
      <w:r>
        <w:t>The bi-axial framework can function properly for this application, similarly with the typical risk calculus of R = Pf x Mc (where Pf is the probability of failure, and Mc is the magnitude of consequence). However, that classic equation has also lent itself to uncountable issues in the industry with ‘how’ to measure each properly (qualitatively, subjectively, combined with objective data). Layering an ability to detect, such as with an FMEA (Detectability) can help, but traceability is hard (read: impossible) to implement, since the models are opaque. Humans in or on the loop need to be included in the framework for decision-making.</w:t>
      </w:r>
    </w:p>
    <w:p>
      <w:r>
        <w:rPr>
          <w:color w:val="777777"/>
          <w:sz w:val="16"/>
        </w:rPr>
        <w:t xml:space="preserve">p006 · att1  </w:t>
      </w:r>
      <w:r>
        <w:t>CDRH seeks input on how to account for the spectrum of GenAI-enabled informational functions that vary in the degree to which they direct a user to a particular action (i.e., between “non-directive” and “action-directing”). What characteristics of an output—such as its wording, specificity, personalization, or context—could be considered as modifiers of the risk associated with an informational function, after accounting for the device’s overall functionality and intended use? What additional information would provide manufacturers with sufficient clarity and predictability around risk assessment for informational functions while recognizing that directiveness may exist along a continuum rather than as a binary distinction?</w:t>
      </w:r>
    </w:p>
    <w:p>
      <w:r>
        <w:rPr>
          <w:color w:val="777777"/>
          <w:sz w:val="16"/>
        </w:rPr>
        <w:t xml:space="preserve">p007 · att1  </w:t>
      </w:r>
      <w:r>
        <w:t>GenAI-enabled functions that are directive are giving medical advice, so all outputs (if not standardized and approved by FDA) need to be ‘for information only’ and have linguistic modifiers required to clarify this.</w:t>
      </w:r>
    </w:p>
    <w:p>
      <w:r>
        <w:rPr>
          <w:color w:val="777777"/>
          <w:sz w:val="16"/>
        </w:rPr>
        <w:t xml:space="preserve">p008 · att1  </w:t>
      </w:r>
      <w:r>
        <w:t>CDRH seeks input on whether and when a GenAI-enabled function that results in delivery of clinical information to patients, as opposed to HCPs, could present different or higher risks, while also recognizing the potential benefits associated with improved patient empowerment, engagement, and access to clinical information. What device characteristics, output features, or safeguards might mitigate risks that could arise when a user lacks the domain knowledge to independently evaluate an output, without unnecessarily underestimating patient capability?</w:t>
      </w:r>
    </w:p>
    <w:p>
      <w:r>
        <w:rPr>
          <w:color w:val="777777"/>
          <w:sz w:val="16"/>
        </w:rPr>
        <w:t xml:space="preserve">p009 · att1  </w:t>
      </w:r>
      <w:r>
        <w:t>Yes, unequivocally. Patients are not trained in healthcare, usability of devices, or translating and inferring context from generative AI outputs. Patient empowerment is a terrible goal, because it implies that the patient would have the ability to differentially-apply the therapy based on their idiosyncratic opinions, which is 100% unregulatable.</w:t>
      </w:r>
    </w:p>
    <w:p>
      <w:r>
        <w:rPr>
          <w:color w:val="777777"/>
          <w:sz w:val="16"/>
        </w:rPr>
        <w:t xml:space="preserve">p010 · att1  </w:t>
      </w:r>
      <w:r>
        <w:t>CDRH seeks input on whether and how the distinction between generalist and specialist physicians might inform the assessment of risk for HCP-facing GenAI-enabled functions. Under what circumstances, if any, might risk be affected when an HCP who lacks the relevant clinical specialist knowledge receives information that falls within a specialist area of practice? What device characteristics or safeguards might mitigate such risks?</w:t>
      </w:r>
    </w:p>
    <w:p>
      <w:r>
        <w:rPr>
          <w:color w:val="777777"/>
          <w:sz w:val="16"/>
        </w:rPr>
        <w:t xml:space="preserve">p011 · att1  </w:t>
      </w:r>
      <w:r>
        <w:t>The GenAI output needs to include modifiers (as mentioned in #2 above) that explain to generalists that the output is designed for specialists. Otherwise generalists will take the output, impute their opinion and overall (general) license to practice medicine, and go forward with the results.</w:t>
      </w:r>
    </w:p>
    <w:p>
      <w:r>
        <w:rPr>
          <w:color w:val="777777"/>
          <w:sz w:val="16"/>
        </w:rPr>
        <w:t xml:space="preserve">p012 · att1  </w:t>
      </w:r>
      <w:r>
        <w:t>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w:t>
      </w:r>
    </w:p>
    <w:p>
      <w:r>
        <w:rPr>
          <w:color w:val="777777"/>
          <w:sz w:val="16"/>
        </w:rPr>
        <w:t xml:space="preserve">p013 · att1  </w:t>
      </w:r>
      <w:r>
        <w:t>The GenAI needs a model framework that recognizes and self-identifies then it is emergently creating advice and direction, and it is prevented from providing that to the patient with a warning that the conversation has entered that territory.</w:t>
      </w:r>
    </w:p>
    <w:p>
      <w:r>
        <w:rPr>
          <w:color w:val="777777"/>
          <w:sz w:val="16"/>
        </w:rPr>
        <w:t xml:space="preserve">p014 · att1  </w:t>
      </w:r>
      <w:r>
        <w:t>For GenAI-enabled care escalation functions, CDRH is considering how the evaluation may account for both under-escalation and over-escalation. How could manufacturers characterize and weigh these two directions of error, given that they may not be commensurable and that acceptable trade-offs may vary by clinical context?</w:t>
      </w:r>
    </w:p>
    <w:p>
      <w:r>
        <w:rPr>
          <w:color w:val="777777"/>
          <w:sz w:val="16"/>
        </w:rPr>
        <w:t xml:space="preserve">p015 · att1  </w:t>
      </w:r>
      <w:r>
        <w:t>The correct answer here is that Type I errors can be more dangerous than Type II errors. Over-escalating can lead to unnecessary treatment harms and diagnostic use. These are errors of commission, rather than under-escalation which would lead to potential errors of omission.</w:t>
      </w:r>
    </w:p>
    <w:p>
      <w:r>
        <w:rPr>
          <w:color w:val="777777"/>
          <w:sz w:val="16"/>
        </w:rPr>
        <w:t xml:space="preserve">p016 · att1  </w:t>
      </w:r>
      <w:r>
        <w:t>7. Is the competency-based approach described above, i.e., device benchmarking followed by clinical confirmation, a useful and appropriate framework for evaluating GenAI-enabled devices? Yes. There will always be edge cases and corner cases, but this will cover the bolus of submissions.</w:t>
      </w:r>
    </w:p>
    <w:p>
      <w:r>
        <w:rPr>
          <w:color w:val="777777"/>
          <w:sz w:val="16"/>
        </w:rPr>
        <w:t xml:space="preserve">p017 · att1  </w:t>
      </w:r>
      <w:r>
        <w:t>8. How might the two-axis risk framework described in Section IV be considered within the competency-based approach described above to help determine the level of evidence needed for a premarket submission? See Answer 1 above.</w:t>
      </w:r>
    </w:p>
    <w:p>
      <w:r>
        <w:rPr>
          <w:color w:val="777777"/>
          <w:sz w:val="16"/>
        </w:rPr>
        <w:t xml:space="preserve">p018 · att1  </w:t>
      </w:r>
      <w:r>
        <w:t>9. Would a benchmarking structure such as the one described above be likely to provide adequate evidence of clinical knowledge, analytic capabilities, safety behavior, communication, and generalizability to support a reasonable assurance of safety and effectiveness? Are there elements that are missing, redundant, or inappropriately categorized? Are there externally developed standards that could be leveraged? The guidelines available in the wild are insufficient to use here. But the final element of the benchmarking on A.1. Agentic AI Capabilities is woefully inadequate. The previous elements are sufficiently robust, but having a single slice on the agentic AI itself doesn’t interrogate ‘what’ it’s doing or ‘how’ it’s doing it deeply enough to prevent risks.</w:t>
      </w:r>
    </w:p>
    <w:p>
      <w:r>
        <w:rPr>
          <w:color w:val="777777"/>
          <w:sz w:val="16"/>
        </w:rPr>
        <w:t xml:space="preserve">p019 · att1  </w:t>
      </w:r>
      <w:r>
        <w:t>10. CDRH recognizes that publicly available benchmarking assets may be subject to data contamination, saturation, and limited real-world representativeness. How should a sponsor establish that performance on a given benchmark predicts safe and effective real-world behavior for the device’s intended use? What evidence should support the construct validity of a benchmark used to gate device evaluation, and what role should sponsor-developed benchmarks play given potential concerns around independence and optimization to the test? Giving sponsors a naïve data framework to start with, instead of having them build it internally in a bespoke manner will guide them on how to prevent issues like contamination, saturation, overfitting, etc.</w:t>
      </w:r>
    </w:p>
    <w:p>
      <w:r>
        <w:rPr>
          <w:color w:val="777777"/>
          <w:sz w:val="16"/>
        </w:rPr>
        <w:t xml:space="preserve">p020 · att1  </w:t>
      </w:r>
      <w:r>
        <w:t>11. CDRH is considering that clinical confirmation for a GenAI-enabled device might not require a prospective clinical study in every case, and has described above a range of approaches of increasing rigor and patient exposure. How might a sponsor select and justify a confirmation approach tailored to a device’s intended use and proportionate to the device’s risk profile? Are there device types or risk profiles for which one or more of these approaches would be insufficient or inappropriate? How might the anticipated distribution of real-world inputs be taken into consideration? Are there other methods of clinical confirmation that might help inform the evaluation of GenAI-enabled devices? A risk framework that takes into account therapeutic area/use, patient exposure, and real-world use cases must be implemented.</w:t>
      </w:r>
    </w:p>
    <w:p>
      <w:r>
        <w:rPr>
          <w:color w:val="777777"/>
          <w:sz w:val="16"/>
        </w:rPr>
        <w:t xml:space="preserve">p021 · att1  </w:t>
      </w:r>
      <w:r>
        <w:t>12. How should sponsors achieve statistically meaningful performance measurement for GenAI-enabled devices? Where synthetically generated inputs supplement real patient data, how should sponsors account for differences between the synthetic and real-world distributions when estimating performance, and under what conditions, if any, is it appropriate to combine benchmarking evidence and clinical confirmation evidence to support a single performance estimate? The synthetic distributions would be the control data, and need to be compared with the real-world distributions, where clinical significance and practical significance are shown to be meaningfully different from each other to be considered for clearance or approval.</w:t>
      </w:r>
    </w:p>
    <w:p>
      <w:r>
        <w:rPr>
          <w:color w:val="777777"/>
          <w:sz w:val="16"/>
        </w:rPr>
        <w:t xml:space="preserve">p022 · att1  </w:t>
      </w:r>
      <w:r>
        <w:t>13. For which clinical domains, device functions, or subpopulations is synthetic data particularly well-suited, or particularly inadequate, as a supplement to real-world evidence? What safeguards would mitigate the risk that synthetic data generated by models of the same class as the device under evaluation reproduces the very performance gaps the evaluation is intended to detect, particularly for underrepresented subgroups? You could argue that you could create synthetic subpopulations for any non-rare and non-ultra rare condition. But the synthetic data should come from literature metaanalyses, not single studies, to account for large-scale variance.</w:t>
      </w:r>
    </w:p>
    <w:p>
      <w:r>
        <w:rPr>
          <w:color w:val="777777"/>
          <w:sz w:val="16"/>
        </w:rPr>
        <w:t xml:space="preserve">p023 · att1  </w:t>
      </w:r>
      <w:r>
        <w:t>14. For open-ended device outputs, how should performance comparators and acceptance criteria be selected? When a panel of qualified clinicians serves as the comparator, how should the applicable standard (for example, the standard of care versus the performance of a median clinician in practice) be defined and justified? Should generalist or specialist physicians be used as a performance standard? When should human-AI team performance, rather than the device operating alone, serve as the basis for evaluation? Comparators should be available metaanalytic data for the reasons described above. For performance standards, a mixture of generalists and specialists should be used, because they WILL be used in the real world later on. Treat it like a Gage R&amp;R study, to catch inter-clinician variance.</w:t>
      </w:r>
    </w:p>
    <w:p>
      <w:r>
        <w:rPr>
          <w:color w:val="777777"/>
          <w:sz w:val="16"/>
        </w:rPr>
        <w:t xml:space="preserve">p024 · att1  </w:t>
      </w:r>
      <w:r>
        <w:t>15. Are there ways in which performance might be assessed relative to the care, technology, or course of action likely to occur in the absence of the device, rather than to the comparators described in this section? What approaches might be used to identify and justify a comparator such as unaided clinical judgment, delayed specialist review, or no intervention? The only reliable comparator is the ‘no intervention’ condition. The others are too unpredictable and variable.</w:t>
      </w:r>
    </w:p>
    <w:p>
      <w:r>
        <w:rPr>
          <w:color w:val="777777"/>
          <w:sz w:val="16"/>
        </w:rPr>
        <w:t xml:space="preserve">p025 · att1  </w:t>
      </w:r>
      <w:r>
        <w:t>16. Should independent third parties be involved in some or all aspects of a competency-based approach, including device benchmarking and clinical confirmation? If so, in what ways might qualified, independent third-party participation contribute to this approach, and what qualifications and independence criteria should apply? Are there aspects of the assessment for which third-party involvement would be impractical or inadvisable? What safeguards or program design features would be critical to prevent third-party participation from limiting competition or preventing innovation? Bringing a third-party requirement also opens the door to third-party organizations gaming the system and creating a profit center on drawing out these tests. Inadvisable.</w:t>
      </w:r>
    </w:p>
    <w:p>
      <w:r>
        <w:rPr>
          <w:color w:val="777777"/>
          <w:sz w:val="16"/>
        </w:rPr>
        <w:t xml:space="preserve">p026 · att1  </w:t>
      </w:r>
      <w:r>
        <w:t>17. CDRH is exploring whether a competency-based approach could be applied to devices that incorporate a variety of underlying model architectures, such as multimodal vision-language models and generative or predictive world models. Are there aspects of the described approach that might be ineffective or inapplicable to these devices? What additional or distinct considerations might need to be addressed? Certainly in every case, an assessment of what the architecture includes, such as MMVL models, etc. Those would then be categorized as higher risk, based on A.1 in the framework of your model.</w:t>
      </w:r>
    </w:p>
    <w:p>
      <w:pPr>
        <w:pStyle w:val="Heading1"/>
        <w:pageBreakBefore/>
      </w:pPr>
      <w:r>
        <w:t>FDA-2026-N-7874-0044</w:t>
      </w:r>
    </w:p>
    <w:p>
      <w:r>
        <w:t>Comment from Casedok</w:t>
      </w:r>
    </w:p>
    <w:p>
      <w:r>
        <w:rPr>
          <w:color w:val="777777"/>
          <w:sz w:val="18"/>
        </w:rPr>
        <w:t>Federal Government - G0007 · received 2026-08-27</w:t>
      </w:r>
    </w:p>
    <w:p>
      <w:r>
        <w:rPr>
          <w:color w:val="777777"/>
          <w:sz w:val="16"/>
        </w:rPr>
        <w:t xml:space="preserve">p001 · body  </w:t>
      </w:r>
      <w:r>
        <w:t>Why don’t you mention whether the patient is informed their biometric identifiers are being used in most Emergency Rooms to train AI, or that the AI is indexing voice prints in 100 different ways so patient can be identified from a phone call made from a public phone in Bhutan 40 years after an ER visit, or that the AI is violating Safe Harbor Rule, HIPAA Security Rule and HITECH?</w:t>
      </w:r>
    </w:p>
    <w:p>
      <w:r>
        <w:rPr>
          <w:color w:val="777777"/>
          <w:sz w:val="16"/>
        </w:rPr>
        <w:t xml:space="preserve">p002 · body  </w:t>
      </w:r>
      <w:r>
        <w:t>Asking for 6 billion friends….</w:t>
      </w:r>
    </w:p>
    <w:p>
      <w:r>
        <w:rPr>
          <w:color w:val="777777"/>
          <w:sz w:val="16"/>
        </w:rPr>
        <w:t xml:space="preserve">p003 · body  </w:t>
      </w:r>
      <w:r>
        <w:t>Where is the voice print privacy at Epic?</w:t>
      </w:r>
    </w:p>
    <w:p>
      <w:r>
        <w:rPr>
          <w:color w:val="777777"/>
          <w:sz w:val="16"/>
        </w:rPr>
        <w:t xml:space="preserve">p004 · body  </w:t>
      </w:r>
      <w:r>
        <w:t>Because you can’t de-identify a voice print even after deleting it - the patient can still be reidentified and therefore AUTOMATICALLY fail Safe Harbor Rule. There are no protections for minimum retention requirements to demonstrate HITECH and HIPAA Security Rule compliance.</w:t>
      </w:r>
    </w:p>
    <w:p>
      <w:r>
        <w:rPr>
          <w:color w:val="777777"/>
          <w:sz w:val="16"/>
        </w:rPr>
        <w:t xml:space="preserve">p005 · body  </w:t>
      </w:r>
      <w:r>
        <w:t>Patients must be properly informed to consent to release a biometric identifier that includes how the voice print will be indexed and how it is used to train AI when voice prints can’t be deidentified.</w:t>
      </w:r>
    </w:p>
    <w:p>
      <w:r>
        <w:rPr>
          <w:color w:val="777777"/>
          <w:sz w:val="16"/>
        </w:rPr>
        <w:t xml:space="preserve">p006 · body  </w:t>
      </w:r>
      <w:r>
        <w:t>Both facility and BA are liable and you refuse to enforce manufactured consent to biometric identifiers with ZERO privacy compliance.</w:t>
      </w:r>
    </w:p>
    <w:p>
      <w:r>
        <w:rPr>
          <w:color w:val="777777"/>
          <w:sz w:val="16"/>
        </w:rPr>
        <w:t xml:space="preserve">p007 · body  </w:t>
      </w:r>
      <w:r>
        <w:t>Enough already.</w:t>
      </w:r>
    </w:p>
    <w:p>
      <w:r>
        <w:rPr>
          <w:color w:val="777777"/>
          <w:sz w:val="16"/>
        </w:rPr>
        <w:t xml:space="preserve">p008 · body  </w:t>
      </w:r>
      <w:r>
        <w:t>Do not allow wiretapping in healthcare settings as there is no exception to criminal electronic surveillance laws.</w:t>
      </w:r>
    </w:p>
    <w:p>
      <w:r>
        <w:rPr>
          <w:color w:val="777777"/>
          <w:sz w:val="16"/>
        </w:rPr>
        <w:t xml:space="preserve">p009 · body  </w:t>
      </w:r>
      <w:r>
        <w:t>Now act like Electronic Communications Privacy Act (ECPA) actually exists and patient privacy matters.</w:t>
      </w:r>
    </w:p>
    <w:p>
      <w:r>
        <w:rPr>
          <w:color w:val="777777"/>
          <w:sz w:val="16"/>
        </w:rPr>
        <w:t xml:space="preserve">p010 · body  </w:t>
      </w:r>
      <w:r>
        <w:t>Because patients can now force disclosure of metadata and audit trail along with their full medical record that identifies compliance with HITECH, HIPAA Security Rule and Safe Harbor Rule by every facility, BA and device.</w:t>
      </w:r>
    </w:p>
    <w:p>
      <w:r>
        <w:rPr>
          <w:color w:val="777777"/>
          <w:sz w:val="16"/>
        </w:rPr>
        <w:t xml:space="preserve">p011 · body  </w:t>
      </w:r>
      <w:r>
        <w:t>Welcome to the Patient Zero Day when they have to enforce what you fail to enforce.</w:t>
      </w:r>
    </w:p>
    <w:p>
      <w:pPr>
        <w:pStyle w:val="Heading1"/>
        <w:pageBreakBefore/>
      </w:pPr>
      <w:r>
        <w:t>FDA-2026-N-7874-0045</w:t>
      </w:r>
    </w:p>
    <w:p>
      <w:r>
        <w:t>Comment from Ravi Pankhaniya</w:t>
      </w:r>
    </w:p>
    <w:p>
      <w:r>
        <w:rPr>
          <w:color w:val="777777"/>
          <w:sz w:val="18"/>
        </w:rPr>
        <w:t>Health Professional - A0007 · received 2026-08-28 · attachments: attachment_1.pdf (9 pp)</w:t>
      </w:r>
    </w:p>
    <w:p>
      <w:r>
        <w:rPr>
          <w:color w:val="777777"/>
          <w:sz w:val="16"/>
        </w:rPr>
        <w:t xml:space="preserve">p001 · body  </w:t>
      </w:r>
      <w:r>
        <w:t>Please see attached file for complete comments.</w:t>
      </w:r>
    </w:p>
    <w:p>
      <w:r>
        <w:rPr>
          <w:color w:val="777777"/>
          <w:sz w:val="16"/>
        </w:rPr>
        <w:t xml:space="preserve">p002 · att1 p.1  </w:t>
      </w:r>
      <w:r>
        <w:t>PUBLIC COMMENT — Docket No. FDA-2026-N-7874 — Considerations for the Regulation of Generative AI-Enabled Medical Devices: Discussion Paper and Request for</w:t>
      </w:r>
    </w:p>
    <w:p>
      <w:r>
        <w:rPr>
          <w:color w:val="777777"/>
          <w:sz w:val="16"/>
        </w:rPr>
        <w:t xml:space="preserve">p003 · att1 p.1  </w:t>
      </w:r>
      <w:r>
        <w:t>Feedback — From Software Approval to Clinical Licensure — Why Generative AI in Medicine Needs an Authorization Architecture — Not Just a Risk</w:t>
      </w:r>
    </w:p>
    <w:p>
      <w:r>
        <w:rPr>
          <w:color w:val="777777"/>
          <w:sz w:val="16"/>
        </w:rPr>
        <w:t xml:space="preserve">p004 · att1 p.1  </w:t>
      </w:r>
      <w:r>
        <w:t>Framework — Submitted by: Ravi R. Pankhaniya, MD — Strategic Advisor to Med-Tech Companies | Physician Executive &amp; Founder | Healthcare AI &amp; Deep Tech | Multi-Exit |</w:t>
      </w:r>
    </w:p>
    <w:p>
      <w:r>
        <w:rPr>
          <w:color w:val="777777"/>
          <w:sz w:val="16"/>
        </w:rPr>
        <w:t xml:space="preserve">p005 · att1 p.1  </w:t>
      </w:r>
      <w:r>
        <w:t>CFO linkedin.com/in/ravicofounder · August 27, 2026 — FDA's discussion paper asks the right questions about generative AI in medicine. But it still frames the central problem as a product question — does the software work? — when the more consequential question is a clinical one: what authority has this system earned, and does it continue to deserve it?</w:t>
      </w:r>
    </w:p>
    <w:p>
      <w:r>
        <w:rPr>
          <w:color w:val="777777"/>
          <w:sz w:val="16"/>
        </w:rPr>
        <w:t xml:space="preserve">p006 · att1 p.1  </w:t>
      </w:r>
      <w:r>
        <w:t>The United States already has an answer to that question for another form of clinical intelligence: the human clinician. We do not require a physician to demonstrate every possible clinical scenario before licensure. We benchmark, supervise, license, monitor, and revalidate. I recommend FDA adapt that same architecture for generative AI-enabled medical devices — Development → Competency Examination → Clinical Confirmation → Supervised Clinical Deployment → Provisional Authorization → Independent Authorization → Continuous Monitoring → Revalidation → Expansion or Restriction — and treat clinical agency, not device architecture, as the central axis of risk. These nine stages are detailed in full in the Integrating Framework section below and used consistently throughout this comment.</w:t>
      </w:r>
    </w:p>
    <w:p>
      <w:r>
        <w:rPr>
          <w:color w:val="777777"/>
          <w:sz w:val="16"/>
        </w:rPr>
        <w:t xml:space="preserve">p007 · att1 p.1  </w:t>
      </w:r>
      <w:r>
        <w:t>One principle should anchor this entire rulemaking: if a generative AI system produces better outcomes than the human standard of care it is measured against, the regulatory framework must not make that safer technology harder to deploy than the less effective one it replaces.</w:t>
      </w:r>
    </w:p>
    <w:p>
      <w:r>
        <w:rPr>
          <w:color w:val="777777"/>
          <w:sz w:val="16"/>
        </w:rPr>
        <w:t xml:space="preserve">p008 · att1 p.1  </w:t>
      </w:r>
      <w:r>
        <w:t>Healthcare already carries enormous institutional, financial, and legal inertia. A regulatory framework that quietly treats today's clinical workflow as a permanent ceiling on tomorrow's patient outcomes — rather than a floor to be exceeded — will have failed the only test that should matter: better outcomes with reasonable assurance of safety.</w:t>
      </w:r>
    </w:p>
    <w:p>
      <w:r>
        <w:rPr>
          <w:color w:val="777777"/>
          <w:sz w:val="16"/>
        </w:rPr>
        <w:t xml:space="preserve">p009 · att1 p.1  </w:t>
      </w:r>
      <w:r>
        <w:t>This comment responds to the paper's 26 questions and proposes one integrating framework beneath them, built on four principles:</w:t>
      </w:r>
    </w:p>
    <w:p>
      <w:r>
        <w:rPr>
          <w:color w:val="777777"/>
          <w:sz w:val="16"/>
        </w:rPr>
        <w:t xml:space="preserve">p010 · att1 p.1  </w:t>
      </w:r>
      <w:r>
        <w:t>1. Risk should be determined by clinical consequence and degree of agency — not by whether the technology is “generative.”</w:t>
      </w:r>
    </w:p>
    <w:p>
      <w:r>
        <w:rPr>
          <w:color w:val="777777"/>
          <w:sz w:val="16"/>
        </w:rPr>
        <w:t xml:space="preserve">p011 · att1 p.1  </w:t>
      </w:r>
      <w:r>
        <w:t>2. Competency should be demonstrated through benchmarking and clinical confirmation, tailored to intended use.</w:t>
      </w:r>
    </w:p>
    <w:p>
      <w:r>
        <w:rPr>
          <w:color w:val="777777"/>
          <w:sz w:val="16"/>
        </w:rPr>
        <w:t xml:space="preserve">p012 · att1 p.1  </w:t>
      </w:r>
      <w:r>
        <w:t>3. Autonomy should be earned through demonstrated performance, not assumed at clearance.</w:t>
      </w:r>
    </w:p>
    <w:p>
      <w:r>
        <w:rPr>
          <w:color w:val="777777"/>
          <w:sz w:val="16"/>
        </w:rPr>
        <w:t xml:space="preserve">p013 · att1 p.1  </w:t>
      </w:r>
      <w:r>
        <w:t>4. Authorization should be maintained through continuous postmarket evidence, not treated as a permanent finding.</w:t>
      </w:r>
    </w:p>
    <w:p>
      <w:r>
        <w:rPr>
          <w:color w:val="777777"/>
          <w:sz w:val="16"/>
        </w:rPr>
        <w:t xml:space="preserve">p014 · att1 p.1  </w:t>
      </w:r>
      <w:r>
        <w:t>This framework builds on — and extends — the competency-based, physician-modeled approach the discussion paper itself already draws on, including Bergman, Wachter, and Emanuel's 2026 JAMA proposal to test autonomous clinical AI against the components of the U.S. Medical Licensing Examination, and Patel and Blumenthal's companion analysis in JAMA Health Forum. Those proposals make the premarket case for licensure. This comment carries that same logic into three places they do not reach: a stated numeric threshold separating supervised from independent deployment, a graduated ladder for agentic autonomy, and a tiered system for regulating postmarket model changes.</w:t>
      </w:r>
    </w:p>
    <w:p>
      <w:r>
        <w:rPr>
          <w:color w:val="777777"/>
          <w:sz w:val="16"/>
        </w:rPr>
        <w:t xml:space="preserve">p015 · att1 p.2  </w:t>
      </w:r>
      <w:r>
        <w:t>Part I — Risk Assessment — Question 1 — Is the proposed two-axis risk framework sufficient?</w:t>
      </w:r>
    </w:p>
    <w:p>
      <w:r>
        <w:rPr>
          <w:color w:val="777777"/>
          <w:sz w:val="16"/>
        </w:rPr>
        <w:t xml:space="preserve">p016 · att1 p.2  </w:t>
      </w:r>
      <w:r>
        <w:t>Risk should be measured on five axes, not two.</w:t>
      </w:r>
    </w:p>
    <w:p>
      <w:r>
        <w:rPr>
          <w:color w:val="777777"/>
          <w:sz w:val="16"/>
        </w:rPr>
        <w:t xml:space="preserve">p017 · att1 p.2  </w:t>
      </w:r>
      <w:r>
        <w:t>Two outputs that look equally “wrong” on paper can carry very different risk depending on what the system is authorized to do about it. An AI drafting patient-education text and an AI independently adjusting an insulin dose can both be wrong — only one can act on that error without a human in between. I recommend five risk dimensions:</w:t>
      </w:r>
    </w:p>
    <w:p>
      <w:r>
        <w:rPr>
          <w:color w:val="777777"/>
          <w:sz w:val="16"/>
        </w:rPr>
        <w:t xml:space="preserve">p018 · att1 p.2  </w:t>
      </w:r>
      <w:r>
        <w:t>• Consequence — how severe is the harm if the system is wrong?</w:t>
      </w:r>
    </w:p>
    <w:p>
      <w:r>
        <w:rPr>
          <w:color w:val="777777"/>
          <w:sz w:val="16"/>
        </w:rPr>
        <w:t xml:space="preserve">p019 · att1 p.2  </w:t>
      </w:r>
      <w:r>
        <w:t>• Clinical agency — how much authority does the system have to influence or initiate action?</w:t>
      </w:r>
    </w:p>
    <w:p>
      <w:r>
        <w:rPr>
          <w:color w:val="777777"/>
          <w:sz w:val="16"/>
        </w:rPr>
        <w:t xml:space="preserve">p020 · att1 p.2  </w:t>
      </w:r>
      <w:r>
        <w:t>• Reversibility — can an incorrect action be easily undone?</w:t>
      </w:r>
    </w:p>
    <w:p>
      <w:r>
        <w:rPr>
          <w:color w:val="777777"/>
          <w:sz w:val="16"/>
        </w:rPr>
        <w:t xml:space="preserve">p021 · att1 p.2  </w:t>
      </w:r>
      <w:r>
        <w:t>• Time-to-harm — how quickly can a wrong output cause irreversible harm?</w:t>
      </w:r>
    </w:p>
    <w:p>
      <w:r>
        <w:rPr>
          <w:color w:val="777777"/>
          <w:sz w:val="16"/>
        </w:rPr>
        <w:t xml:space="preserve">p022 · att1 p.2  </w:t>
      </w:r>
      <w:r>
        <w:t>• Human recoverability — will a qualified human likely catch the error before harm occurs?</w:t>
      </w:r>
    </w:p>
    <w:p>
      <w:r>
        <w:rPr>
          <w:color w:val="777777"/>
          <w:sz w:val="16"/>
        </w:rPr>
        <w:t xml:space="preserve">p023 · att1 p.2  </w:t>
      </w:r>
      <w:r>
        <w:t>The governing principle: the more clinical agency a system holds, the stronger the evidence required before that agency is granted.</w:t>
      </w:r>
    </w:p>
    <w:p>
      <w:r>
        <w:rPr>
          <w:color w:val="777777"/>
          <w:sz w:val="16"/>
        </w:rPr>
        <w:t xml:space="preserve">p024 · att1 p.2  </w:t>
      </w:r>
      <w:r>
        <w:t>Question 2 — The continuum between informational and action-directing outputs — Directiveness is a spectrum of clinical influence, not a device label.</w:t>
      </w:r>
    </w:p>
    <w:p>
      <w:r>
        <w:rPr>
          <w:color w:val="777777"/>
          <w:sz w:val="16"/>
        </w:rPr>
        <w:t xml:space="preserve">p025 · att1 p.2  </w:t>
      </w:r>
      <w:r>
        <w:t>A response becomes more action-directing through specificity, personalization, urgency, ranking, omission of alternatives, and integration with patient-specific data — regardless of what a manufacturer calls the feature. “There are several possible causes” and “Given these findings, start treatment X today” can come from identical architecture. FDA should evaluate the authority an output effectively exercises, not the label attached to it.</w:t>
      </w:r>
    </w:p>
    <w:p>
      <w:r>
        <w:rPr>
          <w:color w:val="777777"/>
          <w:sz w:val="16"/>
        </w:rPr>
        <w:t xml:space="preserve">p026 · att1 p.2  </w:t>
      </w:r>
      <w:r>
        <w:t>Question 3 — Patient-facing versus HCP-facing GenAI — Patient-facing AI is not automatically higher-risk — but it needs different safeguards.</w:t>
      </w:r>
    </w:p>
    <w:p>
      <w:r>
        <w:rPr>
          <w:color w:val="777777"/>
          <w:sz w:val="16"/>
        </w:rPr>
        <w:t xml:space="preserve">p027 · att1 p.2  </w:t>
      </w:r>
      <w:r>
        <w:t>The operative question isn't who the user is; it's what safeguards exist when that user can't independently evaluate the answer. Patient-facing systems should be evaluated for health-literacy fit, uncertainty communication, emergency recognition, automation bias, and avoidance of false reassurance — not penalized by default for reaching patients directly. Regulatory burden should scale with clinical consequence, not user identity.</w:t>
      </w:r>
    </w:p>
    <w:p>
      <w:r>
        <w:rPr>
          <w:color w:val="777777"/>
          <w:sz w:val="16"/>
        </w:rPr>
        <w:t xml:space="preserve">p028 · att1 p.2  </w:t>
      </w:r>
      <w:r>
        <w:t>Question 4 — Generalist versus specialist clinician comparators — Benchmark against the clinician who would actually perform the task — not against a job title.</w:t>
      </w:r>
    </w:p>
    <w:p>
      <w:r>
        <w:rPr>
          <w:color w:val="777777"/>
          <w:sz w:val="16"/>
        </w:rPr>
        <w:t xml:space="preserve">p029 · att1 p.2  </w:t>
      </w:r>
      <w:r>
        <w:t>The appropriate comparator should be defined by the clinical task in its intended environment and set prospectively as part of the device's scope of practice, not assumed from whether the user identifies as a generalist or a specialist.</w:t>
      </w:r>
    </w:p>
    <w:p>
      <w:r>
        <w:rPr>
          <w:color w:val="777777"/>
          <w:sz w:val="16"/>
        </w:rPr>
        <w:t xml:space="preserve">p030 · att1 p.2  </w:t>
      </w:r>
      <w:r>
        <w:t>Question 5 — Multi-turn conversations and emergent behavior — Test trajectories, not prompts.</w:t>
      </w:r>
    </w:p>
    <w:p>
      <w:r>
        <w:rPr>
          <w:color w:val="777777"/>
          <w:sz w:val="16"/>
        </w:rPr>
        <w:t xml:space="preserve">p031 · att1 p.3  </w:t>
      </w:r>
      <w:r>
        <w:t>A conversation can begin as harmless information and drift, several turns later, into an individualized clinical recommendation. Testing isolated prompts substantially underestimates this risk. FDA should require testing of realistic conversational trajectories — escalation, contradiction, user pressure, incomplete or misleading information, prompt injection, and the gradual slide from information toward action. A system's real intended use includes every clinical role it can assume over an interaction, not just its first response.</w:t>
      </w:r>
    </w:p>
    <w:p>
      <w:r>
        <w:rPr>
          <w:color w:val="777777"/>
          <w:sz w:val="16"/>
        </w:rPr>
        <w:t xml:space="preserve">p032 · att1 p.3  </w:t>
      </w:r>
      <w:r>
        <w:t>Question 6 — Weighing under-escalation against over-escalation — Don't just minimize errors — price them.</w:t>
      </w:r>
    </w:p>
    <w:p>
      <w:r>
        <w:rPr>
          <w:color w:val="777777"/>
          <w:sz w:val="16"/>
        </w:rPr>
        <w:t xml:space="preserve">p033 · att1 p.3  </w:t>
      </w:r>
      <w:r>
        <w:t>Over-escalation drives unnecessary utilization, cost, and anxiety; under-escalation drives delayed diagnosis and preventable harm. These costs are neither symmetric nor universal across use cases. Rather than optimizing a single blended metric, FDA should require sponsors to define context-specific error costs before approval, and hold them to optimizing both directions of error for the intended use.</w:t>
      </w:r>
    </w:p>
    <w:p>
      <w:r>
        <w:rPr>
          <w:color w:val="777777"/>
          <w:sz w:val="16"/>
        </w:rPr>
        <w:t xml:space="preserve">p034 · att1 p.3  </w:t>
      </w:r>
      <w:r>
        <w:t>Part II — Competency-Based Premarket Evaluation — Question 7 — Is benchmarking followed by clinical confirmation the right sequence?</w:t>
      </w:r>
    </w:p>
    <w:p>
      <w:r>
        <w:rPr>
          <w:color w:val="777777"/>
          <w:sz w:val="16"/>
        </w:rPr>
        <w:t xml:space="preserve">p035 · att1 p.3  </w:t>
      </w:r>
      <w:r>
        <w:t>This is the right idea. Extend it past the day of clearance.</w:t>
      </w:r>
    </w:p>
    <w:p>
      <w:r>
        <w:rPr>
          <w:color w:val="777777"/>
          <w:sz w:val="16"/>
        </w:rPr>
        <w:t xml:space="preserve">p036 · att1 p.3  </w:t>
      </w:r>
      <w:r>
        <w:t>Benchmarking → Clinical Confirmation is directionally correct, but it should be the front end of a longer pipeline. I recommend the same nine stages detailed in the Integrating Framework section below: Development → Competency Examination → Clinical Confirmation → Supervised Clinical Deployment → Provisional Authorization → Independent Authorization → Continuous Monitoring → Revalidation → Expansion or Restriction. No model should need to demonstrate every possible clinical scenario before deployment — and no model should be assumed permanently competent because it passed one benchmark. This is the central recommendation of this comment.</w:t>
      </w:r>
    </w:p>
    <w:p>
      <w:r>
        <w:rPr>
          <w:color w:val="777777"/>
          <w:sz w:val="16"/>
        </w:rPr>
        <w:t xml:space="preserve">p037 · att1 p.3  </w:t>
      </w:r>
      <w:r>
        <w:t>Question 8 — How should risk inform the evidence required?</w:t>
      </w:r>
    </w:p>
    <w:p>
      <w:r>
        <w:rPr>
          <w:color w:val="777777"/>
          <w:sz w:val="16"/>
        </w:rPr>
        <w:t xml:space="preserve">p038 · att1 p.3  </w:t>
      </w:r>
      <w:r>
        <w:t>Low-risk AI should earn autonomy quickly. High-risk AI should earn it slowly.</w:t>
      </w:r>
    </w:p>
    <w:p>
      <w:r>
        <w:rPr>
          <w:color w:val="777777"/>
          <w:sz w:val="16"/>
        </w:rPr>
        <w:t xml:space="preserve">p039 · att1 p.3  </w:t>
      </w:r>
      <w:r>
        <w:t>A low-stakes informational function can rely on benchmarking, structured testing, and human-factors evaluation. A highrisk autonomous function should require progressively stronger evidence: shadow deployment, prospective clinical evaluation, human-AI team evaluation, and predefined stopping rules. This scales the regulatory pathway to the risk, rather than forcing every GenAI system through the same process.</w:t>
      </w:r>
    </w:p>
    <w:p>
      <w:r>
        <w:rPr>
          <w:color w:val="777777"/>
          <w:sz w:val="16"/>
        </w:rPr>
        <w:t xml:space="preserve">p040 · att1 p.3  </w:t>
      </w:r>
      <w:r>
        <w:t>Question 9 — Are the proposed competency domains sufficient?</w:t>
      </w:r>
    </w:p>
    <w:p>
      <w:r>
        <w:rPr>
          <w:color w:val="777777"/>
          <w:sz w:val="16"/>
        </w:rPr>
        <w:t xml:space="preserve">p041 · att1 p.3  </w:t>
      </w:r>
      <w:r>
        <w:t>Add scope discipline, clinical humility, longitudinal consistency, and team performance.</w:t>
      </w:r>
    </w:p>
    <w:p>
      <w:r>
        <w:rPr>
          <w:color w:val="777777"/>
          <w:sz w:val="16"/>
        </w:rPr>
        <w:t xml:space="preserve">p042 · att1 p.3  </w:t>
      </w:r>
      <w:r>
        <w:t>FDA's proposed domains — safety, clinical proficiency, generalizability — are appropriate but incomplete. I recommend four additions, organized around clinical practice rather than model capability:</w:t>
      </w:r>
    </w:p>
    <w:p>
      <w:r>
        <w:rPr>
          <w:color w:val="777777"/>
          <w:sz w:val="16"/>
        </w:rPr>
        <w:t xml:space="preserve">p043 · att1 p.3  </w:t>
      </w:r>
      <w:r>
        <w:t>• Scope discipline — the system must know, and refuse, what it is not authorized to do.</w:t>
      </w:r>
    </w:p>
    <w:p>
      <w:r>
        <w:rPr>
          <w:color w:val="777777"/>
          <w:sz w:val="16"/>
        </w:rPr>
        <w:t xml:space="preserve">p044 · att1 p.3  </w:t>
      </w:r>
      <w:r>
        <w:t>• Clinical humility — the system must recognize uncertainty and defer when evidence is insufficient.</w:t>
      </w:r>
    </w:p>
    <w:p>
      <w:r>
        <w:rPr>
          <w:color w:val="777777"/>
          <w:sz w:val="16"/>
        </w:rPr>
        <w:t xml:space="preserve">p045 · att1 p.3  </w:t>
      </w:r>
      <w:r>
        <w:t>• Longitudinal consistency — the system must hold up over time, not only on day one.</w:t>
      </w:r>
    </w:p>
    <w:p>
      <w:r>
        <w:rPr>
          <w:color w:val="777777"/>
          <w:sz w:val="16"/>
        </w:rPr>
        <w:t xml:space="preserve">p046 · att1 p.3  </w:t>
      </w:r>
      <w:r>
        <w:t>• Human-AI team performance — for assistive tools, the pairing, not the model in isolation, is sometimes the unit that should be regulated.</w:t>
      </w:r>
    </w:p>
    <w:p>
      <w:r>
        <w:rPr>
          <w:color w:val="777777"/>
          <w:sz w:val="16"/>
        </w:rPr>
        <w:t xml:space="preserve">p047 · att1 p.4  </w:t>
      </w:r>
      <w:r>
        <w:t>Question 10 — Do benchmarks predict real-world performance?</w:t>
      </w:r>
    </w:p>
    <w:p>
      <w:r>
        <w:rPr>
          <w:color w:val="777777"/>
          <w:sz w:val="16"/>
        </w:rPr>
        <w:t xml:space="preserve">p048 · att1 p.4  </w:t>
      </w:r>
      <w:r>
        <w:t>A benchmark a developer can optimize against isn't evidence. It's a target.</w:t>
      </w:r>
    </w:p>
    <w:p>
      <w:r>
        <w:rPr>
          <w:color w:val="777777"/>
          <w:sz w:val="16"/>
        </w:rPr>
        <w:t xml:space="preserve">p049 · att1 p.4  </w:t>
      </w:r>
      <w:r>
        <w:t>Public benchmarks support transparency but are insufficient alone, since developers can train toward them. I recommend a three-layer evidentiary structure: public benchmarks for comparison, sequestered regulatory benchmarks for independent assessment, and real-world clinical confirmation to demonstrate that benchmark performance actually translates to the clinic. No single layer should be sufficient for high-risk AI.</w:t>
      </w:r>
    </w:p>
    <w:p>
      <w:r>
        <w:rPr>
          <w:color w:val="777777"/>
          <w:sz w:val="16"/>
        </w:rPr>
        <w:t xml:space="preserve">p050 · att1 p.4  </w:t>
      </w:r>
      <w:r>
        <w:t>Question 11 — How should sponsors select clinical confirmation methods?</w:t>
      </w:r>
    </w:p>
    <w:p>
      <w:r>
        <w:rPr>
          <w:color w:val="777777"/>
          <w:sz w:val="16"/>
        </w:rPr>
        <w:t xml:space="preserve">p051 · att1 p.4  </w:t>
      </w:r>
      <w:r>
        <w:t>Build an evidence ladder, and require sponsors to climb it in order.</w:t>
      </w:r>
    </w:p>
    <w:p>
      <w:r>
        <w:rPr>
          <w:color w:val="777777"/>
          <w:sz w:val="16"/>
        </w:rPr>
        <w:t xml:space="preserve">p052 · att1 p.4  </w:t>
      </w:r>
      <w:r>
        <w:t>I recommend formalizing FDA's proposed progression into five tiers, with the required tier set by the risk determination in Part I:</w:t>
      </w:r>
    </w:p>
    <w:p>
      <w:r>
        <w:rPr>
          <w:color w:val="777777"/>
          <w:sz w:val="16"/>
        </w:rPr>
        <w:t xml:space="preserve">p053 · att1 p.4  </w:t>
      </w:r>
      <w:r>
        <w:t>1. Retrospective — real patient cases, no patient exposure.</w:t>
      </w:r>
    </w:p>
    <w:p>
      <w:r>
        <w:rPr>
          <w:color w:val="777777"/>
          <w:sz w:val="16"/>
        </w:rPr>
        <w:t xml:space="preserve">p054 · att1 p.4  </w:t>
      </w:r>
      <w:r>
        <w:t>2. Shadow — the AI operates in the real workflow but cannot affect care.</w:t>
      </w:r>
    </w:p>
    <w:p>
      <w:r>
        <w:rPr>
          <w:color w:val="777777"/>
          <w:sz w:val="16"/>
        </w:rPr>
        <w:t xml:space="preserve">p055 · att1 p.4  </w:t>
      </w:r>
      <w:r>
        <w:t>3. Supervised — outputs are used under defined clinician supervision.</w:t>
      </w:r>
    </w:p>
    <w:p>
      <w:r>
        <w:rPr>
          <w:color w:val="777777"/>
          <w:sz w:val="16"/>
        </w:rPr>
        <w:t xml:space="preserve">p056 · att1 p.4  </w:t>
      </w:r>
      <w:r>
        <w:t>4. Controlled autonomous deployment — the AI independently performs a narrowly defined function under enhanced monitoring.</w:t>
      </w:r>
    </w:p>
    <w:p>
      <w:r>
        <w:rPr>
          <w:color w:val="777777"/>
          <w:sz w:val="16"/>
        </w:rPr>
        <w:t xml:space="preserve">p057 · att1 p.4  </w:t>
      </w:r>
      <w:r>
        <w:t>5. Full intended-use deployment — reserved for systems whose demonstrated competence justifies the autonomy sought.</w:t>
      </w:r>
    </w:p>
    <w:p>
      <w:r>
        <w:rPr>
          <w:color w:val="777777"/>
          <w:sz w:val="16"/>
        </w:rPr>
        <w:t xml:space="preserve">p058 · att1 p.4  </w:t>
      </w:r>
      <w:r>
        <w:t>Question 12 — How should statistically meaningful performance be measured?</w:t>
      </w:r>
    </w:p>
    <w:p>
      <w:r>
        <w:rPr>
          <w:color w:val="777777"/>
          <w:sz w:val="16"/>
        </w:rPr>
        <w:t xml:space="preserve">p059 · att1 p.4  </w:t>
      </w:r>
      <w:r>
        <w:t>Statistically significant and clinically meaningful are not the same requirement. Demand both.</w:t>
      </w:r>
    </w:p>
    <w:p>
      <w:r>
        <w:rPr>
          <w:color w:val="777777"/>
          <w:sz w:val="16"/>
        </w:rPr>
        <w:t xml:space="preserve">p060 · att1 p.4  </w:t>
      </w:r>
      <w:r>
        <w:t>Sponsors should prespecify effect sizes that matter clinically — not only ones that clear a p-value — while allowing genuinely important improvements in rare-event settings to count even when conventional statistical thresholds are difficult to reach.</w:t>
      </w:r>
    </w:p>
    <w:p>
      <w:r>
        <w:rPr>
          <w:color w:val="777777"/>
          <w:sz w:val="16"/>
        </w:rPr>
        <w:t xml:space="preserve">p061 · att1 p.4  </w:t>
      </w:r>
      <w:r>
        <w:t>Question 13 — Where should synthetic data be used?</w:t>
      </w:r>
    </w:p>
    <w:p>
      <w:r>
        <w:rPr>
          <w:color w:val="777777"/>
          <w:sz w:val="16"/>
        </w:rPr>
        <w:t xml:space="preserve">p062 · att1 p.4  </w:t>
      </w:r>
      <w:r>
        <w:t>Synthetic data should expand the test universe. It should never become the evidence universe.</w:t>
      </w:r>
    </w:p>
    <w:p>
      <w:r>
        <w:rPr>
          <w:color w:val="777777"/>
          <w:sz w:val="16"/>
        </w:rPr>
        <w:t xml:space="preserve">p063 · att1 p.4  </w:t>
      </w:r>
      <w:r>
        <w:t>Synthetic data is valuable for rare events, adversarial scenarios, and situations too dangerous to induce in real patients. But synthetic data generated by models similar to the one under evaluation can reproduce the same blind spots it is meant to catch. FDA should favor independently generated and validated synthetic datasets for any decision with meaningful clinical consequence.</w:t>
      </w:r>
    </w:p>
    <w:p>
      <w:r>
        <w:rPr>
          <w:color w:val="777777"/>
          <w:sz w:val="16"/>
        </w:rPr>
        <w:t xml:space="preserve">p064 · att1 p.4  </w:t>
      </w:r>
      <w:r>
        <w:t>Questions 14–15 — What should AI be compared against?</w:t>
      </w:r>
    </w:p>
    <w:p>
      <w:r>
        <w:rPr>
          <w:color w:val="777777"/>
          <w:sz w:val="16"/>
        </w:rPr>
        <w:t xml:space="preserve">p065 · att1 p.4  </w:t>
      </w:r>
      <w:r>
        <w:t>The right comparator isn't “a physician.” It's whatever would actually happen to the patient otherwise.</w:t>
      </w:r>
    </w:p>
    <w:p>
      <w:r>
        <w:rPr>
          <w:color w:val="777777"/>
          <w:sz w:val="16"/>
        </w:rPr>
        <w:t xml:space="preserve">p066 · att1 p.4  </w:t>
      </w:r>
      <w:r>
        <w:t>There is no universal comparator. For an assistive radiology tool, compare the human-AI team against radiologist-alone performance. For an autonomous function, compare AI-alone performance against the real care pathway it replaces — which is sometimes not “an ideal clinician” but “no intervention until morning rounds.” This matters because an AI can be clearly valuable even if it never outperforms the best human clinician, so long as it outperforms the care patients actually receive today.</w:t>
      </w:r>
    </w:p>
    <w:p>
      <w:r>
        <w:rPr>
          <w:color w:val="777777"/>
          <w:sz w:val="16"/>
        </w:rPr>
        <w:t xml:space="preserve">p067 · att1 p.5  </w:t>
      </w:r>
      <w:r>
        <w:t>Question 16 — Should independent third parties participate?</w:t>
      </w:r>
    </w:p>
    <w:p>
      <w:r>
        <w:rPr>
          <w:color w:val="777777"/>
          <w:sz w:val="16"/>
        </w:rPr>
        <w:t xml:space="preserve">p068 · att1 p.5  </w:t>
      </w:r>
      <w:r>
        <w:t>Use independent evaluators to add capacity — not to create a new bottleneck or a private monopoly.</w:t>
      </w:r>
    </w:p>
    <w:p>
      <w:r>
        <w:rPr>
          <w:color w:val="777777"/>
          <w:sz w:val="16"/>
        </w:rPr>
        <w:t xml:space="preserve">p069 · att1 p.5  </w:t>
      </w:r>
      <w:r>
        <w:t>A network of qualified, FDA-overseen third parties — building on the existing ASCA and MDDT precedents — can maintain sequestered datasets, adjudicate cases, and audit postmarket performance. That network needs multiple organizations, transparent accreditation criteria, conflict-of-interest requirements, and appeal mechanisms, so the ecosystem never depends on a single gatekeeper.</w:t>
      </w:r>
    </w:p>
    <w:p>
      <w:r>
        <w:rPr>
          <w:color w:val="777777"/>
          <w:sz w:val="16"/>
        </w:rPr>
        <w:t xml:space="preserve">p070 · att1 p.5  </w:t>
      </w:r>
      <w:r>
        <w:t>Question 17 — Can competency-based evaluation apply across model architectures?</w:t>
      </w:r>
    </w:p>
    <w:p>
      <w:r>
        <w:rPr>
          <w:color w:val="777777"/>
          <w:sz w:val="16"/>
        </w:rPr>
        <w:t xml:space="preserve">p071 · att1 p.5  </w:t>
      </w:r>
      <w:r>
        <w:t>Regulate the clinical capability. Let the architecture change underneath it.</w:t>
      </w:r>
    </w:p>
    <w:p>
      <w:r>
        <w:rPr>
          <w:color w:val="777777"/>
          <w:sz w:val="16"/>
        </w:rPr>
        <w:t xml:space="preserve">p072 · att1 p.5  </w:t>
      </w:r>
      <w:r>
        <w:t>A foundation model, a multimodal model, and whatever comes after it should all face the same five questions: What clinical function does it perform? What information does it use? What authority does it have? What happens when it's wrong? How does it behave outside its scope? Architecture-specific rules will be obsolete before they're finalized; competency-based rules will not.</w:t>
      </w:r>
    </w:p>
    <w:p>
      <w:r>
        <w:rPr>
          <w:color w:val="777777"/>
          <w:sz w:val="16"/>
        </w:rPr>
        <w:t xml:space="preserve">p073 · att1 p.5  </w:t>
      </w:r>
      <w:r>
        <w:t>Part III — Postmarket Monitoring — Question 18 — Trading premarket certainty for postmarket monitoring</w:t>
      </w:r>
    </w:p>
    <w:p>
      <w:r>
        <w:rPr>
          <w:color w:val="777777"/>
          <w:sz w:val="16"/>
        </w:rPr>
        <w:t xml:space="preserve">p074 · att1 p.5  </w:t>
      </w:r>
      <w:r>
        <w:t>Yes — but only inside a defined risk envelope, with a real safety net underneath.</w:t>
      </w:r>
    </w:p>
    <w:p>
      <w:r>
        <w:rPr>
          <w:color w:val="777777"/>
          <w:sz w:val="16"/>
        </w:rPr>
        <w:t xml:space="preserve">p075 · att1 p.5  </w:t>
      </w:r>
      <w:r>
        <w:t>For low- and moderate-risk systems with reversible harms and continuously measurable performance, FDA can reasonably accept more premarket uncertainty in exchange for real-time monitoring and clear intervention thresholds. For highconsequence autonomous functions, postmarket monitoring should supplement adequate premarket evidence, not substitute for it. The more uncertainty accepted going in, the stronger the detection-and-correction mechanism required coming out.</w:t>
      </w:r>
    </w:p>
    <w:p>
      <w:r>
        <w:rPr>
          <w:color w:val="777777"/>
          <w:sz w:val="16"/>
        </w:rPr>
        <w:t xml:space="preserve">p076 · att1 p.5  </w:t>
      </w:r>
      <w:r>
        <w:t>Question 19 — How should postmarket reassessment work?</w:t>
      </w:r>
    </w:p>
    <w:p>
      <w:r>
        <w:rPr>
          <w:color w:val="777777"/>
          <w:sz w:val="16"/>
        </w:rPr>
        <w:t xml:space="preserve">p077 · att1 p.5  </w:t>
      </w:r>
      <w:r>
        <w:t>Time should not be the only reason to reassess a model.</w:t>
      </w:r>
    </w:p>
    <w:p>
      <w:r>
        <w:rPr>
          <w:color w:val="777777"/>
          <w:sz w:val="16"/>
        </w:rPr>
        <w:t xml:space="preserve">p078 · att1 p.5  </w:t>
      </w:r>
      <w:r>
        <w:t>I recommend a continuous “clinical license” model running three tracks in parallel: scheduled reassessment at fixed intervals; event-triggered reassessment (model changes, new clinical guidelines, adverse events); and signal-triggered reassessment the moment monitored performance crosses a predefined threshold. A system that degrades after five weeks needs attention faster than a five-year review cycle would ever catch it.</w:t>
      </w:r>
    </w:p>
    <w:p>
      <w:r>
        <w:rPr>
          <w:color w:val="777777"/>
          <w:sz w:val="16"/>
        </w:rPr>
        <w:t xml:space="preserve">p079 · att1 p.5  </w:t>
      </w:r>
      <w:r>
        <w:t>Question 20 — Can AI monitor AI?</w:t>
      </w:r>
    </w:p>
    <w:p>
      <w:r>
        <w:rPr>
          <w:color w:val="777777"/>
          <w:sz w:val="16"/>
        </w:rPr>
        <w:t xml:space="preserve">p080 · att1 p.5  </w:t>
      </w:r>
      <w:r>
        <w:t>A supervisory AI is not trustworthy just because its job is to supervise.</w:t>
      </w:r>
    </w:p>
    <w:p>
      <w:r>
        <w:rPr>
          <w:color w:val="777777"/>
          <w:sz w:val="16"/>
        </w:rPr>
        <w:t xml:space="preserve">p081 · att1 p.5  </w:t>
      </w:r>
      <w:r>
        <w:t>Machine-based supervisory agents can watch for drift, scope violations, and anomalous behavior — but the watcher needs its own benchmark, its own independent validation, and its own audit trail. For high-risk applications, supervisory AI should function like a clinical monitoring system, not an invisible background feature.</w:t>
      </w:r>
    </w:p>
    <w:p>
      <w:r>
        <w:rPr>
          <w:color w:val="777777"/>
          <w:sz w:val="16"/>
        </w:rPr>
        <w:t xml:space="preserve">p082 · att1 p.6  </w:t>
      </w:r>
      <w:r>
        <w:t>Part IV — Shared Responsibility, Change Management, and Agentic AI — Question 21 — Sharing responsibility without weakening accountability</w:t>
      </w:r>
    </w:p>
    <w:p>
      <w:r>
        <w:rPr>
          <w:color w:val="777777"/>
          <w:sz w:val="16"/>
        </w:rPr>
        <w:t xml:space="preserve">p083 · att1 p.6  </w:t>
      </w:r>
      <w:r>
        <w:t>Shared responsibility should never become shared ambiguity.</w:t>
      </w:r>
    </w:p>
    <w:p>
      <w:r>
        <w:rPr>
          <w:color w:val="777777"/>
          <w:sz w:val="16"/>
        </w:rPr>
        <w:t xml:space="preserve">p084 · att1 p.6  </w:t>
      </w:r>
      <w:r>
        <w:t>Manufacturer, healthcare institution, treating clinician, foundation-model provider, professional society, independent evaluator, and FDA each hold a distinct, assignable role — but the manufacturer retains primary accountability for the marketed device's clinical behavior. Neither “the hospital used it wrong” nor “FDA cleared it” should end the conversation about who is responsible.</w:t>
      </w:r>
    </w:p>
    <w:p>
      <w:r>
        <w:rPr>
          <w:color w:val="777777"/>
          <w:sz w:val="16"/>
        </w:rPr>
        <w:t xml:space="preserve">p085 · att1 p.6  </w:t>
      </w:r>
      <w:r>
        <w:t>Question 22 — Scaling re-benchmarking to modifications — Regulate the size of the behavior change, not the size of the code change.</w:t>
      </w:r>
    </w:p>
    <w:p>
      <w:r>
        <w:rPr>
          <w:color w:val="777777"/>
          <w:sz w:val="16"/>
        </w:rPr>
        <w:t xml:space="preserve">p086 · att1 p.6  </w:t>
      </w:r>
      <w:r>
        <w:t>A cosmetic interface tweak and a change to a model's reasoning or refusal behavior are not the same event, even when one line of code separates them. I recommend three modification tiers — minor (no material clinical effect, managed under quality systems), material (targeted re-benchmarking), and major (expanded clinical confirmation, potentially new FDA review) — sorted by clinical impact, not version number.</w:t>
      </w:r>
    </w:p>
    <w:p>
      <w:r>
        <w:rPr>
          <w:color w:val="777777"/>
          <w:sz w:val="16"/>
        </w:rPr>
        <w:t xml:space="preserve">p087 · att1 p.6  </w:t>
      </w:r>
      <w:r>
        <w:t>Question 23 — PCCPs and unforeseeable future modifications — A PCCP should define the fence, not predict every future move inside it.</w:t>
      </w:r>
    </w:p>
    <w:p>
      <w:r>
        <w:rPr>
          <w:color w:val="777777"/>
          <w:sz w:val="16"/>
        </w:rPr>
        <w:t xml:space="preserve">p088 · att1 p.6  </w:t>
      </w:r>
      <w:r>
        <w:t>It is unrealistic to pre-specify every future change to prompts, retrieval, orchestration, or model weights. A PCCP should instead state what the system is authorized to do, what performance it must maintain, what boundaries cannot be crossed, and what triggers automatic revalidation — regulating the boundaries of acceptable evolution rather than attempting to forecast it.</w:t>
      </w:r>
    </w:p>
    <w:p>
      <w:r>
        <w:rPr>
          <w:color w:val="777777"/>
          <w:sz w:val="16"/>
        </w:rPr>
        <w:t xml:space="preserve">p089 · att1 p.6  </w:t>
      </w:r>
      <w:r>
        <w:t>Question 24 — Changes to third-party foundation models — “The foundation model changed” cannot be a liability shield.</w:t>
      </w:r>
    </w:p>
    <w:p>
      <w:r>
        <w:rPr>
          <w:color w:val="777777"/>
          <w:sz w:val="16"/>
        </w:rPr>
        <w:t xml:space="preserve">p090 · att1 p.6  </w:t>
      </w:r>
      <w:r>
        <w:t>A manufacturer cannot credibly guarantee safety if the model underneath its device can change without notice. FDA should expect contractual and technical guardrails — version identification, advance change notification, rollback capability, and audit logs — so a manufacturer marketing a device built on someone else's model still owns that device's clinical behavior.</w:t>
      </w:r>
    </w:p>
    <w:p>
      <w:r>
        <w:rPr>
          <w:color w:val="777777"/>
          <w:sz w:val="16"/>
        </w:rPr>
        <w:t xml:space="preserve">p091 · att1 p.6  </w:t>
      </w:r>
      <w:r>
        <w:t>Question 25 — Foundation Model Master Files — Voluntary disclosure won't be enough on its own for the highest-risk systems.</w:t>
      </w:r>
    </w:p>
    <w:p>
      <w:r>
        <w:rPr>
          <w:color w:val="777777"/>
          <w:sz w:val="16"/>
        </w:rPr>
        <w:t xml:space="preserve">p092 · att1 p.6  </w:t>
      </w:r>
      <w:r>
        <w:t>A Foundation Model MAF covering training-data provenance, known limitations, safety-relevant behaviors, and update policies is a good concept — but foundation-model developers have limited incentive to volunteer their own weaknesses. Pair the voluntary MAF with contractual disclosure requirements for medical-device use, plus FDA authority to request more when necessary. A foundation model doesn't need FDA approval to exist — but once it materially shapes a regulated device's behavior, the information needed to evaluate that device cannot stay proprietary.</w:t>
      </w:r>
    </w:p>
    <w:p>
      <w:r>
        <w:rPr>
          <w:color w:val="777777"/>
          <w:sz w:val="16"/>
        </w:rPr>
        <w:t xml:space="preserve">p093 · att1 p.6  </w:t>
      </w:r>
      <w:r>
        <w:t>Question 26 — Agentic AI — Regulate what the agent is allowed to do — not just what it can reason about.</w:t>
      </w:r>
    </w:p>
    <w:p>
      <w:r>
        <w:rPr>
          <w:color w:val="777777"/>
          <w:sz w:val="16"/>
        </w:rPr>
        <w:t xml:space="preserve">p094 · att1 p.6  </w:t>
      </w:r>
      <w:r>
        <w:t>Agentic AI changes the question from “can it recommend an action” to “can it execute a sequence of them.” I propose an explicit Clinical Agency Ladder, with evidence requirements climbing sharply at each level:</w:t>
      </w:r>
    </w:p>
    <w:p>
      <w:r>
        <w:rPr>
          <w:color w:val="777777"/>
          <w:sz w:val="16"/>
        </w:rPr>
        <w:t xml:space="preserve">p095 · att1 p.7  </w:t>
      </w:r>
      <w:r>
        <w:t>• Level 0 — Information: generates or retrieves information.</w:t>
      </w:r>
    </w:p>
    <w:p>
      <w:r>
        <w:rPr>
          <w:color w:val="777777"/>
          <w:sz w:val="16"/>
        </w:rPr>
        <w:t xml:space="preserve">p096 · att1 p.7  </w:t>
      </w:r>
      <w:r>
        <w:t>• Level 1 — Recommendation: recommends a clinical action.</w:t>
      </w:r>
    </w:p>
    <w:p>
      <w:r>
        <w:rPr>
          <w:color w:val="777777"/>
          <w:sz w:val="16"/>
        </w:rPr>
        <w:t xml:space="preserve">p097 · att1 p.7  </w:t>
      </w:r>
      <w:r>
        <w:t>• Level 2 — Supervised Action: executes actions subject to defined human oversight.</w:t>
      </w:r>
    </w:p>
    <w:p>
      <w:r>
        <w:rPr>
          <w:color w:val="777777"/>
          <w:sz w:val="16"/>
        </w:rPr>
        <w:t xml:space="preserve">p098 · att1 p.7  </w:t>
      </w:r>
      <w:r>
        <w:t>• Level 3 — Bounded Autonomy: independently executes predefined clinical workflows within a narrow scope.</w:t>
      </w:r>
    </w:p>
    <w:p>
      <w:r>
        <w:rPr>
          <w:color w:val="777777"/>
          <w:sz w:val="16"/>
        </w:rPr>
        <w:t xml:space="preserve">p099 · att1 p.7  </w:t>
      </w:r>
      <w:r>
        <w:t>• Level 4 — Autonomous Clinical Practice: independently makes and executes clinically consequential decisions within its licensed scope.</w:t>
      </w:r>
    </w:p>
    <w:p>
      <w:r>
        <w:rPr>
          <w:color w:val="777777"/>
          <w:sz w:val="16"/>
        </w:rPr>
        <w:t xml:space="preserve">p100 · att1 p.7  </w:t>
      </w:r>
      <w:r>
        <w:t>The Integrating Framework: Clinical AI Licensure — The 26 questions above point toward one underlying issue. Competency, benchmarking, clinical confirmation, human comparison, independent evaluation, re-benchmarking, monitoring, modification control, foundation-model transparency, and agentic autonomy do not need to become ten separate regulatory programs. They can be integrated into one framework: a Clinical AI License, tied to eight elements.</w:t>
      </w:r>
    </w:p>
    <w:p>
      <w:r>
        <w:rPr>
          <w:color w:val="777777"/>
          <w:sz w:val="16"/>
        </w:rPr>
        <w:t xml:space="preserve">p101 · att1 p.7  </w:t>
      </w:r>
      <w:r>
        <w:t>• Scope — exactly what the system is permitted to do.</w:t>
      </w:r>
    </w:p>
    <w:p>
      <w:r>
        <w:rPr>
          <w:color w:val="777777"/>
          <w:sz w:val="16"/>
        </w:rPr>
        <w:t xml:space="preserve">p102 · att1 p.7  </w:t>
      </w:r>
      <w:r>
        <w:t>• Competency — what level of performance it has demonstrated.</w:t>
      </w:r>
    </w:p>
    <w:p>
      <w:r>
        <w:rPr>
          <w:color w:val="777777"/>
          <w:sz w:val="16"/>
        </w:rPr>
        <w:t xml:space="preserve">p103 · att1 p.7  </w:t>
      </w:r>
      <w:r>
        <w:t>• Population — which patients it has demonstrated competence for.</w:t>
      </w:r>
    </w:p>
    <w:p>
      <w:r>
        <w:rPr>
          <w:color w:val="777777"/>
          <w:sz w:val="16"/>
        </w:rPr>
        <w:t xml:space="preserve">p104 · att1 p.7  </w:t>
      </w:r>
      <w:r>
        <w:t>• Environment — where it has demonstrated competence.</w:t>
      </w:r>
    </w:p>
    <w:p>
      <w:r>
        <w:rPr>
          <w:color w:val="777777"/>
          <w:sz w:val="16"/>
        </w:rPr>
        <w:t xml:space="preserve">p105 · att1 p.7  </w:t>
      </w:r>
      <w:r>
        <w:t>• Autonomy — what level of clinical action it may perform without human intervention.</w:t>
      </w:r>
    </w:p>
    <w:p>
      <w:r>
        <w:rPr>
          <w:color w:val="777777"/>
          <w:sz w:val="16"/>
        </w:rPr>
        <w:t xml:space="preserve">p106 · att1 p.7  </w:t>
      </w:r>
      <w:r>
        <w:t>• Monitoring — how continued competence is measured.</w:t>
      </w:r>
    </w:p>
    <w:p>
      <w:r>
        <w:rPr>
          <w:color w:val="777777"/>
          <w:sz w:val="16"/>
        </w:rPr>
        <w:t xml:space="preserve">p107 · att1 p.7  </w:t>
      </w:r>
      <w:r>
        <w:t>• Revalidation — what events require renewed evaluation.</w:t>
      </w:r>
    </w:p>
    <w:p>
      <w:r>
        <w:rPr>
          <w:color w:val="777777"/>
          <w:sz w:val="16"/>
        </w:rPr>
        <w:t xml:space="preserve">p108 · att1 p.7  </w:t>
      </w:r>
      <w:r>
        <w:t>• Accountability — who is responsible for keeping the system within its licensed boundaries.</w:t>
      </w:r>
    </w:p>
    <w:p>
      <w:r>
        <w:rPr>
          <w:color w:val="777777"/>
          <w:sz w:val="16"/>
        </w:rPr>
        <w:t xml:space="preserve">p109 · att1 p.7  </w:t>
      </w:r>
      <w:r>
        <w:t>Operationally, this runs as nine stages: Development → Competency Examination → Clinical Confirmation → Supervised Clinical Deployment → Provisional Authorization → Independent Authorization → Continuous Monitoring → Revalidation → Expansion or Restriction. A system demonstrating superior performance can earn expanded scope; a system demonstrating degradation can have its scope restricted or its authorization suspended. This is not a lower regulatory standard. It is a dynamic one.</w:t>
      </w:r>
    </w:p>
    <w:p>
      <w:r>
        <w:rPr>
          <w:color w:val="777777"/>
          <w:sz w:val="16"/>
        </w:rPr>
        <w:t xml:space="preserve">p110 · att1 p.7  </w:t>
      </w:r>
      <w:r>
        <w:t>A concrete threshold, stated plainly: Provisional Authorization should require performance at or above 50% of the specialty-specific human-clinician baseline, under mandatory supervision. Independent Authorization should require performance at or above 100% of that baseline, unsupervised. Below 50%, a model does not deploy in any clinical capacity.</w:t>
      </w:r>
    </w:p>
    <w:p>
      <w:r>
        <w:rPr>
          <w:color w:val="777777"/>
          <w:sz w:val="16"/>
        </w:rPr>
        <w:t xml:space="preserve">p111 · att1 p.7  </w:t>
      </w:r>
      <w:r>
        <w:t>This number is deliberately falsifiable and open to challenge — that is the point. A specific threshold gives sponsors, specialty societies, and FDA something concrete to test, argue with, and refine, rather than a framework everyone can agree with in the abstract and no one can act on.</w:t>
      </w:r>
    </w:p>
    <w:p>
      <w:r>
        <w:rPr>
          <w:color w:val="777777"/>
          <w:sz w:val="16"/>
        </w:rPr>
        <w:t xml:space="preserve">p112 · att1 p.7  </w:t>
      </w:r>
      <w:r>
        <w:t>This framework does not resolve one live objection, and should not pretend to: the Federation of State Medical Boards has publicly stated that AI is not ready to be licensed like a physician, and states — not FDA — traditionally regulate the practice of medicine.</w:t>
      </w:r>
    </w:p>
    <w:p>
      <w:r>
        <w:rPr>
          <w:color w:val="777777"/>
          <w:sz w:val="16"/>
        </w:rPr>
        <w:t xml:space="preserve">p113 · att1 p.7  </w:t>
      </w:r>
      <w:r>
        <w:t>A federal Clinical AI License, as proposed here, needs one of two resolutions to survive that objection. Either FDA authority is limited to a narrow, explicit question — whether a system may act autonomously at all — leaving every diagnosis and treatment decision by a human clinician untouched by this framework and by state practice-of-medicine law; or state medical boards reconcile to it the way they already reconcile to DEA registration and federal prescribing authority alongside their own licensure. FDA should take a position on which path it intends before an autonomous system is deployed and a state board intervenes — as one already has.</w:t>
      </w:r>
    </w:p>
    <w:p>
      <w:r>
        <w:rPr>
          <w:color w:val="777777"/>
          <w:sz w:val="16"/>
        </w:rPr>
        <w:t xml:space="preserve">p114 · att1 p.8  </w:t>
      </w:r>
      <w:r>
        <w:t>Final Recommendations — 1. Regulate clinical capability, not AI architecture — technology will evolve faster than regulation; clinical standards should not.</w:t>
      </w:r>
    </w:p>
    <w:p>
      <w:r>
        <w:rPr>
          <w:color w:val="777777"/>
          <w:sz w:val="16"/>
        </w:rPr>
        <w:t xml:space="preserve">p115 · att1 p.8  </w:t>
      </w:r>
      <w:r>
        <w:t>2. Make clinical agency a core risk dimension — an AI that can act should face more scrutiny than one that can only speak.</w:t>
      </w:r>
    </w:p>
    <w:p>
      <w:r>
        <w:rPr>
          <w:color w:val="777777"/>
          <w:sz w:val="16"/>
        </w:rPr>
        <w:t xml:space="preserve">p116 · att1 p.8  </w:t>
      </w:r>
      <w:r>
        <w:t>3. Adopt competency-based evaluation — benchmarking plus clinical confirmation is the right foundation.</w:t>
      </w:r>
    </w:p>
    <w:p>
      <w:r>
        <w:rPr>
          <w:color w:val="777777"/>
          <w:sz w:val="16"/>
        </w:rPr>
        <w:t xml:space="preserve">p117 · att1 p.8  </w:t>
      </w:r>
      <w:r>
        <w:t>4. Create graduated autonomy — AI should earn increasing clinical authority through demonstrated competence.</w:t>
      </w:r>
    </w:p>
    <w:p>
      <w:r>
        <w:rPr>
          <w:color w:val="777777"/>
          <w:sz w:val="16"/>
        </w:rPr>
        <w:t xml:space="preserve">p118 · att1 p.8  </w:t>
      </w:r>
      <w:r>
        <w:t>5. Establish supervised clinical deployment — “not ready for independent practice” should not mean “not eligible for clinical use.”</w:t>
      </w:r>
    </w:p>
    <w:p>
      <w:r>
        <w:rPr>
          <w:color w:val="777777"/>
          <w:sz w:val="16"/>
        </w:rPr>
        <w:t xml:space="preserve">p119 · att1 p.8  </w:t>
      </w:r>
      <w:r>
        <w:t>6. Make authorization dynamic — competence should be continuously demonstrated, not permanently assumed.</w:t>
      </w:r>
    </w:p>
    <w:p>
      <w:r>
        <w:rPr>
          <w:color w:val="777777"/>
          <w:sz w:val="16"/>
        </w:rPr>
        <w:t xml:space="preserve">p120 · att1 p.8  </w:t>
      </w:r>
      <w:r>
        <w:t>7. Establish objective revalidation triggers — model changes, performance degradation, and new indications should all trigger reassessment.</w:t>
      </w:r>
    </w:p>
    <w:p>
      <w:r>
        <w:rPr>
          <w:color w:val="777777"/>
          <w:sz w:val="16"/>
        </w:rPr>
        <w:t xml:space="preserve">p121 · att1 p.8  </w:t>
      </w:r>
      <w:r>
        <w:t>8. Use independent third parties to add capacity without diluting FDA's ultimate authority.</w:t>
      </w:r>
    </w:p>
    <w:p>
      <w:r>
        <w:rPr>
          <w:color w:val="777777"/>
          <w:sz w:val="16"/>
        </w:rPr>
        <w:t xml:space="preserve">p122 · att1 p.8  </w:t>
      </w:r>
      <w:r>
        <w:t>9. Maintain manufacturer accountability — shared ecosystem responsibility should never become shared regulatory ambiguity.</w:t>
      </w:r>
    </w:p>
    <w:p>
      <w:r>
        <w:rPr>
          <w:color w:val="777777"/>
          <w:sz w:val="16"/>
        </w:rPr>
        <w:t xml:space="preserve">p123 · att1 p.8  </w:t>
      </w:r>
      <w:r>
        <w:t>10. Require foundation-model transparency sufficient to evaluate the device built on it — a manufacturer cannot control what it cannot see.</w:t>
      </w:r>
    </w:p>
    <w:p>
      <w:r>
        <w:rPr>
          <w:color w:val="777777"/>
          <w:sz w:val="16"/>
        </w:rPr>
        <w:t xml:space="preserve">p124 · att1 p.8  </w:t>
      </w:r>
      <w:r>
        <w:t>11. Regulate agentic AI according to clinical authority, not just reasoning capability.</w:t>
      </w:r>
    </w:p>
    <w:p>
      <w:r>
        <w:rPr>
          <w:color w:val="777777"/>
          <w:sz w:val="16"/>
        </w:rPr>
        <w:t xml:space="preserve">p125 · att1 p.8  </w:t>
      </w:r>
      <w:r>
        <w:t>12. Reward superior clinical outcomes — human performance should be a reference point, not a ceiling.</w:t>
      </w:r>
    </w:p>
    <w:p>
      <w:r>
        <w:rPr>
          <w:color w:val="777777"/>
          <w:sz w:val="16"/>
        </w:rPr>
        <w:t xml:space="preserve">p126 · att1 p.8  </w:t>
      </w:r>
      <w:r>
        <w:t>Conclusion — GenAI differs from conventional medical-device software because it produces variable outputs, interacts dynamically with users, operates across open-ended situations, evolves over time, and increasingly takes autonomous action. FDA is right that traditional testing methodologies may not be sufficient, and right to explore competency-based evaluation, clinical confirmation, postmarket monitoring, independent evaluation, and new approaches to agentic AI.</w:t>
      </w:r>
    </w:p>
    <w:p>
      <w:r>
        <w:rPr>
          <w:color w:val="777777"/>
          <w:sz w:val="16"/>
        </w:rPr>
        <w:t xml:space="preserve">p127 · att1 p.8  </w:t>
      </w:r>
      <w:r>
        <w:t>The next step is to connect these ideas. The United States already has a mature system for managing clinical competence under uncertainty: we establish competencies, test knowledge, supervise practice, progressively grant autonomy, license independent practice, monitor performance, and restrict practice when competence is no longer demonstrated. We regulate GenAI not because AI is a physician — but because AI performing the functions of a physician is exercising clinical authority, and clinical authority has always been the thing we regulate most carefully.</w:t>
      </w:r>
    </w:p>
    <w:p>
      <w:r>
        <w:rPr>
          <w:color w:val="777777"/>
          <w:sz w:val="16"/>
        </w:rPr>
        <w:t xml:space="preserve">p128 · att1 p.8  </w:t>
      </w:r>
      <w:r>
        <w:t>We should not regulate AI based on what it is today. We should regulate it based on what it is authorized to do — and require it to continuously prove that it deserves that authority.</w:t>
      </w:r>
    </w:p>
    <w:p>
      <w:r>
        <w:rPr>
          <w:color w:val="777777"/>
          <w:sz w:val="16"/>
        </w:rPr>
        <w:t xml:space="preserve">p129 · att1 p.8  </w:t>
      </w:r>
      <w:r>
        <w:t>This comment addresses more of the discussion paper's questions than most respondents will have the opportunity to reach, and consequently proposes a more structural change than an incremental one. I would welcome the opportunity to discuss any part of this framework further with FDA staff, or with other stakeholders — industry, health systems, or medicine — working on the same problem.</w:t>
      </w:r>
    </w:p>
    <w:p>
      <w:r>
        <w:rPr>
          <w:color w:val="777777"/>
          <w:sz w:val="16"/>
        </w:rPr>
        <w:t xml:space="preserve">p130 · att1 p.8  </w:t>
      </w:r>
      <w:r>
        <w:t>For related commentary by the author, see “AI Doesn’t Need More Guardrails in Healthcare. It Needs a Section 230” and “The Hidden Healthcare AI Accelerator: Health Insurance Companies”, both on LinkedIn.</w:t>
      </w:r>
    </w:p>
    <w:p>
      <w:r>
        <w:rPr>
          <w:color w:val="777777"/>
          <w:sz w:val="16"/>
        </w:rPr>
        <w:t xml:space="preserve">p131 · att1 p.9  </w:t>
      </w:r>
      <w:r>
        <w:t>Respectfully submitted, Ravi R. Pankhaniya, MD Strategic Advisor to Med-Tech Companies | Physician Executive &amp; Founder | Healthcare AI &amp; Deep Tech | Multi-Exit | CFO linkedin.com/in/ravicofounder August 27, 2026</w:t>
      </w:r>
    </w:p>
    <w:p>
      <w:pPr>
        <w:pStyle w:val="Heading1"/>
        <w:pageBreakBefore/>
      </w:pPr>
      <w:r>
        <w:t>FDA-2026-N-7874-0046</w:t>
      </w:r>
    </w:p>
    <w:p>
      <w:r>
        <w:t>Comment from Blaine Warkentine</w:t>
      </w:r>
    </w:p>
    <w:p>
      <w:r>
        <w:rPr>
          <w:color w:val="777777"/>
          <w:sz w:val="18"/>
        </w:rPr>
        <w:t>received 2026-08-28 · attachments: attachment_1.pdf (4 pp)</w:t>
      </w:r>
    </w:p>
    <w:p>
      <w:r>
        <w:rPr>
          <w:color w:val="777777"/>
          <w:sz w:val="16"/>
        </w:rPr>
        <w:t xml:space="preserve">p001 · body  </w:t>
      </w:r>
      <w:r>
        <w:t>Thank you for issuing this discussion paper and inviting early input. I am a physician who has spent 20+ years at the boundary between clinicians and health technology, and I now build and operate software through which licensed physicians review and attest to AI-generated clinical outputs. The through-line of these comments is one distinction the paper is already reaching for: the question is not only how accurate a generative model is, but who is accountable for the consequences of acting on its output. Accuracy is a property of a model; accountability is a property of a person.</w:t>
      </w:r>
    </w:p>
    <w:p>
      <w:r>
        <w:rPr>
          <w:color w:val="777777"/>
          <w:sz w:val="16"/>
        </w:rPr>
        <w:t xml:space="preserve">p002 · body  </w:t>
      </w:r>
      <w:r>
        <w:t>1. Endorse the two-axis risk framework - and make a named human-in-the-loop and reversibility first-class, risk-LOWERING variables, not only a way to sort risk upward. Inserting a qualified human who reviews the basis for an output and signs or declines it before it becomes consequential moves a device DOWN the effective-risk surface, the mirror image of autonomy moving it up. Two devices with identical capability should not carry identical risk if one routes every consequential output through an accountable licensed reviewer and the other acts alone.</w:t>
      </w:r>
    </w:p>
    <w:p>
      <w:r>
        <w:rPr>
          <w:color w:val="777777"/>
          <w:sz w:val="16"/>
        </w:rPr>
        <w:t xml:space="preserve">p003 · body  </w:t>
      </w:r>
      <w:r>
        <w:t>2. Make the clinical-decision-support boundary explicit. Connect the lower risk of HCP-facing use to the independent-review criterion at section 520(o)(1)(E): when a qualified professional can independently review the BASIS for a recommendation before acting, the device occupies a distinct, lower-risk class. Naming that "name-the-human" pattern gives developers a clear, safety-promoting target.</w:t>
      </w:r>
    </w:p>
    <w:p>
      <w:r>
        <w:rPr>
          <w:color w:val="777777"/>
          <w:sz w:val="16"/>
        </w:rPr>
        <w:t xml:space="preserve">p004 · body  </w:t>
      </w:r>
      <w:r>
        <w:t>3. In competency-based evaluation, score the human-AI TEAM as deployed - and be precise that the human's role is accountability, not higher accuracy. Adding a human to an already-strong model does not reliably raise task accuracy and can lower it on some decision tasks (Vaccaro et al., Nature Human Behaviour, 2024). The inference is not "remove the human" but that the human's function in a regulated device is ownership of and answerability for the consequence, which no benchmark confers. Benchmark the model honestly on its own; let clinical confirmation measure the team as deployed. The paper's escalation and clinical-deferral competencies are exactly right.</w:t>
      </w:r>
    </w:p>
    <w:p>
      <w:r>
        <w:rPr>
          <w:color w:val="777777"/>
          <w:sz w:val="16"/>
        </w:rPr>
        <w:t xml:space="preserve">p005 · body  </w:t>
      </w:r>
      <w:r>
        <w:t>4. Postmarket "shared-ecosystem responsibility" works only with a portable, tamper-evident record of who reviewed what and what they decided. Periodic re-benchmarking, sample-based clinician review, and drift monitoring function only if a durable, privacy-preserving record of the human decision travels with the determination. One workable pattern: each reviewed output becomes a signed, timestamped, PHI-free attestation whose fingerprint is anchored to an external tamper-evident ledger, so the determination and its sign-off can be verified after the fact without exposing patient data.</w:t>
      </w:r>
    </w:p>
    <w:p>
      <w:r>
        <w:rPr>
          <w:color w:val="777777"/>
          <w:sz w:val="16"/>
        </w:rPr>
        <w:t xml:space="preserve">p006 · body  </w:t>
      </w:r>
      <w:r>
        <w:t>5. For agentic systems, anchor oversight to whether a named, licensed human signs the consequential action - not to autonomy in the abstract. At each point where the system takes a consequential or hard-to-reverse action, is there a qualified human who reviews the basis and is accountable for it? That checkpoint scales across architectures and is more robust to prompt injection than autonomy labels. The paper's principle - that a foundation-model master file is not a device approval, and the sponsor deploying the device remains responsible - is exactly right and should stay central.</w:t>
      </w:r>
    </w:p>
    <w:p>
      <w:r>
        <w:rPr>
          <w:color w:val="777777"/>
          <w:sz w:val="16"/>
        </w:rPr>
        <w:t xml:space="preserve">p007 · body  </w:t>
      </w:r>
      <w:r>
        <w:t>A great deal of what a generative model does (retrieval, drafting, summarization, triage) is well suited to automation, and the framework should keep that path light. The narrow, load-bearing exception is the consequential clinical or coverage decision, where the durable requirement is not a better score but an accountable, licensed human who reviews the basis, signs, and answers for the outcome. I would be glad to provide further detail, including the attestation-and-ledger pattern in point 4.</w:t>
      </w:r>
    </w:p>
    <w:p>
      <w:r>
        <w:rPr>
          <w:color w:val="777777"/>
          <w:sz w:val="16"/>
        </w:rPr>
        <w:t xml:space="preserve">p008 · body  </w:t>
      </w:r>
      <w:r>
        <w:t>Respectfully submitted,</w:t>
      </w:r>
    </w:p>
    <w:p>
      <w:r>
        <w:rPr>
          <w:color w:val="777777"/>
          <w:sz w:val="16"/>
        </w:rPr>
        <w:t xml:space="preserve">p009 · body  </w:t>
      </w:r>
      <w:r>
        <w:t>Blaine Warkentine</w:t>
      </w:r>
    </w:p>
    <w:p>
      <w:r>
        <w:rPr>
          <w:color w:val="777777"/>
          <w:sz w:val="16"/>
        </w:rPr>
        <w:t xml:space="preserve">p010 · att1 p.1  </w:t>
      </w:r>
      <w:r>
        <w:t>Comment on Docket FDA-2026-N-7874 — Considerations for the Regulation of Generative AI-Enabled Medical Devices — Discussion</w:t>
      </w:r>
    </w:p>
    <w:p>
      <w:r>
        <w:rPr>
          <w:color w:val="777777"/>
          <w:sz w:val="16"/>
        </w:rPr>
        <w:t xml:space="preserve">p011 · att1 p.1  </w:t>
      </w:r>
      <w:r>
        <w:t>Paper and Request for Feedback — To: Digital Health Center of Excellence, Center for Devices and Radiological Health, U.S. Food and Drug Administration</w:t>
      </w:r>
    </w:p>
    <w:p>
      <w:r>
        <w:rPr>
          <w:color w:val="777777"/>
          <w:sz w:val="16"/>
        </w:rPr>
        <w:t xml:space="preserve">p012 · att1 p.1  </w:t>
      </w:r>
      <w:r>
        <w:t>Submitted via: Regulations.gov, Docket No. FDA-2026-N-7874 — From: Blaine Warkentine, MD, MBA — Date: August 27, 2026</w:t>
      </w:r>
    </w:p>
    <w:p>
      <w:r>
        <w:rPr>
          <w:color w:val="777777"/>
          <w:sz w:val="16"/>
        </w:rPr>
        <w:t xml:space="preserve">p013 · att1 p.1  </w:t>
      </w:r>
      <w:r>
        <w:t>Thank you for issuing this discussion paper and for inviting early input. I am a physician (MD, Medical College of Wisconsin; MBA, University of Utah) who has spent more than twenty years at the boundary between clinicians and health technology — including building the orthopedic vertical of an image-guided surgical-navigation company (BrainLAB) to roughly $250M, and named inventor on patents in image-guided navigation. I now build and operate production software through which licensed physicians review and attest to AI-generated clinical outputs. I write in support of the paper's central instincts, and to offer five refinements grounded in systems I actually run.</w:t>
      </w:r>
    </w:p>
    <w:p>
      <w:r>
        <w:rPr>
          <w:color w:val="777777"/>
          <w:sz w:val="16"/>
        </w:rPr>
        <w:t xml:space="preserve">p014 · att1 p.1  </w:t>
      </w:r>
      <w:r>
        <w:t>The through-line of these comments is a single distinction the paper is already reaching for: the question is not only how accurate a generative model is, but who is accountable for the consequence of acting on its output. Accuracy is a property of a model; accountability is a property of a person. The framework will be strongest where it keeps those two separate and builds around the second.</w:t>
      </w:r>
    </w:p>
    <w:p>
      <w:r>
        <w:rPr>
          <w:color w:val="777777"/>
          <w:sz w:val="16"/>
        </w:rPr>
        <w:t xml:space="preserve">p015 · att1 p.1  </w:t>
      </w:r>
      <w:r>
        <w:t>1. Endorse the two-axis risk framework — and make a named human-in- the-loop and reversibility first-class, risk-lowering variables, not only a way to sort risk upward. The Activity axis rightly treats fully-autonomous action as higher-risk than an informational, non-directive output. We encourage the framework to state explicitly the mirror image: inserting a qualified human who reviews the basis for an output and signs — or declines — it before it becomes consequential is a mitigation that moves a device down the effective-risk surface, just as autonomy moves it up. Two devices with identical raw capability should not carry identical regulatory risk if one routes every consequential output through an accountable licensed reviewer and the other acts on its own. The reversibility of the action deserves the same first-class treatment. Making these explicit gives developers a concrete, safety-promoting design target rather than a penalty to be discovered late.</w:t>
      </w:r>
    </w:p>
    <w:p>
      <w:r>
        <w:rPr>
          <w:color w:val="777777"/>
          <w:sz w:val="16"/>
        </w:rPr>
        <w:t xml:space="preserve">p016 · att1 p.2  </w:t>
      </w:r>
      <w:r>
        <w:t>2. Make the clinical-decision-support boundary explicit in the framework. The paper notes that HCP-facing use lowers risk because a clinician can catch an incorrect output. We encourage CDRH to connect this directly to the statutory independent-review criterion at section 520(o)(1)(E): when a device is designed so that a qualified professional can independently review the basis for its recommendation, and does so before acting, it occupies a distinct, lower-risk class. Naming that "name-the-human" design pattern in the framework would let developers build toward a clear line, rather than discovering it case by case, and would reward exactly the architecture the paper's safety logic favors.</w:t>
      </w:r>
    </w:p>
    <w:p>
      <w:r>
        <w:rPr>
          <w:color w:val="777777"/>
          <w:sz w:val="16"/>
        </w:rPr>
        <w:t xml:space="preserve">p017 · att1 p.2  </w:t>
      </w:r>
      <w:r>
        <w:t>3. In competency-based evaluation, score the human–AI team as it will be deployed — and be precise that the human's role is accountability, not a guarantee of higher accuracy. The analogy to how clinicians are trained and credentialed is apt. We add one caution from the evidence: adding a human reviewer to an already-strong model does not reliably raise task accuracy, and on some decision tasks can lower it (Vaccaro et al., Nature Human</w:t>
      </w:r>
    </w:p>
    <w:p>
      <w:r>
        <w:rPr>
          <w:color w:val="777777"/>
          <w:sz w:val="16"/>
        </w:rPr>
        <w:t xml:space="preserve">p018 · att1 p.2  </w:t>
      </w:r>
      <w:r>
        <w:t>Behaviour, 2024). The right inference is not "remove the human" — it is that the human's function in a regulated device is ownership of and answerability for the consequence, which no benchmark score confers. So benchmark the model honestly on its own, but let clinical confirmation measure the team as actually deployed. The paper's safety competencies for recognizing safety-critical situations and escalating, and for calibration, uncertainty, and clinical deferral, are exactly right: a device that reliably knows when to hand off to a human is demonstrating the safety-critical behavior, not failing to be autonomous.</w:t>
      </w:r>
    </w:p>
    <w:p>
      <w:r>
        <w:rPr>
          <w:color w:val="777777"/>
          <w:sz w:val="16"/>
        </w:rPr>
        <w:t xml:space="preserve">p019 · att1 p.2  </w:t>
      </w:r>
      <w:r>
        <w:t>4. Postmarket "shared-ecosystem responsibility" works only with a portable, tamper-evident record of who reviewed what and what they decided. The paper's call for periodic re-benchmarking, sample-based clinician review, and drift / performance-degradation monitoring is well-placed, and distributing responsibility across manufacturers, clinicians, and institutions is realistic. In practice it functions only if a durable, privacy-preserving record of the human decision travels with the determination. We build and operate one such pattern: each reviewed output becomes a signed, timestamped, PHI-free attestation whose fingerprint is anchored to an external, tamper-evident ledger, so a determination and its human sign-off can be independently verified after the fact without exposing patient data. We offer the pattern, not a product, as one concrete way to make shared postmarket responsibility auditable, and would welcome the opportunity to share the design with the Center in detail.</w:t>
      </w:r>
    </w:p>
    <w:p>
      <w:r>
        <w:rPr>
          <w:color w:val="777777"/>
          <w:sz w:val="16"/>
        </w:rPr>
        <w:t xml:space="preserve">p020 · att1 p.3  </w:t>
      </w:r>
      <w:r>
        <w:t>5. For agentic systems, anchor oversight to whether a named, licensed human signs the consequential action — not to autonomy in the abstract. The paper is right to give agentic AI elevated scrutiny for its "reduced opportunity for human review." We suggest the operative test be functional and local: at each point where the system takes an action that is consequential or difficult to reverse, is there a qualified human who reviews the basis and is accountable for it? Oversight tied to that checkpoint scales across architectures and is more robust to prompt injection than autonomy-level labels alone. The paper's own principle — that a foundation-model master file is not a device approval, and that the sponsor deploying the device remains responsible for it — is exactly right, and we encourage CDRH to keep it central: the party who deploys the AI, and the licensed human who signs the consequential output, are where accountability must sit.</w:t>
      </w:r>
    </w:p>
    <w:p>
      <w:r>
        <w:rPr>
          <w:color w:val="777777"/>
          <w:sz w:val="16"/>
        </w:rPr>
        <w:t xml:space="preserve">p021 · att1 p.3  </w:t>
      </w:r>
      <w:r>
        <w:t>These five points are one argument seen from five sides. A great deal of what a generative model does — retrieval, drafting, summarization, triage — is genuinely well suited to automation, and the framework should keep that path light. The narrow, load- bearing exception is the consequential clinical or coverage decision, where the durable requirement is not a better score but an accountable, licensed human who reviews the basis, signs, and answers for the outcome. A framework that names that human explicitly — as a risk-lowering design element, as a distinct regulatory class, as the unit of clinical confirmation, as the postmarket record, and as the agentic checkpoint — will age well as the models keep improving.</w:t>
      </w:r>
    </w:p>
    <w:p>
      <w:r>
        <w:rPr>
          <w:color w:val="777777"/>
          <w:sz w:val="16"/>
        </w:rPr>
        <w:t xml:space="preserve">p022 · att1 p.3  </w:t>
      </w:r>
      <w:r>
        <w:t>I appreciate the Center's leadership in seeking input this early, and I would be glad to provide further detail on any of the above, including the attestation-and-ledger pattern described in point four.</w:t>
      </w:r>
    </w:p>
    <w:p>
      <w:r>
        <w:rPr>
          <w:color w:val="777777"/>
          <w:sz w:val="16"/>
        </w:rPr>
        <w:t xml:space="preserve">p023 · att1 p.3  </w:t>
      </w:r>
      <w:r>
        <w:t>Respectfully submitted,</w:t>
      </w:r>
    </w:p>
    <w:p>
      <w:r>
        <w:rPr>
          <w:color w:val="777777"/>
          <w:sz w:val="16"/>
        </w:rPr>
        <w:t xml:space="preserve">p024 · att1 p.3  </w:t>
      </w:r>
      <w:r>
        <w:t>Blaine Warkentine, MD, MBA — Reference cited: Vaccaro, Almaatouq &amp; Malone, "When combinations of humans and AI are useful: A systematic review and meta-analysis," Nature Human Behaviour, 2024. These comments reflect the author's own views and describe design patterns in general terms; they are not legal advice and do not disclose patient information.</w:t>
      </w:r>
    </w:p>
    <w:p>
      <w:pPr>
        <w:pStyle w:val="Heading1"/>
        <w:pageBreakBefore/>
      </w:pPr>
      <w:r>
        <w:t>FDA-2026-N-7874-0047</w:t>
      </w:r>
    </w:p>
    <w:p>
      <w:r>
        <w:t>Comment from QC Healthcare</w:t>
      </w:r>
    </w:p>
    <w:p>
      <w:r>
        <w:rPr>
          <w:color w:val="777777"/>
          <w:sz w:val="18"/>
        </w:rPr>
        <w:t>Private Industry - C0003 · received 2026-08-28 · attachments: attachment_1.pdf (3 pp)</w:t>
      </w:r>
    </w:p>
    <w:p>
      <w:r>
        <w:rPr>
          <w:color w:val="777777"/>
          <w:sz w:val="16"/>
        </w:rPr>
        <w:t xml:space="preserve">p001 · body  </w:t>
      </w:r>
      <w:r>
        <w:t>QC Healthcare welcomes the U.S. Food and Drug Administration’s effort to establish a thoughtful, risk-based regulatory framework for generative artificial intelligence-enabled medical devices. Across QC Healthcare and all current and future healthcare platforms, we believe AI can meaningfully improve access, clinical efficiency, care coordination, medical research, and patient outcomes. The United States should remain at the forefront of responsible healthcare innovation while ensuring that the speed of technological advancement never outpaces patient safety.</w:t>
      </w:r>
    </w:p>
    <w:p>
      <w:r>
        <w:rPr>
          <w:color w:val="777777"/>
          <w:sz w:val="16"/>
        </w:rPr>
        <w:t xml:space="preserve">p002 · body  </w:t>
      </w:r>
      <w:r>
        <w:t>AI should be used to strengthen healthcare professionals—not indiscriminately replace their clinical judgment. Low-risk administrative functions, including scheduling, documentation assistance, workflow management, patient navigation, and certain operational communications, should benefit from appropriate automation. Clinical applications, however, must be regulated according to the seriousness of the decision, the vulnerability of the patient, and the potential consequences of an error.</w:t>
      </w:r>
    </w:p>
    <w:p>
      <w:r>
        <w:rPr>
          <w:color w:val="777777"/>
          <w:sz w:val="16"/>
        </w:rPr>
        <w:t xml:space="preserve">p003 · body  </w:t>
      </w:r>
      <w:r>
        <w:t>AI-supported diagnosis and differential diagnosis, prescribing and medication changes, treatment planning, referrals, emergency triage, and escalation decisions should always require review and approval by a licensed clinician. Decisions involving pediatric patients and other vulnerable populations must be subject to stricter validation standards and enhanced human oversight. AI may inform these decisions, but responsibility for higher-risk care must remain with an appropriately qualified healthcare professional.</w:t>
      </w:r>
    </w:p>
    <w:p>
      <w:r>
        <w:rPr>
          <w:color w:val="777777"/>
          <w:sz w:val="16"/>
        </w:rPr>
        <w:t xml:space="preserve">p004 · body  </w:t>
      </w:r>
      <w:r>
        <w:t>ENFORCEABLE GUARDRAILS—NOT VOLUNTARY PRINCIPLES — A credible regulatory framework should require each of the following:</w:t>
      </w:r>
    </w:p>
    <w:p>
      <w:r>
        <w:rPr>
          <w:color w:val="777777"/>
          <w:sz w:val="16"/>
        </w:rPr>
        <w:t xml:space="preserve">p005 · body  </w:t>
      </w:r>
      <w:r>
        <w:t>• Independent premarket testing and recurring third-party audits;</w:t>
      </w:r>
    </w:p>
    <w:p>
      <w:r>
        <w:rPr>
          <w:color w:val="777777"/>
          <w:sz w:val="16"/>
        </w:rPr>
        <w:t xml:space="preserve">p006 · body  </w:t>
      </w:r>
      <w:r>
        <w:t>• Permanent, tamper-resistant decision logs showing the inputs used, outputs generated, actions taken, model version involved, and individuals responsible for review;</w:t>
      </w:r>
    </w:p>
    <w:p>
      <w:r>
        <w:rPr>
          <w:color w:val="777777"/>
          <w:sz w:val="16"/>
        </w:rPr>
        <w:t xml:space="preserve">p007 · body  </w:t>
      </w:r>
      <w:r>
        <w:t>• Clear patient disclosure when AI materially influences care, accompanied by meaningful consent where appropriate;</w:t>
      </w:r>
    </w:p>
    <w:p>
      <w:r>
        <w:rPr>
          <w:color w:val="777777"/>
          <w:sz w:val="16"/>
        </w:rPr>
        <w:t xml:space="preserve">p008 · body  </w:t>
      </w:r>
      <w:r>
        <w:t>• Continuous monitoring for accuracy, bias, cybersecurity vulnerabilities, model drift, and unequal outcomes among patient populations;</w:t>
      </w:r>
    </w:p>
    <w:p>
      <w:r>
        <w:rPr>
          <w:color w:val="777777"/>
          <w:sz w:val="16"/>
        </w:rPr>
        <w:t xml:space="preserve">p009 · body  </w:t>
      </w:r>
      <w:r>
        <w:t>• Mandatory incident reporting and defined procedures for immediately disabling, rolling back, or recalling unsafe AI functions; and</w:t>
      </w:r>
    </w:p>
    <w:p>
      <w:r>
        <w:rPr>
          <w:color w:val="777777"/>
          <w:sz w:val="16"/>
        </w:rPr>
        <w:t xml:space="preserve">p010 · body  </w:t>
      </w:r>
      <w:r>
        <w:t>• Meaningful financial penalties, corrective-action requirements, and FDA enforcement when developers or healthcare organizations fail to meet these obligations.</w:t>
      </w:r>
    </w:p>
    <w:p>
      <w:r>
        <w:rPr>
          <w:color w:val="777777"/>
          <w:sz w:val="16"/>
        </w:rPr>
        <w:t xml:space="preserve">p011 · body  </w:t>
      </w:r>
      <w:r>
        <w:t>LIFECYCLE MONITORING AND ACCOUNTABLE OWNERSHIP — Oversight must continue throughout the full life cycle of an AI system. A model that performed safely during its original evaluation may change because of software updates, new data, changes to an underlying foundation model, altered clinical environments, or expanding agentic capabilities. Every material change should be documented, assessed, and—when it could affect clinical performance or patient safety—independently revalidated before broader deployment.</w:t>
      </w:r>
    </w:p>
    <w:p>
      <w:r>
        <w:rPr>
          <w:color w:val="777777"/>
          <w:sz w:val="16"/>
        </w:rPr>
        <w:t xml:space="preserve">p012 · body  </w:t>
      </w:r>
      <w:r>
        <w:t>Responsibility must also be clearly assigned. Technology developers, medical-device manufacturers, healthcare organizations, and clinical users should not be permitted to shift accountability to one another following an adverse event. Each participant should have defined legal and operational responsibilities governing validation, deployment, monitoring, cybersecurity, clinician training, patient disclosure, and incident response.</w:t>
      </w:r>
    </w:p>
    <w:p>
      <w:r>
        <w:rPr>
          <w:color w:val="777777"/>
          <w:sz w:val="16"/>
        </w:rPr>
        <w:t xml:space="preserve">p013 · body  </w:t>
      </w:r>
      <w:r>
        <w:t>PATIENT RIGHTS AND PUBLIC TRUST — Patients must retain meaningful rights within an AI-enabled healthcare system. They should be able to understand when AI materially influences their care, request appropriate human review, correct inaccurate information, and report concerns without losing access to treatment. Transparency must be understandable to patients and clinicians—not buried within technical documentation or lengthy terms of service.</w:t>
      </w:r>
    </w:p>
    <w:p>
      <w:r>
        <w:rPr>
          <w:color w:val="777777"/>
          <w:sz w:val="16"/>
        </w:rPr>
        <w:t xml:space="preserve">p014 · body  </w:t>
      </w:r>
      <w:r>
        <w:t>QC Healthcare supports innovation that expands access and enables clinicians to deliver safer, faster, and more informed care. Public trust, however, will depend on whether the nation establishes clear boundaries, measurable standards, independent oversight, and meaningful consequences when those standards are violated.</w:t>
      </w:r>
    </w:p>
    <w:p>
      <w:r>
        <w:rPr>
          <w:color w:val="777777"/>
          <w:sz w:val="16"/>
        </w:rPr>
        <w:t xml:space="preserve">p015 · body  </w:t>
      </w:r>
      <w:r>
        <w:t>The proper goal is not to prevent healthcare AI from advancing. It is to ensure that innovation advances with accountability, transparency, clinical responsibility, and patient safety built into its foundation. QC Healthcare looks forward to contributing its perspective and working with the FDA, federal policymakers, clinicians, patients, and technology developers to establish a durable framework for the responsible use of AI in American healthcare.</w:t>
      </w:r>
    </w:p>
    <w:p>
      <w:r>
        <w:rPr>
          <w:color w:val="777777"/>
          <w:sz w:val="16"/>
        </w:rPr>
        <w:t xml:space="preserve">p016 · body  </w:t>
      </w:r>
      <w:r>
        <w:t>Respectfully submitted,</w:t>
      </w:r>
    </w:p>
    <w:p>
      <w:r>
        <w:rPr>
          <w:color w:val="777777"/>
          <w:sz w:val="16"/>
        </w:rPr>
        <w:t xml:space="preserve">p017 · body  </w:t>
      </w:r>
      <w:r>
        <w:t>Eric Doherty — Chief Executive Officer — QC Healthcare — 8350 Arrowridge Boulevard, Suite 1A-9</w:t>
      </w:r>
    </w:p>
    <w:p>
      <w:r>
        <w:rPr>
          <w:color w:val="777777"/>
          <w:sz w:val="16"/>
        </w:rPr>
        <w:t xml:space="preserve">p018 · body  </w:t>
      </w:r>
      <w:r>
        <w:t>Charlotte, North Carolina 28273 — Telephone: 678-448-6776 — Email: ericdoherty@qchealthcaregroup.com</w:t>
      </w:r>
    </w:p>
    <w:p>
      <w:r>
        <w:rPr>
          <w:color w:val="777777"/>
          <w:sz w:val="16"/>
        </w:rPr>
        <w:t xml:space="preserve">p019 · att1 p.1  </w:t>
      </w:r>
      <w:r>
        <w:t>QC Healthcare 8350 Arrowridge Boulevard, Suite 1A-9 Charlotte, North Carolina 28273 From the Desk of Eric Doherty, CEO August 28, 2026 Dockets Management Staff (HFA-305) U.S. Food and Drug Administration 5630 Fishers Lane, Room 1061 Rockville, Maryland 20852 RE: Executive Statement on the Responsible Regulation of Generative AI-Enabled Medical Devices Docket: FDA-2026-N-7874 To Acting Commissioner Kyle Diamantas, Director Michelle Tarver, Director Rick Abramson, and Federal Health Policymakers: QC Healthcare welcomes the U.S. Food and Drug Administration’s effort to establish a thoughtful, risk-based regulatory framework for generative artificial intelligence-enabled medical devices. Across QC Healthcare and all current and future healthcare platforms, we believe AI can meaningfully improve access, clinical efficiency, care coordination, medical research, and patient outcomes. The United States should remain at the forefront of responsible healthcare innovation while ensuring that the speed of technological advancement never outpaces patient safety. AI should be used to strengthen healthcare professionals—not indiscriminately replace their clinical judgment. Low-risk administrative functions, including scheduling, documentation assistance, workflow management, patient navigation, and certain operational communications, should benefit from appropriate automation. Clinical applications, however, must be regulated according to the seriousness of the decision, the vulnerability of the patient, and the potential consequences of an error. AI-supported diagnosis and differential diagnosis, prescribing and medication changes, treatment planning, referrals, emergency triage, and escalation decisions should always require review and approval by a licensed clinician. Decisions involving pediatric patients and other vulnerable populations must be subject to stricter validation standards and enhanced human oversight. AI may inform these decisions, but responsibility for higher-risk care must remain with an appropriately qualified healthcare professional. ENFORCEABLE GUARDRAILS—NOT VOLUNTARY PRINCIPLES A credible regulatory framework should require each of the following: • Independent premarket testing and recurring third-party audits; • Permanent, tamper-resistant decision logs showing the inputs used, outputs generated, actions taken, model version involved, and individuals responsible for review; • Clear patient disclosure when AI materially influences care, accompanied by meaningful consent where appropriate; • Continuous monitoring for accuracy, bias, cybersecurity vulnerabilities, model drift, and unequal outcomes among patient populations;</w:t>
      </w:r>
    </w:p>
    <w:p>
      <w:r>
        <w:rPr>
          <w:color w:val="777777"/>
          <w:sz w:val="16"/>
        </w:rPr>
        <w:t xml:space="preserve">p020 · att1 p.2  </w:t>
      </w:r>
      <w:r>
        <w:t>• Mandatory incident reporting and defined procedures for immediately disabling, rolling back, or recalling unsafe AI functions; and • Meaningful financial penalties, corrective-action requirements, and FDA enforcement when developers or healthcare organizations fail to meet these obligations. LIFECYCLE MONITORING AND ACCOUNTABLE OWNERSHIP Oversight must continue throughout the full life cycle of an AI system. A model that performed safely during its original evaluation may change because of software updates, new data, changes to an underlying foundation model, altered clinical environments, or expanding agentic capabilities. Every material change should be documented, assessed, and— when it could affect clinical performance or patient safety—independently revalidated before broader deployment. Responsibility must also be clearly assigned. Technology developers, medical-device manufacturers, healthcare organizations, and clinical users should not be permitted to shift accountability to one another following an adverse event. Each participant should have defined legal and operational responsibilities governing validation, deployment, monitoring, cybersecurity, clinician training, patient disclosure, and incident response. PATIENT RIGHTS AND PUBLIC TRUST Patients must retain meaningful rights within an AI-enabled healthcare system. They should be able to understand when AI materially influences their care, request appropriate human review, correct inaccurate information, and report concerns without losing access to treatment. Transparency must be understandable to patients and clinicians—not buried within technical documentation or lengthy terms of service. QC Healthcare supports innovation that expands access and enables clinicians to deliver safer, faster, and more informed care. Public trust, however, will depend on whether the nation establishes clear boundaries, measurable standards, independent oversight, and meaningful consequences when those standards are violated. The proper goal is not to prevent healthcare AI from advancing. It is to ensure that innovation advances with accountability, transparency, clinical responsibility, and patient safety built into its foundation. QC Healthcare looks forward to contributing its perspective and working with the FDA, federal policymakers, clinicians, patients, and technology developers to establish a durable framework for the responsible use of AI in American healthcare. Respectfully submitted, Eric Doherty Chief Executive Officer QC Healthcare 8350 Arrowridge Boulevard, Suite 1A-9 Charlotte, North Carolina 28273 Telephone: 678-448-6776 Email: ericdoherty@qchealthcaregroup.com</w:t>
      </w:r>
    </w:p>
    <w:p>
      <w:pPr>
        <w:pStyle w:val="Heading1"/>
        <w:pageBreakBefore/>
      </w:pPr>
      <w:r>
        <w:t>FDA-2026-N-7874-0048</w:t>
      </w:r>
    </w:p>
    <w:p>
      <w:r>
        <w:t>Comment from VitaSignal</w:t>
      </w:r>
    </w:p>
    <w:p>
      <w:r>
        <w:rPr>
          <w:color w:val="777777"/>
          <w:sz w:val="18"/>
        </w:rPr>
        <w:t>Private Industry - C0003 · received 2026-08-28</w:t>
      </w:r>
    </w:p>
    <w:p>
      <w:r>
        <w:rPr>
          <w:color w:val="777777"/>
          <w:sz w:val="16"/>
        </w:rPr>
        <w:t xml:space="preserve">p001 · body  </w:t>
      </w:r>
      <w:r>
        <w:t>VitaSignal appreciates the opportunity to comment on FDA's discussion paper, Considerations for the Regulation of Generative AI-Enabled Medical Devices. We support a risk-proportionate total product life cycle approach.</w:t>
      </w:r>
    </w:p>
    <w:p>
      <w:r>
        <w:rPr>
          <w:color w:val="777777"/>
          <w:sz w:val="16"/>
        </w:rPr>
        <w:t xml:space="preserve">p002 · body  </w:t>
      </w:r>
      <w:r>
        <w:t>1. Risk classification should include practical modifiers — The proposed activity and consequence axes are useful, but systems in the same cell can present different risks. FDA should also consider reversibility, time to correction, error detectability, traceability to data and system versions, safeguard independence, exposure before containment, and stability of the population and workflow.</w:t>
      </w:r>
    </w:p>
    <w:p>
      <w:r>
        <w:rPr>
          <w:color w:val="777777"/>
          <w:sz w:val="16"/>
        </w:rPr>
        <w:t xml:space="preserve">p003 · body  </w:t>
      </w:r>
      <w:r>
        <w:t>Directiveness should be judged by observed behavior, not interface labels. Personalization, urgency, repeated recommendations, confidence presentation, defaults, omitted alternatives, and automated tool use can move an apparently informational function toward action direction. Multi-turn evaluation should cover context accumulation or loss, escalation, refusal, interruption, and safe stop.</w:t>
      </w:r>
    </w:p>
    <w:p>
      <w:r>
        <w:rPr>
          <w:color w:val="777777"/>
          <w:sz w:val="16"/>
        </w:rPr>
        <w:t xml:space="preserve">p004 · body  </w:t>
      </w:r>
      <w:r>
        <w:t>2. Competency evidence should be claim-specific and traceable — Competency should be supported by structured evidence rather than one benchmark score. Each claim should identify the population, setting, user, workflow, input distribution, reference standard, acceptance criteria, failure rules, denominators, uncertainty, version, and exclusions. Testing should include missing, contradictory, shifted, adversarial, and low-quality inputs, plus repeated-run and equivalent-input testing.</w:t>
      </w:r>
    </w:p>
    <w:p>
      <w:r>
        <w:rPr>
          <w:color w:val="777777"/>
          <w:sz w:val="16"/>
        </w:rPr>
        <w:t xml:space="preserve">p005 · body  </w:t>
      </w:r>
      <w:r>
        <w:t>Public benchmark performance should not be presumed to predict clinical performance. Sponsors should explain why a benchmark represents the intended use and where its distribution differs from the operating environment. When a sponsor controls test construction, tuning, scoring, and interpretation, external adjudication, preregistration, blinded evaluation, locked tests, or qualified reproduction may be appropriate.</w:t>
      </w:r>
    </w:p>
    <w:p>
      <w:r>
        <w:rPr>
          <w:color w:val="777777"/>
          <w:sz w:val="16"/>
        </w:rPr>
        <w:t xml:space="preserve">p006 · body  </w:t>
      </w:r>
      <w:r>
        <w:t>Synthetic data can support schema testing, fault injection, specified rare cases, and reproducibility. It should not, by itself, establish real-world prevalence, workflow effects, subgroup performance, clinical performance, or benefit-risk. Synthetic and real-data results should remain separate unless they estimate the same quantity under compatible conditions.</w:t>
      </w:r>
    </w:p>
    <w:p>
      <w:r>
        <w:rPr>
          <w:color w:val="777777"/>
          <w:sz w:val="16"/>
        </w:rPr>
        <w:t xml:space="preserve">p007 · body  </w:t>
      </w:r>
      <w:r>
        <w:t>3. Lifecycle monitoring should add evidence, not replace it — Postmarket monitoring should not substitute for evidence needed before use. Greater residual uncertainty may be acceptable only when failures are promptly detectable, consequences are limited or reversible, exposure is bounded, and containment is feasible.</w:t>
      </w:r>
    </w:p>
    <w:p>
      <w:r>
        <w:rPr>
          <w:color w:val="777777"/>
          <w:sz w:val="16"/>
        </w:rPr>
        <w:t xml:space="preserve">p008 · body  </w:t>
      </w:r>
      <w:r>
        <w:t>A credible lifecycle program should include a versioned baseline; denominator and deployment-context data; performance, safety, data-quality, and process indicators; investigation thresholds; incident linkage; review ownership; and rollback, suspension, or reassessment rules. Reassessment should follow material changes in the model, prompts, retrieval corpus, orchestration, tools, guardrails, interface, intended use, users, population, workflow, source data, or clinical practice. New safety signals, subgroup degradation, unexplained output shifts, repeated tool failures, and lost traceability should also trigger review.</w:t>
      </w:r>
    </w:p>
    <w:p>
      <w:r>
        <w:rPr>
          <w:color w:val="777777"/>
          <w:sz w:val="16"/>
        </w:rPr>
        <w:t xml:space="preserve">p009 · body  </w:t>
      </w:r>
      <w:r>
        <w:t>4. Foundation-model and agentic dependencies need explicit controls — Manufacturers using third-party foundation models should maintain a versioned dependency inventory rather than rely on a model name or release label. Controls should support change notice, version identification, incident notification, impact assessment, and rollback or pinning where feasible. Regression tests, canary testing, runtime fingerprints, shadow evaluation, and output-distribution monitoring can help detect change. If a dependency cannot be adequately detected, assessed, or controlled, that uncertainty should narrow permitted use and strengthen safeguards.</w:t>
      </w:r>
    </w:p>
    <w:p>
      <w:r>
        <w:rPr>
          <w:color w:val="777777"/>
          <w:sz w:val="16"/>
        </w:rPr>
        <w:t xml:space="preserve">p010 · body  </w:t>
      </w:r>
      <w:r>
        <w:t>Agentic systems require evaluation of output quality and action-sequence safety. Criteria should address tool selection, parameters, authorization boundaries, least privilege, stale or adversarial results, approval before irreversible actions, interruption, timeout, rollback, recovery, prompt injection, logging, partial failure, and refusal when authority or confirmation is missing. Oversight is meaningful only when it occurs before the consequential action, the reviewer has the information needed to decide, and the system cannot bypass or pressure the checkpoint.</w:t>
      </w:r>
    </w:p>
    <w:p>
      <w:r>
        <w:rPr>
          <w:color w:val="777777"/>
          <w:sz w:val="16"/>
        </w:rPr>
        <w:t xml:space="preserve">p011 · body  </w:t>
      </w:r>
      <w:r>
        <w:t>Conclusion — FDA's framework would be strengthened by structured risk modifiers, traceable competency evidence, explicit uncertainty, and versioned lifecycle decision records. Calibration, benchmark capability, and monitoring should not conceal failures in intended-use relevance, discrimination, threshold behavior, or clinically important strata. Null, adverse, conflicting, blocked, and unavailable evidence should remain visible throughout the product life cycle.</w:t>
      </w:r>
    </w:p>
    <w:p>
      <w:pPr>
        <w:pStyle w:val="Heading1"/>
        <w:pageBreakBefore/>
      </w:pPr>
      <w:r>
        <w:t>FDA-2026-N-7874-0049</w:t>
      </w:r>
    </w:p>
    <w:p>
      <w:r>
        <w:t>Comment from OneSource Solutions International (OSSI)</w:t>
      </w:r>
    </w:p>
    <w:p>
      <w:r>
        <w:rPr>
          <w:color w:val="777777"/>
          <w:sz w:val="18"/>
        </w:rPr>
        <w:t>Private Industry - C0003 · received 2026-08-28 · attachments: attachment_1.pdf (18 pp)</w:t>
      </w:r>
    </w:p>
    <w:p>
      <w:r>
        <w:rPr>
          <w:color w:val="777777"/>
          <w:sz w:val="16"/>
        </w:rPr>
        <w:t xml:space="preserve">p001 · body  </w:t>
      </w:r>
      <w:r>
        <w:t>Please see the attached public comment of Harold Arkoff, MD and Vedran Jukic responding to FDA’s August 2026 discussion paper, “Considerations for the Regulation of Generative AI-Enabled Medical Devices: Discussion Paper and Request for Feedback,” Docket No. FDA-2026-N-7874. The attached comment addresses the discussion questions concerning risk assessment, competency-based premarket evaluation, postmarket monitoring, foundation models, and agentic AI.</w:t>
      </w:r>
    </w:p>
    <w:p>
      <w:r>
        <w:rPr>
          <w:color w:val="777777"/>
          <w:sz w:val="16"/>
        </w:rPr>
        <w:t xml:space="preserve">p002 · att1 p.1  </w:t>
      </w:r>
      <w:r>
        <w:t>PUBLIC COMMENT TO THE U.S. FOOD AND DRUG ADMINISTRATION — Considerations for the Regulation of Generative AI-Enabled Medical Devices:</w:t>
      </w:r>
    </w:p>
    <w:p>
      <w:r>
        <w:rPr>
          <w:color w:val="777777"/>
          <w:sz w:val="16"/>
        </w:rPr>
        <w:t xml:space="preserve">p003 · att1 p.1  </w:t>
      </w:r>
      <w:r>
        <w:t>Discussion Paper and Request for Feedback — Docket No. FDA-2026-N-7874 — Submitted by: Harold Arkoff, MD and Vedran Jukic</w:t>
      </w:r>
    </w:p>
    <w:p>
      <w:r>
        <w:rPr>
          <w:color w:val="777777"/>
          <w:sz w:val="16"/>
        </w:rPr>
        <w:t xml:space="preserve">p004 · att1 p.1  </w:t>
      </w:r>
      <w:r>
        <w:t>Date: August 28, 2026 — This comment responds to the August 2026 CDRH discussion paper [1] and request for feedback. The discussion paper is intended for discussion purposes only and does not represent draft or final guidance. The recommendations below are offered as regulatoryscience and systems-engineering input, not as statements of current FDA requirements.</w:t>
      </w:r>
    </w:p>
    <w:p>
      <w:r>
        <w:rPr>
          <w:color w:val="777777"/>
          <w:sz w:val="16"/>
        </w:rPr>
        <w:t xml:space="preserve">p005 · att1 p.1  </w:t>
      </w:r>
      <w:r>
        <w:t>This submission responds to the discussion questions through a systems-engineering and clinical-AI assurance lens, with particular emphasis on risk assessment, competency evaluation, postmarket monitoring, foundation-model change, supervisory agents, and agentic execution.</w:t>
      </w:r>
    </w:p>
    <w:p>
      <w:r>
        <w:rPr>
          <w:color w:val="777777"/>
          <w:sz w:val="16"/>
        </w:rPr>
        <w:t xml:space="preserve">p006 · att1 p.2  </w:t>
      </w:r>
      <w:r>
        <w:t>EXECUTIVE SUMMARY — FDA identifies that generative AI-enabled medical devices may present a different assurance problem from conventional software with bounded inputs, fixed outputs, and comparatively stable configurations. The central challenge is not only whether a GenAI- enabled device demonstrates competency at a point in time, but whether its clinically consequential behavior can remain attributable, reconstructable, and appropriately governed as models, context, tools, data sources, and workflows change across the total product life cycle.</w:t>
      </w:r>
    </w:p>
    <w:p>
      <w:r>
        <w:rPr>
          <w:color w:val="777777"/>
          <w:sz w:val="16"/>
        </w:rPr>
        <w:t xml:space="preserve">p007 · att1 p.2  </w:t>
      </w:r>
      <w:r>
        <w:t>This comment supports FDA's proposed risk-proportionate and competency-based direction, with several qualifications. First, the two-axis framework of device activity and consequence of relying on an incorrect output is a useful organizing heuristic, but additional modifiers such as traceability, reversibility, time pressure, downstream safeguards, and execution authority should inform how a device is positioned within that risk space. Second, competency assessment should be complemented by system-assurance mechanisms that preserve the conditions under which an output or action occurred. Third, postmarket monitoring should be capable not only of detecting performance degradation but also of reconstructing why it occurred. Fourth, agentic systems require an explicit distinction between clinical supportability, permission to rely on an output, and authority to execute an action.</w:t>
      </w:r>
    </w:p>
    <w:p>
      <w:r>
        <w:rPr>
          <w:color w:val="777777"/>
          <w:sz w:val="16"/>
        </w:rPr>
        <w:t xml:space="preserve">p008 · att1 p.2  </w:t>
      </w:r>
      <w:r>
        <w:t>The core regulatory-science proposition is: Technical capability does not establish clinical supportability, authorization for reliance, or authority for execution.</w:t>
      </w:r>
    </w:p>
    <w:p>
      <w:r>
        <w:rPr>
          <w:color w:val="777777"/>
          <w:sz w:val="16"/>
        </w:rPr>
        <w:t xml:space="preserve">p009 · att1 p.2  </w:t>
      </w:r>
      <w:r>
        <w:t>CAPABILITY DOES NOT CONFER AUTHORITY.</w:t>
      </w:r>
    </w:p>
    <w:p>
      <w:r>
        <w:rPr>
          <w:color w:val="777777"/>
          <w:sz w:val="16"/>
        </w:rPr>
        <w:t xml:space="preserve">p010 · att1 p.2  </w:t>
      </w:r>
      <w:r>
        <w:t>A system may be technically capable of producing a clinically supportable recommendation or performing an action. That fact alone does not establish that the output should influence care or that the contemplated action is authorized to occur. As GenAI-enabled devices move from information generation toward tool use and autonomous multi-step action, this distinction becomes increasingly important.</w:t>
      </w:r>
    </w:p>
    <w:p>
      <w:r>
        <w:rPr>
          <w:color w:val="777777"/>
          <w:sz w:val="16"/>
        </w:rPr>
        <w:t xml:space="preserve">p011 · att1 p.2  </w:t>
      </w:r>
      <w:r>
        <w:t>A second cross-cutting recommendation is that FDA evaluate the feasibility of a core reconstructable event record for higher-consequence GenAI-enabled devices. Such a record could link the patient and encounter, source evidence, provenance and temporal state, application and foundation-model versions, system configuration, governance state, tool use, generated output, reliance determination, execution disposition, and available outcome information. The purpose would not be to impose a single architecture, but to preserve enough evidence for root-cause analysis and ongoing assurance.</w:t>
      </w:r>
    </w:p>
    <w:p>
      <w:r>
        <w:rPr>
          <w:color w:val="777777"/>
          <w:sz w:val="16"/>
        </w:rPr>
        <w:t xml:space="preserve">p012 · att1 p.2  </w:t>
      </w:r>
      <w:r>
        <w:t>CORE RECOMMENDATIONS — 1. Use the proposed two-axis framework as the primary risk heuristic, while treating traceability, reversibility, time pressure, downstream safeguards, user type, and execution authority as meaningful modifiers.</w:t>
      </w:r>
    </w:p>
    <w:p>
      <w:r>
        <w:rPr>
          <w:color w:val="777777"/>
          <w:sz w:val="16"/>
        </w:rPr>
        <w:t xml:space="preserve">p013 · att1 p.2  </w:t>
      </w:r>
      <w:r>
        <w:t>2. Evaluate the final user-facing device in its deployed or representative configuration, consistent with FDA's competency-based concept, while recognizing that configuration state may itself change after authorization.</w:t>
      </w:r>
    </w:p>
    <w:p>
      <w:r>
        <w:rPr>
          <w:color w:val="777777"/>
          <w:sz w:val="16"/>
        </w:rPr>
        <w:t xml:space="preserve">p014 · att1 p.3  </w:t>
      </w:r>
      <w:r>
        <w:t>3. Separate model competency from contextual/system assurance. Benchmarking can establish what a device can do; it does not by itself establish that the device used evidence that was correctly associated, current, sufficiently attributable, and appropriate for the intended use, operated in the intended configuration, or had authority for a downstream action.</w:t>
      </w:r>
    </w:p>
    <w:p>
      <w:r>
        <w:rPr>
          <w:color w:val="777777"/>
          <w:sz w:val="16"/>
        </w:rPr>
        <w:t xml:space="preserve">p015 · att1 p.3  </w:t>
      </w:r>
      <w:r>
        <w:t>4. For higher-consequence systems, complement aggregate postmarket performance monitoring with reconstructable event-level evidence sufficient for root-cause investigation.</w:t>
      </w:r>
    </w:p>
    <w:p>
      <w:r>
        <w:rPr>
          <w:color w:val="777777"/>
          <w:sz w:val="16"/>
        </w:rPr>
        <w:t xml:space="preserve">p016 · att1 p.3  </w:t>
      </w:r>
      <w:r>
        <w:t>5. Use hybrid postmarket reassessment: periodic review plus event-triggered reassessment after material model, configuration, data-environment, tool, security, or deployment-context changes.</w:t>
      </w:r>
    </w:p>
    <w:p>
      <w:r>
        <w:rPr>
          <w:color w:val="777777"/>
          <w:sz w:val="16"/>
        </w:rPr>
        <w:t xml:space="preserve">p017 · att1 p.3  </w:t>
      </w:r>
      <w:r>
        <w:t>6. Treat machine-based supervisory agents as independently evaluable assurance components when they materially affect safety decisions, and distinguish supervisory observation, recommendation, and intervention authority.</w:t>
      </w:r>
    </w:p>
    <w:p>
      <w:r>
        <w:rPr>
          <w:color w:val="777777"/>
          <w:sz w:val="16"/>
        </w:rPr>
        <w:t xml:space="preserve">p018 · att1 p.3  </w:t>
      </w:r>
      <w:r>
        <w:t>7. For third-party foundation models, consider requiring or encouraging mechanisms for reliable version identification, change notification, regression testing, and fail-safe handling of uncharacterized changes.</w:t>
      </w:r>
    </w:p>
    <w:p>
      <w:r>
        <w:rPr>
          <w:color w:val="777777"/>
          <w:sz w:val="16"/>
        </w:rPr>
        <w:t xml:space="preserve">p019 · att1 p.3  </w:t>
      </w:r>
      <w:r>
        <w:t>8. For synthetic data, preserve provenance and distributional transparency, evaluate transportability to real-world data, and avoid allowing synthetic evidence generated by correlated model classes to mask the very gaps being tested.</w:t>
      </w:r>
    </w:p>
    <w:p>
      <w:r>
        <w:rPr>
          <w:color w:val="777777"/>
          <w:sz w:val="16"/>
        </w:rPr>
        <w:t xml:space="preserve">p020 · att1 p.3  </w:t>
      </w:r>
      <w:r>
        <w:t>9. For agentic AI, consider whether sponsors should be expected to explicitly characterize tool permissions, action authority, human-oversight checkpoints, reversibility, failure handling, and auditability.</w:t>
      </w:r>
    </w:p>
    <w:p>
      <w:r>
        <w:rPr>
          <w:color w:val="777777"/>
          <w:sz w:val="16"/>
        </w:rPr>
        <w:t xml:space="preserve">p021 · att1 p.3  </w:t>
      </w:r>
      <w:r>
        <w:t>10. Preserve manufacturer accountability while translating shared ecosystem responsibility into defined technical control responsibilities for institutions, clinicians, model providers, and other stakeholders.</w:t>
      </w:r>
    </w:p>
    <w:p>
      <w:r>
        <w:rPr>
          <w:color w:val="777777"/>
          <w:sz w:val="16"/>
        </w:rPr>
        <w:t xml:space="preserve">p022 · att1 p.4  </w:t>
      </w:r>
      <w:r>
        <w:t>RESPONSES TO FDA DISCUSSION QUESTIONS — The responses below follow the organization of Appendix B of the FDA discussion paper. Question descriptions are abbreviated for readability.</w:t>
      </w:r>
    </w:p>
    <w:p>
      <w:r>
        <w:rPr>
          <w:color w:val="777777"/>
          <w:sz w:val="16"/>
        </w:rPr>
        <w:t xml:space="preserve">p023 · att1 p.4  </w:t>
      </w:r>
      <w:r>
        <w:t>SECTION IV - CONSIDERATIONS FOR THE ASSESSMENT OF RISK — Question 1 - Two-axis risk framework and additional dimensions</w:t>
      </w:r>
    </w:p>
    <w:p>
      <w:r>
        <w:rPr>
          <w:color w:val="777777"/>
          <w:sz w:val="16"/>
        </w:rPr>
        <w:t xml:space="preserve">p024 · att1 p.4  </w:t>
      </w:r>
      <w:r>
        <w:t>The proposed two-axis framework - device activity on one axis and consequence of relying on an incorrect output on the other - is a useful primary heuristic. It is intuitive, clinically meaningful, and readily scalable from non-directive informational functions to fully autonomous action-taking functions. FDA should retain the two axes rather than converting the framework into an unmanageable multi-dimensional matrix. [1]</w:t>
      </w:r>
    </w:p>
    <w:p>
      <w:r>
        <w:rPr>
          <w:color w:val="777777"/>
          <w:sz w:val="16"/>
        </w:rPr>
        <w:t xml:space="preserve">p025 · att1 p.4  </w:t>
      </w:r>
      <w:r>
        <w:t>FDA also appropriately identifies GenAI-enabled in vitro diagnostic, measurement, and signal-processing functions as presenting special risk considerations because their outputs may not be directly assessable by the user, limiting the user's ability to recognize and avoid reliance on an incorrect output. [1]</w:t>
      </w:r>
    </w:p>
    <w:p>
      <w:r>
        <w:rPr>
          <w:color w:val="777777"/>
          <w:sz w:val="16"/>
        </w:rPr>
        <w:t xml:space="preserve">p026 · att1 p.4  </w:t>
      </w:r>
      <w:r>
        <w:t>Additional dimensions should function as risk modifiers that influence placement within the framework and the strength of associated controls. Particularly important modifiers include:</w:t>
      </w:r>
    </w:p>
    <w:p>
      <w:r>
        <w:rPr>
          <w:color w:val="777777"/>
          <w:sz w:val="16"/>
        </w:rPr>
        <w:t xml:space="preserve">p027 · att1 p.4  </w:t>
      </w:r>
      <w:r>
        <w:t>• Traceability: whether a consequential output can be linked to the patient or encounter, source information or evidence, model/configuration state, and primary materials on which it relied. • Reversibility: whether an incorrect action can be promptly reversed without lasting harm. • Time pressure: whether meaningful human review is feasible before harm can occur. • Downstream safeguards: whether an independent mechanism can constrain, intercept, escalate, or block an unsafe action. • User capability and setting: whether the output is delivered to a patient, generalist, specialist, or another system that may have different ability to independently evaluate it. • Execution authority: whether the function merely provides information, strongly directs action, or can itself cause a consequential action to occur. These modifiers can be operationalized without changing the basic two-axis structure. For example, a high-consequence action-taking function with limited reversibility, little time for human review, and no downstream gate should require materially stronger premarket and postmarket assurance than a reversible, traceable, HCP-supervised function at the same nominal activity level.</w:t>
      </w:r>
    </w:p>
    <w:p>
      <w:r>
        <w:rPr>
          <w:color w:val="777777"/>
          <w:sz w:val="16"/>
        </w:rPr>
        <w:t xml:space="preserve">p028 · att1 p.4  </w:t>
      </w:r>
      <w:r>
        <w:t>The amount and type of assurance should also be proportionate to the extent to which clinically relevant system state lies outside the sponsor's direct control. A bounded, recommendation-only function may be adequately addressed through comparatively conventional competency and lifecycle controls, whereas a high-consequence agentic function dependent on external models, tools, clinical data sources, institutional policy, or changing configuration may warrant substantially stronger provenance, configurationlineage, authorization, and postmarket controls. This is consistent with a least-burdensome approach: the objective is not maximum control for every device, but the minimum information and control functions necessary to address the relevant safety and effectiveness questions for the device's actual risk profile. [15]</w:t>
      </w:r>
    </w:p>
    <w:p>
      <w:r>
        <w:rPr>
          <w:color w:val="777777"/>
          <w:sz w:val="16"/>
        </w:rPr>
        <w:t xml:space="preserve">p029 · att1 p.5  </w:t>
      </w:r>
      <w:r>
        <w:t>For purposes of this comment, external dependency refers to a clinically material model, data source, retrieval source, tool, service, policy state, permission state, or infrastructure component whose relevant state or modification is not wholly controlled by the device sponsor.</w:t>
      </w:r>
    </w:p>
    <w:p>
      <w:r>
        <w:rPr>
          <w:color w:val="777777"/>
          <w:sz w:val="16"/>
        </w:rPr>
        <w:t xml:space="preserve">p030 · att1 p.5  </w:t>
      </w:r>
      <w:r>
        <w:t>Question 2 - Continuum from non-directive to action-directing information — Directiveness should be assessed functionally rather than lexically. The presence or absence of words such as "recommend," "consider," or "talk to your doctor" should not determine risk by itself. Relevant characteristics include specificity, personalization, imperative strength, confidence presentation, temporal urgency, the degree to which alternatives are suppressed, the clinical consequence of the implied action, and whether the output is repeated or reinforced across a multi-turn interaction.</w:t>
      </w:r>
    </w:p>
    <w:p>
      <w:r>
        <w:rPr>
          <w:color w:val="777777"/>
          <w:sz w:val="16"/>
        </w:rPr>
        <w:t xml:space="preserve">p031 · att1 p.5  </w:t>
      </w:r>
      <w:r>
        <w:t>A useful principle is to ask what a reasonable intended user is likely to do because of the output. If the practical effect of an informational function is to narrow the user toward a specific clinical action, the risk analysis should reflect that functional directiveness even when the interface labels the output as informational.</w:t>
      </w:r>
    </w:p>
    <w:p>
      <w:r>
        <w:rPr>
          <w:color w:val="777777"/>
          <w:sz w:val="16"/>
        </w:rPr>
        <w:t xml:space="preserve">p032 · att1 p.5  </w:t>
      </w:r>
      <w:r>
        <w:t>Question 3 - Patient-facing versus HCP-facing functions — Patient-facing functions may require different safeguards when safe use depends on clinical knowledge that the intended patient population cannot reasonably be expected to possess. However, patient-facing status should not automatically be treated as higher risk. Risk should depend on the output, context, likely downstream action, health-literacy demands, availability of escalation pathways, and the patient's ability to recognize uncertainty or error.</w:t>
      </w:r>
    </w:p>
    <w:p>
      <w:r>
        <w:rPr>
          <w:color w:val="777777"/>
          <w:sz w:val="16"/>
        </w:rPr>
        <w:t xml:space="preserve">p033 · att1 p.5  </w:t>
      </w:r>
      <w:r>
        <w:t>Useful safeguards can include calibrated uncertainty communication, clear scope boundaries, structured escalation for high-risk symptoms, prevention of unsupported specificity, and user-interface designs that reduce automation bias without undermining patient autonomy. The objective should be to preserve access and empowerment while recognizing situations in which an apparently fluent output may be difficult for a patient to independently challenge.</w:t>
      </w:r>
    </w:p>
    <w:p>
      <w:r>
        <w:rPr>
          <w:color w:val="777777"/>
          <w:sz w:val="16"/>
        </w:rPr>
        <w:t xml:space="preserve">p034 · att1 p.5  </w:t>
      </w:r>
      <w:r>
        <w:t>Question 4 - Generalist versus specialist HCP-facing functions — The distinction should be treated as a context modifier rather than a categorical risk label. The relevant issue is whether the intended user can independently evaluate the output within the domain in which the device is operating. A generalist using a specialist-domain tool may benefit substantially from expanded access to expertise, but safeguards should increase when safe use depends on specialist-level interpretation that the intended user is unlikely to possess.</w:t>
      </w:r>
    </w:p>
    <w:p>
      <w:r>
        <w:rPr>
          <w:color w:val="777777"/>
          <w:sz w:val="16"/>
        </w:rPr>
        <w:t xml:space="preserve">p035 · att1 p.5  </w:t>
      </w:r>
      <w:r>
        <w:t>Sponsors should therefore characterize the expected user, required domain knowledge, intended degree of independent review, and escalation conditions. Where independent specialist-level review or confirmation is necessary for safe use, that requirement should be reflected in the workflow rather than implied only through labeling.</w:t>
      </w:r>
    </w:p>
    <w:p>
      <w:r>
        <w:rPr>
          <w:color w:val="777777"/>
          <w:sz w:val="16"/>
        </w:rPr>
        <w:t xml:space="preserve">p036 · att1 p.6  </w:t>
      </w:r>
      <w:r>
        <w:t>Question 5 - Multi-turn conversations that migrate in directiveness — Risk should be evaluated across realistic conversational trajectories, not only at the level of isolated turns. A sequence can begin with neutral information, accumulate patient-specific context, progressively narrow alternatives, and ultimately become action-directing. The clinically relevant state is therefore the cumulative interaction and the system state at the time the consequential output is generated.</w:t>
      </w:r>
    </w:p>
    <w:p>
      <w:r>
        <w:rPr>
          <w:color w:val="777777"/>
          <w:sz w:val="16"/>
        </w:rPr>
        <w:t xml:space="preserve">p037 · att1 p.6  </w:t>
      </w:r>
      <w:r>
        <w:t>Evaluation should include transition testing: whether the device recognizes when a conversation has crossed from general information into patient-specific direction, whether its scope and safeguards change appropriately, and whether the system preserves enough interaction history to reconstruct how that transition occurred. Acceptance criteria should include resistance to gradual scope drift and cumulative prompting that would not appear unsafe when individual turns are evaluated separately.</w:t>
      </w:r>
    </w:p>
    <w:p>
      <w:r>
        <w:rPr>
          <w:color w:val="777777"/>
          <w:sz w:val="16"/>
        </w:rPr>
        <w:t xml:space="preserve">p038 · att1 p.6  </w:t>
      </w:r>
      <w:r>
        <w:t>Question 6 - Under-escalation and over-escalation — Under-escalation and over-escalation should be measured as distinct error classes because their harms are different and often asymmetric. Under-escalation may create delayed diagnosis or treatment; over-escalation may create unnecessary emergency utilization, testing, anxiety, procedural risk, and eventual erosion of trust.</w:t>
      </w:r>
    </w:p>
    <w:p>
      <w:r>
        <w:rPr>
          <w:color w:val="777777"/>
          <w:sz w:val="16"/>
        </w:rPr>
        <w:t xml:space="preserve">p039 · att1 p.6  </w:t>
      </w:r>
      <w:r>
        <w:t>Sponsors should prespecify clinically justified thresholds and report both directions of error rather than collapsing them into a single accuracy statistic. Threshold selection should reflect clinical context, the consequence of delayed care, the burden of unnecessary escalation, and the intended user population.</w:t>
      </w:r>
    </w:p>
    <w:p>
      <w:r>
        <w:rPr>
          <w:color w:val="777777"/>
          <w:sz w:val="16"/>
        </w:rPr>
        <w:t xml:space="preserve">p040 · att1 p.6  </w:t>
      </w:r>
      <w:r>
        <w:t>SECTION V - COMPETENCY-BASED PREMARKET EVALUATION — Question 7 - Usefulness of competency-based benchmarking plus clinical confirmation</w:t>
      </w:r>
    </w:p>
    <w:p>
      <w:r>
        <w:rPr>
          <w:color w:val="777777"/>
          <w:sz w:val="16"/>
        </w:rPr>
        <w:t xml:space="preserve">p041 · att1 p.6  </w:t>
      </w:r>
      <w:r>
        <w:t>The proposed competency-based approach is useful and appropriate as a high-level framework, and is consistent with the broader regulatory discussion around clinicianinspired competency, lifecycle assessment, and accountability [8-11], particularly because FDA proposes evaluating the final user-facing device as configured and intended to be deployed rather than the foundation model standing alone [1]. That focus is important: clinically relevant behavior emerges from the combination of the application, model, prompts, retrieval, tools, context, interface, and workflow.</w:t>
      </w:r>
    </w:p>
    <w:p>
      <w:r>
        <w:rPr>
          <w:color w:val="777777"/>
          <w:sz w:val="16"/>
        </w:rPr>
        <w:t xml:space="preserve">p042 · att1 p.6  </w:t>
      </w:r>
      <w:r>
        <w:t>Competency evaluation should nevertheless be treated as necessary but not sufficient. It establishes whether the configured device can perform the intended task under defined conditions. It does not by itself establish that the correct patient context was used, that the evidence was current, attributable, and appropriate for the contemplated clinical use, that the postmarket configuration remained equivalent to the tested configuration, or that a downstream action was authorized.</w:t>
      </w:r>
    </w:p>
    <w:p>
      <w:r>
        <w:rPr>
          <w:color w:val="777777"/>
          <w:sz w:val="16"/>
        </w:rPr>
        <w:t xml:space="preserve">p043 · att1 p.6  </w:t>
      </w:r>
      <w:r>
        <w:t>The assurance functions described in this comment should not be understood as a uniform regulatory burden. Their relevance should be proportional to intended function, degree of autonomy, clinical consequence, external dependencies, and execution authority. A bounded advisory function may require only a subset of these controls; a consequential autonomous function may require substantially more of them to establish an appropriate level of assurance.</w:t>
      </w:r>
    </w:p>
    <w:p>
      <w:r>
        <w:rPr>
          <w:color w:val="777777"/>
          <w:sz w:val="16"/>
        </w:rPr>
        <w:t xml:space="preserve">p044 · att1 p.7  </w:t>
      </w:r>
      <w:r>
        <w:t>Question 8 - Using the two-axis framework to determine premarket evidence — The two-axis framework can appropriately scale the rigor and breadth of evidence. As activity becomes more independent and the consequences of an incorrect output become more severe, FDA can reasonably expect stronger benchmarking, more demanding clinical confirmation, greater subgroup coverage, more explicit failure-mode testing, and more robust change-control and postmarket plans.</w:t>
      </w:r>
    </w:p>
    <w:p>
      <w:r>
        <w:rPr>
          <w:color w:val="777777"/>
          <w:sz w:val="16"/>
        </w:rPr>
        <w:t xml:space="preserve">p045 · att1 p.7  </w:t>
      </w:r>
      <w:r>
        <w:t>The framework should scale evidence continuously rather than create rigid bins. A highly consequential but HCP-supervised function may warrant different evidence than a lowerconsequence autonomous function. The additional modifiers described in response to Question 1 can help determine the appropriate mix.</w:t>
      </w:r>
    </w:p>
    <w:p>
      <w:r>
        <w:rPr>
          <w:color w:val="777777"/>
          <w:sz w:val="16"/>
        </w:rPr>
        <w:t xml:space="preserve">p046 · att1 p.7  </w:t>
      </w:r>
      <w:r>
        <w:t>This risk-proportionate approach is compatible with FDA's least-burdensome principles. Least burdensome should not be interpreted as least control; rather, the evidentiary and technical burden should be tailored to the regulatory question, applied efficiently, and placed at the appropriate point in the total product lifecycle while preserving the applicable safety and effectiveness standard. [15]</w:t>
      </w:r>
    </w:p>
    <w:p>
      <w:r>
        <w:rPr>
          <w:color w:val="777777"/>
          <w:sz w:val="16"/>
        </w:rPr>
        <w:t xml:space="preserve">p047 · att1 p.7  </w:t>
      </w:r>
      <w:r>
        <w:t>Question 9 - Adequacy of proposed benchmarking elements — FDA's proposed categories - safety, clinical proficiency, generalizability, and agentic capability - are a strong foundation. A cross-cutting assurance dimension should also address evidence integrity and reconstructability. This need not become a new competency score. Rather, sponsors should be able to identify the data and configuration conditions under which benchmark results were obtained and determine whether those conditions correspond to intended deployment.</w:t>
      </w:r>
    </w:p>
    <w:p>
      <w:r>
        <w:rPr>
          <w:color w:val="777777"/>
          <w:sz w:val="16"/>
        </w:rPr>
        <w:t xml:space="preserve">p048 · att1 p.7  </w:t>
      </w:r>
      <w:r>
        <w:t>For higher-consequence devices, benchmark records should preserve the test asset version, relevant input provenance, material correction or supersession state where applicable, device/application version, foundation-model version where applicable, material system configuration, scoring method, acceptance criteria, and adjudication process. This improves reproducibility and creates a meaningful reference point for later re-benchmarking.</w:t>
      </w:r>
    </w:p>
    <w:p>
      <w:r>
        <w:rPr>
          <w:color w:val="777777"/>
          <w:sz w:val="16"/>
        </w:rPr>
        <w:t xml:space="preserve">p049 · att1 p.7  </w:t>
      </w:r>
      <w:r>
        <w:t>Question 10 - Benchmark contamination, saturation, and construct validity — A benchmark should be treated as evidence only to the extent that its construct validity for the intended use is established. Sponsors should justify why performance on the benchmark is expected to predict clinically relevant behavior in the deployment environment.</w:t>
      </w:r>
    </w:p>
    <w:p>
      <w:r>
        <w:rPr>
          <w:color w:val="777777"/>
          <w:sz w:val="16"/>
        </w:rPr>
        <w:t xml:space="preserve">p050 · att1 p.7  </w:t>
      </w:r>
      <w:r>
        <w:t>Useful safeguards include prespecified evaluation plans, sequestered or independently maintained test sets where practical, disclosure of known contamination risks [12], testing on out-of-distribution and adversarial cases, evaluation across clinically relevant settings and subgroups, and confirmation on real or clinically representative inputs. Sponsordeveloped benchmarks can be valuable when the intended use is specialized, but their design and acceptance criteria should be transparent enough to reduce optimization-to-thetest risk.</w:t>
      </w:r>
    </w:p>
    <w:p>
      <w:r>
        <w:rPr>
          <w:color w:val="777777"/>
          <w:sz w:val="16"/>
        </w:rPr>
        <w:t xml:space="preserve">p051 · att1 p.8  </w:t>
      </w:r>
      <w:r>
        <w:t>Question 11 - Selection of clinical confirmation approach — FDA's proposed ladder of approaches is appropriate. Selection should depend on intended use, risk, reversibility, degree of autonomy, availability of a valid reference standard, novelty of the deployment context, and the extent to which real-world interaction may expose behaviors not captured in static testing.</w:t>
      </w:r>
    </w:p>
    <w:p>
      <w:r>
        <w:rPr>
          <w:color w:val="777777"/>
          <w:sz w:val="16"/>
        </w:rPr>
        <w:t xml:space="preserve">p052 · att1 p.8  </w:t>
      </w:r>
      <w:r>
        <w:t>Retrospective evaluation may be sufficient for lower-risk functions with stable inputs and strong reference standards. Shadow deployment is especially useful when workflow context may change system behavior but patient exposure should be avoided. Prospective studies become more important as the device independently directs or takes high-consequence action, when clinically meaningful endpoints cannot be inferred from retrospective data, or when interaction effects are central to safety.</w:t>
      </w:r>
    </w:p>
    <w:p>
      <w:r>
        <w:rPr>
          <w:color w:val="777777"/>
          <w:sz w:val="16"/>
        </w:rPr>
        <w:t xml:space="preserve">p053 · att1 p.8  </w:t>
      </w:r>
      <w:r>
        <w:t>Question 12 - Statistically meaningful measurement and use of synthetic inputs — FDA may wish to consider separate reporting of synthetic and real-world performance before allowing a combined estimate. A combined performance estimate is most defensible when the sponsor can justify transportability between the synthetic and real distributions, characterize weighting, and show that the combination does not obscure clinically important differences.</w:t>
      </w:r>
    </w:p>
    <w:p>
      <w:r>
        <w:rPr>
          <w:color w:val="777777"/>
          <w:sz w:val="16"/>
        </w:rPr>
        <w:t xml:space="preserve">p054 · att1 p.8  </w:t>
      </w:r>
      <w:r>
        <w:t>For synthetic inputs, the evaluation record should identify the generation method, model or simulator version, source population or assumptions used to construct the synthetic cases, intended testing purpose, and the distributional relationship to the real-world target population. Real-world confirmation should remain important where clinical heterogeneity, workflow effects, or latent correlations cannot be credibly reproduced synthetically.</w:t>
      </w:r>
    </w:p>
    <w:p>
      <w:r>
        <w:rPr>
          <w:color w:val="777777"/>
          <w:sz w:val="16"/>
        </w:rPr>
        <w:t xml:space="preserve">p055 · att1 p.8  </w:t>
      </w:r>
      <w:r>
        <w:t>Question 13 - Appropriate and inappropriate uses of synthetic data — Synthetic data may be particularly useful for rare-event stress testing, controlled perturbations, privacy-preserving development of standardized scenarios, device/tool failure simulations, and targeted testing of under-sampled edge cases. It is less reliable when the clinically important phenomenon depends on complex latent relationships, undocumented workflow behavior, or population characteristics that the generator does not represent well.</w:t>
      </w:r>
    </w:p>
    <w:p>
      <w:r>
        <w:rPr>
          <w:color w:val="777777"/>
          <w:sz w:val="16"/>
        </w:rPr>
        <w:t xml:space="preserve">p056 · att1 p.8  </w:t>
      </w:r>
      <w:r>
        <w:t>A specific safeguard is needed when synthetic data are generated by models of the same or closely related class as the device under evaluation. Correlated blind spots can create false reassurance. Mitigations include independent generation methods, real-world holdout confirmation, explicit provenance, subgroup-specific distribution checks, adversarial challenge cases, and independent clinical adjudication. Independent clinical adjudication is particularly useful because it introduces an evaluation reference that does not necessarily share the same model-class assumptions or learned failure modes as either the device or the synthetic-data generator. Synthetic evidence should generally be treated as complementary to, rather than a replacement for, evidence of real-world diversity unless transportability is well established.</w:t>
      </w:r>
    </w:p>
    <w:p>
      <w:r>
        <w:rPr>
          <w:color w:val="777777"/>
          <w:sz w:val="16"/>
        </w:rPr>
        <w:t xml:space="preserve">p057 · att1 p.8  </w:t>
      </w:r>
      <w:r>
        <w:t>Question 14 - Comparators and acceptance criteria for open-ended outputs — The comparator should match the device's intended clinical role. A device intended to assist a generalist should not automatically be judged only against a subspecialist, and a device intended for autonomous specialty decision-making should not be validated merely by comparison with an unaided generalist. The relevant comparator may be a qualified clinician panel, a validated reference standard, a human-AI team, or a combination depending on intended use.</w:t>
      </w:r>
    </w:p>
    <w:p>
      <w:r>
        <w:rPr>
          <w:color w:val="777777"/>
          <w:sz w:val="16"/>
        </w:rPr>
        <w:t xml:space="preserve">p058 · att1 p.9  </w:t>
      </w:r>
      <w:r>
        <w:t>Acceptance criteria should be multidimensional where a single "correct" response does not exist. Relevant dimensions can include safety-critical omissions, factual correctness, appropriateness of differential reasoning, calibration, escalation behavior, communication quality, and consistency across equivalent scenarios.</w:t>
      </w:r>
    </w:p>
    <w:p>
      <w:r>
        <w:rPr>
          <w:color w:val="777777"/>
          <w:sz w:val="16"/>
        </w:rPr>
        <w:t xml:space="preserve">p059 · att1 p.9  </w:t>
      </w:r>
      <w:r>
        <w:t>Question 15 - Comparison with likely care in the absence of the device</w:t>
      </w:r>
    </w:p>
    <w:p>
      <w:r>
        <w:rPr>
          <w:color w:val="777777"/>
          <w:sz w:val="16"/>
        </w:rPr>
        <w:t xml:space="preserve">p060 · att1 p.9  </w:t>
      </w:r>
      <w:r>
        <w:t>Yes. In some settings the clinically relevant comparator is the counterfactual care pathway rather than an idealized expert. A device may create benefit by accelerating access to specialist-level review, improving triage consistency, reducing delay, or increasing detection even if it does not outperform the best available specialist on every case.</w:t>
      </w:r>
    </w:p>
    <w:p>
      <w:r>
        <w:rPr>
          <w:color w:val="777777"/>
          <w:sz w:val="16"/>
        </w:rPr>
        <w:t xml:space="preserve">p061 · att1 p.9  </w:t>
      </w:r>
      <w:r>
        <w:t>Sponsors should justify the comparator based on the intended deployment context and should avoid choosing a weak comparator merely to demonstrate superiority. Where practicable, analyses should distinguish device-alone performance, human-alone performance, and the performance of the intended human-AI workflow.</w:t>
      </w:r>
    </w:p>
    <w:p>
      <w:r>
        <w:rPr>
          <w:color w:val="777777"/>
          <w:sz w:val="16"/>
        </w:rPr>
        <w:t xml:space="preserve">p062 · att1 p.9  </w:t>
      </w:r>
      <w:r>
        <w:t>Question 16 - Role of independent third parties — Independent third parties can add value in benchmark custody, sequestered test-set maintenance, conformity testing, expert adjudication, and qualification of reusable regulatory-science tools. Their role should improve independence without diffusing sponsor responsibility.</w:t>
      </w:r>
    </w:p>
    <w:p>
      <w:r>
        <w:rPr>
          <w:color w:val="777777"/>
          <w:sz w:val="16"/>
        </w:rPr>
        <w:t xml:space="preserve">p063 · att1 p.9  </w:t>
      </w:r>
      <w:r>
        <w:t>FDA should avoid structures that inadvertently create a small mandatory certification market that limits competition. Participation should be based on transparent qualification criteria, conflict-of-interest controls, reproducible methods, and auditability. The sponsor should remain accountable for the safety and effectiveness of its final device configuration even when third-party evidence is used.</w:t>
      </w:r>
    </w:p>
    <w:p>
      <w:r>
        <w:rPr>
          <w:color w:val="777777"/>
          <w:sz w:val="16"/>
        </w:rPr>
        <w:t xml:space="preserve">p064 · att1 p.9  </w:t>
      </w:r>
      <w:r>
        <w:t>Question 17 - Applicability to multimodal, vision-language, and world-model architectures — The competency-based framework should remain architecture-neutral. The evaluation target should be the clinically consequential behavior of the final configured device, not the internal model class. Multimodal and world-model systems may require additional attention to crossmodal consistency, patient/encounter association, provenance of each modality, temporal alignment, error propagation between modalities, and the possibility that one modality silently dominates another.</w:t>
      </w:r>
    </w:p>
    <w:p>
      <w:r>
        <w:rPr>
          <w:color w:val="777777"/>
          <w:sz w:val="16"/>
        </w:rPr>
        <w:t xml:space="preserve">p065 · att1 p.9  </w:t>
      </w:r>
      <w:r>
        <w:t>As architectures evolve, the assurance framework should therefore focus on intended function, input/output behavior, configuration state, failure modes, and downstream authority rather than tying regulatory expectations to a particular model architecture.</w:t>
      </w:r>
    </w:p>
    <w:p>
      <w:r>
        <w:rPr>
          <w:color w:val="777777"/>
          <w:sz w:val="16"/>
        </w:rPr>
        <w:t xml:space="preserve">p066 · att1 p.10  </w:t>
      </w:r>
      <w:r>
        <w:t>SECTION VI - POSTMARKET MONITORING — Question 18 - Greater premarket uncertainty supported by postmarket monitoring</w:t>
      </w:r>
    </w:p>
    <w:p>
      <w:r>
        <w:rPr>
          <w:color w:val="777777"/>
          <w:sz w:val="16"/>
        </w:rPr>
        <w:t xml:space="preserve">p067 · att1 p.10  </w:t>
      </w:r>
      <w:r>
        <w:t>Greater reliance on postmarket monitoring may be appropriate when the residual uncertainty is measurable, monitoring can detect clinically meaningful degradation before unacceptable harm accumulates, intervention or rollback is feasible, and the postmarket evidence system is sufficiently complete to support attribution and corrective action. [1]</w:t>
      </w:r>
    </w:p>
    <w:p>
      <w:r>
        <w:rPr>
          <w:color w:val="777777"/>
          <w:sz w:val="16"/>
        </w:rPr>
        <w:t xml:space="preserve">p068 · att1 p.10  </w:t>
      </w:r>
      <w:r>
        <w:t>Reduced premarket evidence is less appropriate where the function is fully autonomous, consequences are severe or irreversible, failures may be difficult to detect promptly, or the system lacks reliable postmarket observability. A monitoring plan should not be used to compensate for a premarket evidence gap that could expose patients to uncharacterized high-consequence risk before the monitoring system can react.</w:t>
      </w:r>
    </w:p>
    <w:p>
      <w:r>
        <w:rPr>
          <w:color w:val="777777"/>
          <w:sz w:val="16"/>
        </w:rPr>
        <w:t xml:space="preserve">p069 · att1 p.10  </w:t>
      </w:r>
      <w:r>
        <w:t>Question 19 - Postmarket performance evaluation approaches and cadence — Periodic re-benchmarking, clinician review, and performance-degradation monitoring are all useful. They should be supplemented by reconstructable event-level evidence for consequential outputs and actions. Detecting drift establishes that something changed; rootcause analysis requires knowing what data, model, configuration, tools, and governance state were present when the change occurred.</w:t>
      </w:r>
    </w:p>
    <w:p>
      <w:r>
        <w:rPr>
          <w:color w:val="777777"/>
          <w:sz w:val="16"/>
        </w:rPr>
        <w:t xml:space="preserve">p070 · att1 p.10  </w:t>
      </w:r>
      <w:r>
        <w:t>Cadence should be hybrid: periodic plus event-triggered. Triggering events can include foundation-model or application updates, material prompt/retrieval/tool changes, deployment into a new clinical setting or population, changes in connected data sources, subgroup-specific degradation, cybersecurity events affecting relevant components, emergence of a new safety signal, or crossing a prespecified performance threshold.</w:t>
      </w:r>
    </w:p>
    <w:p>
      <w:r>
        <w:rPr>
          <w:color w:val="777777"/>
          <w:sz w:val="16"/>
        </w:rPr>
        <w:t xml:space="preserve">p071 · att1 p.10  </w:t>
      </w:r>
      <w:r>
        <w:t>For higher-consequence systems, FDA should consider the feasibility of a core reconstructable event record linking:</w:t>
      </w:r>
    </w:p>
    <w:p>
      <w:r>
        <w:rPr>
          <w:color w:val="777777"/>
          <w:sz w:val="16"/>
        </w:rPr>
        <w:t xml:space="preserve">p072 · att1 p.10  </w:t>
      </w:r>
      <w:r>
        <w:t>• patient and encounter state; • source evidence, provenance, and temporal validity; • application and foundation-model versions; • material configuration, retrieval, prompts, memory, and tool state; • policy, permission, and supervisory state; • generated output and reliance determination; • execution disposition, including executed, constrained, escalated, deferred, or blocked; and • available downstream outcome information. The purpose of such a record is not to mandate a particular vendor architecture. It is to preserve sufficient evidence for postmarket investigation and corrective action.</w:t>
      </w:r>
    </w:p>
    <w:p>
      <w:r>
        <w:rPr>
          <w:color w:val="777777"/>
          <w:sz w:val="16"/>
        </w:rPr>
        <w:t xml:space="preserve">p073 · att1 p.10  </w:t>
      </w:r>
      <w:r>
        <w:t>Reconstructability need not require deterministic reproduction of a probabilistic model's generated output. The relevant objective is to preserve sufficient information to reconstruct the clinically material inputs, configuration, governance conditions, tool interactions, output, reliance determination, and execution disposition associated with the event.</w:t>
      </w:r>
    </w:p>
    <w:p>
      <w:r>
        <w:rPr>
          <w:color w:val="777777"/>
          <w:sz w:val="16"/>
        </w:rPr>
        <w:t xml:space="preserve">p074 · att1 p.11  </w:t>
      </w:r>
      <w:r>
        <w:t>Reconstructability also need not require indefinite duplication or retention of all underlying clinical data. Where appropriate, references, persistent identifiers, cryptographic hashes, version attestations, or other verifiable lineage mechanisms may preserve reconstructability while supporting data-minimization, privacy, and cybersecurity objectives.</w:t>
      </w:r>
    </w:p>
    <w:p>
      <w:r>
        <w:rPr>
          <w:color w:val="777777"/>
          <w:sz w:val="16"/>
        </w:rPr>
        <w:t xml:space="preserve">p075 · att1 p.11  </w:t>
      </w:r>
      <w:r>
        <w:t>Question 20 - Machine-based supervisory agents — Machine-based supervisory agents can support postmarket monitoring, but their reliability and authority must be evaluated independently. A supervisory agent is itself a software system with a model/version, policy state, data dependencies, failure modes, and potential for drift. [1]</w:t>
      </w:r>
    </w:p>
    <w:p>
      <w:r>
        <w:rPr>
          <w:color w:val="777777"/>
          <w:sz w:val="16"/>
        </w:rPr>
        <w:t xml:space="preserve">p076 · att1 p.11  </w:t>
      </w:r>
      <w:r>
        <w:t>Use of a machine-based supervisory agent should not transfer or dilute the manufacturer's responsibility for the safety and effectiveness of the regulated device.</w:t>
      </w:r>
    </w:p>
    <w:p>
      <w:r>
        <w:rPr>
          <w:color w:val="777777"/>
          <w:sz w:val="16"/>
        </w:rPr>
        <w:t xml:space="preserve">p077 · att1 p.11  </w:t>
      </w:r>
      <w:r>
        <w:t>FDA should distinguish supervisory observation, supervisory recommendation, and supervisory intervention authority. A supervisor may be authorized to observe, detect, compare, or flag; it may separately be authorized to recommend intervention; and only under a further defined authority may it modify another system, override a workflow, constrain or block an action, or execute a corrective action. If it possesses intervention authority, the scope and conditions of that authority should be explicit and reconstructable.</w:t>
      </w:r>
    </w:p>
    <w:p>
      <w:r>
        <w:rPr>
          <w:color w:val="777777"/>
          <w:sz w:val="16"/>
        </w:rPr>
        <w:t xml:space="preserve">p078 · att1 p.11  </w:t>
      </w:r>
      <w:r>
        <w:t>Relevant assurance questions include: which system is supervised; which evidence triggers intervention; which supervisor version is active; what policy or threshold is applied; what actions the supervisor may take; when human escalation is mandatory; whether overrides are permitted; and whether the supervisory decision can later be reconstructed.</w:t>
      </w:r>
    </w:p>
    <w:p>
      <w:r>
        <w:rPr>
          <w:color w:val="777777"/>
          <w:sz w:val="16"/>
        </w:rPr>
        <w:t xml:space="preserve">p079 · att1 p.11  </w:t>
      </w:r>
      <w:r>
        <w:t>A supervisory agent cannot be presumed reliable merely because it supervises another AI system. Its supervisory competency and authority should themselves be demonstrable and reconstructable. Evaluation should define the intended supervisory function; benchmark the ability to detect relevant failure conditions; characterize false-negative and false-positive escalation behavior; preserve supervisor version, configuration, and policy state; test disagreement, degraded-input, and adversarial conditions; and establish explicit conditions under which supervision must revert or escalate to a human authority.</w:t>
      </w:r>
    </w:p>
    <w:p>
      <w:r>
        <w:rPr>
          <w:color w:val="777777"/>
          <w:sz w:val="16"/>
        </w:rPr>
        <w:t xml:space="preserve">p080 · att1 p.11  </w:t>
      </w:r>
      <w:r>
        <w:t>Whether a particular supervisory component falls within the regulated device boundary is a separate classification question. From an assurance perspective, however, a component that materially determines whether consequential device behavior proceeds should be included in the relevant system-level safety analysis.</w:t>
      </w:r>
    </w:p>
    <w:p>
      <w:r>
        <w:rPr>
          <w:color w:val="777777"/>
          <w:sz w:val="16"/>
        </w:rPr>
        <w:t xml:space="preserve">p081 · att1 p.11  </w:t>
      </w:r>
      <w:r>
        <w:t>Question 21 - Roles of institutions, clinicians, and other stakeholders without diffusing manufacturer accountability</w:t>
      </w:r>
    </w:p>
    <w:p>
      <w:r>
        <w:rPr>
          <w:color w:val="777777"/>
          <w:sz w:val="16"/>
        </w:rPr>
        <w:t xml:space="preserve">p082 · att1 p.11  </w:t>
      </w:r>
      <w:r>
        <w:t>Shared ecosystem responsibility should be translated into defined technical control responsibilities rather than treated as undifferentiated shared accountability. Manufacturers remain responsible for their devices, but other stakeholders control clinically relevant variables that manufacturers may not control directly.</w:t>
      </w:r>
    </w:p>
    <w:p>
      <w:r>
        <w:rPr>
          <w:color w:val="777777"/>
          <w:sz w:val="16"/>
        </w:rPr>
        <w:t xml:space="preserve">p083 · att1 p.11  </w:t>
      </w:r>
      <w:r>
        <w:t>Examples include healthcare institutions controlling identity infrastructure, local permissions, policies, workflows, deployment configuration, and some clinical context; clinicians controlling professional judgment and intended human review; foundation-model providers controlling model updates and certain model behaviors; and standards organizations influencing interoperable evidence and audit formats.</w:t>
      </w:r>
    </w:p>
    <w:p>
      <w:r>
        <w:rPr>
          <w:color w:val="777777"/>
          <w:sz w:val="16"/>
        </w:rPr>
        <w:t xml:space="preserve">p084 · att1 p.12  </w:t>
      </w:r>
      <w:r>
        <w:t>For each material state variable, the assurance plan should identify who controls it, who may change it, who monitors it, how changes are communicated, and who has authority at a consequential execution boundary. This preserves manufacturer accountability while making ecosystem dependencies operationally visible.</w:t>
      </w:r>
    </w:p>
    <w:p>
      <w:r>
        <w:rPr>
          <w:color w:val="777777"/>
          <w:sz w:val="16"/>
        </w:rPr>
        <w:t xml:space="preserve">p085 · att1 p.12  </w:t>
      </w:r>
      <w:r>
        <w:t>Allocation of control responsibility should improve attribution, monitoring, and corrective action; it should not operate as a mechanism by which a manufacturer disclaims responsibility for dependencies that are reasonably foreseeable components of the device's intended deployment.</w:t>
      </w:r>
    </w:p>
    <w:p>
      <w:r>
        <w:rPr>
          <w:color w:val="777777"/>
          <w:sz w:val="16"/>
        </w:rPr>
        <w:t xml:space="preserve">p086 · att1 p.12  </w:t>
      </w:r>
      <w:r>
        <w:t>Question 22 - Scaling re-benchmarking after modifications — Reassessment should be proportional to the change and its plausible effect on safety and effectiveness. A useful change taxonomy could distinguish:</w:t>
      </w:r>
    </w:p>
    <w:p>
      <w:r>
        <w:rPr>
          <w:color w:val="777777"/>
          <w:sz w:val="16"/>
        </w:rPr>
        <w:t xml:space="preserve">p087 · att1 p.12  </w:t>
      </w:r>
      <w:r>
        <w:t>• administrative or documentary changes with no plausible behavioral effect; • low-impact configuration changes that can be addressed through targeted regression testing; • material changes to model, retrieval, tools, patient-context handling, or workflow that warrant broader re-benchmarking and clinical confirmation; and • high-consequence changes that alter intended function, autonomy, execution authority, or critical safety behavior and may warrant premarket review. The baseline competency assessment is valuable only if the sponsor can establish which aspects of the baseline remain valid after the change. Re-benchmarking should therefore be targeted to the affected capabilities while retaining enough unaffected testing to detect unexpected cross-domain regressions.</w:t>
      </w:r>
    </w:p>
    <w:p>
      <w:r>
        <w:rPr>
          <w:color w:val="777777"/>
          <w:sz w:val="16"/>
        </w:rPr>
        <w:t xml:space="preserve">p088 · att1 p.12  </w:t>
      </w:r>
      <w:r>
        <w:t>Question 23 - PCCPs when future modifications cannot be fully prespecified — When exact future modifications cannot be known, PCCP concepts can still be useful if the sponsor can prespecify classes or bounds of change, detection mechanisms, evaluation methodology, acceptance criteria, monitoring requirements, rollback conditions, and escalation thresholds.</w:t>
      </w:r>
    </w:p>
    <w:p>
      <w:r>
        <w:rPr>
          <w:color w:val="777777"/>
          <w:sz w:val="16"/>
        </w:rPr>
        <w:t xml:space="preserve">p089 · att1 p.12  </w:t>
      </w:r>
      <w:r>
        <w:t>The emphasis may appropriately shift from prespecifying every future parameter value to prespecifying the governance process by which a bounded class of modifications will be detected, qualified, tested, and either qualified for use, restricted, subjected to additional review, rolled back, or prevented from entering the affected clinical function. For example, a sponsor might prespecify a class of retrieval-source updates limited to approved clinical knowledge repositories, together with defined validation tests, acceptance thresholds, rollback criteria, and escalation requirements, even if the exact future source update cannot be identified in advance. Whether and to what extent such an approach can be accommodated within current PCCP authorities, or would require additional policy development, is a separate legal and regulatory question. [2]</w:t>
      </w:r>
    </w:p>
    <w:p>
      <w:r>
        <w:rPr>
          <w:color w:val="777777"/>
          <w:sz w:val="16"/>
        </w:rPr>
        <w:t xml:space="preserve">p090 · att1 p.13  </w:t>
      </w:r>
      <w:r>
        <w:t>Question 24 - Third-party foundation-model changes — Manufacturers need technical and contractual mechanisms that make third-party model change observable. Useful mechanisms include model/version attestation, cryptographically or otherwise reliably verifiable version identifiers, update notifications, structured change manifests, behavioral release notes, compatibility testing, regression suites, and contractual access to safety-relevant change information.</w:t>
      </w:r>
    </w:p>
    <w:p>
      <w:r>
        <w:rPr>
          <w:color w:val="777777"/>
          <w:sz w:val="16"/>
        </w:rPr>
        <w:t xml:space="preserve">p091 · att1 p.13  </w:t>
      </w:r>
      <w:r>
        <w:t>Where technically and contractually feasible, sponsors should consider version pinning, qualification windows, or equivalent change-detection and release controls that prevent uncharacterized model changes from entering high-consequence clinical use without detection and evaluation. If the model provider changes the underlying system unexpectedly, the device should have a defined response, such as entering a restricted mode, suspending affected functions, or requiring requalification before continued highconsequence use. An unchanged API endpoint or product name should not be treated as proof that the clinically relevant model behavior is unchanged.</w:t>
      </w:r>
    </w:p>
    <w:p>
      <w:r>
        <w:rPr>
          <w:color w:val="777777"/>
          <w:sz w:val="16"/>
        </w:rPr>
        <w:t xml:space="preserve">p092 · att1 p.13  </w:t>
      </w:r>
      <w:r>
        <w:t>SECTION VII - OTHER TOPICS — Question 25 - Voluntary Foundation Model Device Master Files</w:t>
      </w:r>
    </w:p>
    <w:p>
      <w:r>
        <w:rPr>
          <w:color w:val="777777"/>
          <w:sz w:val="16"/>
        </w:rPr>
        <w:t xml:space="preserve">p093 · att1 p.13  </w:t>
      </w:r>
      <w:r>
        <w:t>Voluntary foundation-model master files or analogous referenceable regulatory files [1,14] could be useful because they may reduce duplicated review and improve consistency when multiple device sponsors depend on the same underlying model. Their value will depend on whether the file contains sufficiently current, safety-relevant information and whether changes are communicated in a way that sponsors can operationalize.</w:t>
      </w:r>
    </w:p>
    <w:p>
      <w:r>
        <w:rPr>
          <w:color w:val="777777"/>
          <w:sz w:val="16"/>
        </w:rPr>
        <w:t xml:space="preserve">p094 · att1 p.13  </w:t>
      </w:r>
      <w:r>
        <w:t>Useful content may include model identity and versioning, architecture and training-data provenance at an appropriate level of detail, intended supported use domains, known limitations and failure modes, healthcare-relevant evaluation results, subgroup performance, safety constraints and guardrails, tool-use characteristics, audit-log availability, update history, and change-notification commitments.</w:t>
      </w:r>
    </w:p>
    <w:p>
      <w:r>
        <w:rPr>
          <w:color w:val="777777"/>
          <w:sz w:val="16"/>
        </w:rPr>
        <w:t xml:space="preserve">p095 · att1 p.13  </w:t>
      </w:r>
      <w:r>
        <w:t>A Foundation Model MAF should not substitute for sponsor-specific validation of the final deployed device. The same foundation model may behave differently depending on prompts, retrieval, tools, contextual memory, user interface, workflow, and local policies. The sponsor should remain responsible for demonstrating the safety and effectiveness of the configured device for its intended use.</w:t>
      </w:r>
    </w:p>
    <w:p>
      <w:r>
        <w:rPr>
          <w:color w:val="777777"/>
          <w:sz w:val="16"/>
        </w:rPr>
        <w:t xml:space="preserve">p096 · att1 p.13  </w:t>
      </w:r>
      <w:r>
        <w:t>If voluntary participation is insufficient, alternative mechanisms could include standardized sponsor attestations, contractual disclosure requirements between model providers and device manufacturers, independent third-party assessments, machine-readable version metadata, and referenceable standardized model/system cards.</w:t>
      </w:r>
    </w:p>
    <w:p>
      <w:r>
        <w:rPr>
          <w:color w:val="777777"/>
          <w:sz w:val="16"/>
        </w:rPr>
        <w:t xml:space="preserve">p097 · att1 p.13  </w:t>
      </w:r>
      <w:r>
        <w:t>Question 26 - Additional considerations for agentic GenAI-enabled devices — Agentic systems require assurance beyond the quality of the generated recommendation because they can plan, sequence, use tools, and take actions across multiple steps. As an agentic function moves rightward on FDA's activity axis and upward on the consequence axis, the case for explicit execution authorization, policy constraints, mandatory human checkpoints, reversibility controls, non-bypassable safeguards where warranted, reconstructability, and continuous assurance becomes progressively stronger. The central distinction is between clinical supportability and execution authority. [1]</w:t>
      </w:r>
    </w:p>
    <w:p>
      <w:r>
        <w:rPr>
          <w:color w:val="777777"/>
          <w:sz w:val="16"/>
        </w:rPr>
        <w:t xml:space="preserve">p098 · att1 p.14  </w:t>
      </w:r>
      <w:r>
        <w:t>For higher-consequence agentic devices, FDA should consider whether sponsors should be expected to characterize:</w:t>
      </w:r>
    </w:p>
    <w:p>
      <w:r>
        <w:rPr>
          <w:color w:val="777777"/>
          <w:sz w:val="16"/>
        </w:rPr>
        <w:t xml:space="preserve">p099 · att1 p.14  </w:t>
      </w:r>
      <w:r>
        <w:t>• Tool inventory and permissions: which external tools or systems the agent can access, read, modify, or control. • Action authority: which contemplated actions are permitted, prohibited, conditional, or subject to human approval. • Human-oversight checkpoints: where review is mandatory before high-consequence or irreversible steps. • Reversibility and fail-safe behavior: whether an action can be undone and what occurs when a tool fails or returns inconsistent information. • Multi-step error propagation: how an early error is detected before it compounds through later steps. • Prompt-injection and tool-output resilience: whether untrusted retrieved content or tool output can alter the agent's authority or policy state. • State and auditability: whether the evidence, plan, tool calls, decisions, supervisory interventions, and execution outcomes can be reconstructed. • Change control: how model, prompt, tool, policy, and permission changes are qualified across the lifecycle. Execution authority also depends on the integrity of the systems that establish identity, credentials, permissions, and tool access. A compromised identity service, credential, tool endpoint, or permission mechanism can invalidate the authorization state for an otherwise competent agent. Accordingly, cybersecurity state should be treated as part of the execution-authority analysis where those external controls materially determine whether an action may proceed.</w:t>
      </w:r>
    </w:p>
    <w:p>
      <w:r>
        <w:rPr>
          <w:color w:val="777777"/>
          <w:sz w:val="16"/>
        </w:rPr>
        <w:t xml:space="preserve">p100 · att1 p.14  </w:t>
      </w:r>
      <w:r>
        <w:t>A practical architecture should separate at least two decisions: GOVERNED RELIANCE - Is the output sufficiently supported, contextually appropriate, and authorized for the contemplated form of clinical reliance?</w:t>
      </w:r>
    </w:p>
    <w:p>
      <w:r>
        <w:rPr>
          <w:color w:val="777777"/>
          <w:sz w:val="16"/>
        </w:rPr>
        <w:t xml:space="preserve">p101 · att1 p.14  </w:t>
      </w:r>
      <w:r>
        <w:t>GOVERNED EXECUTION - Is the contemplated action authorized to occur under the applicable policy, role, risk threshold, and supervision conditions?</w:t>
      </w:r>
    </w:p>
    <w:p>
      <w:r>
        <w:rPr>
          <w:color w:val="777777"/>
          <w:sz w:val="16"/>
        </w:rPr>
        <w:t xml:space="preserve">p102 · att1 p.14  </w:t>
      </w:r>
      <w:r>
        <w:t>Possible execution dispositions need not be binary. A system may determine that an action is authorized, authorized with constraints, requires human supervision, or is not authorized. This distinction is particularly important for systems interacting with medications, medical devices, orders, communications, scheduling, or other workflow tools, including products in which regulated device functions interact with other software functions [13].</w:t>
      </w:r>
    </w:p>
    <w:p>
      <w:r>
        <w:rPr>
          <w:color w:val="777777"/>
          <w:sz w:val="16"/>
        </w:rPr>
        <w:t xml:space="preserve">p103 · att1 p.14  </w:t>
      </w:r>
      <w:r>
        <w:t>The analytical principle is: CAPABILITY DOES NOT CONFER AUTHORITY.</w:t>
      </w:r>
    </w:p>
    <w:p>
      <w:r>
        <w:rPr>
          <w:color w:val="777777"/>
          <w:sz w:val="16"/>
        </w:rPr>
        <w:t xml:space="preserve">p104 · att1 p.15  </w:t>
      </w:r>
      <w:r>
        <w:t>CROSS-CUTTING REGULATORY-SCIENCE RECOMMENDATIONS — 1. Provenance-preserving clinical connectivity — Postmarket assurance is constrained by the quality and provenance of the information available to reconstruct a consequential event. For connected clinical AI, interoperability should therefore be considered not only as data transport but also as an evidence problem. Where relevant, the assurance system should be able to establish which source produced which information, for which patient or encounter, at what time, and with what provenance and correction state.</w:t>
      </w:r>
    </w:p>
    <w:p>
      <w:r>
        <w:rPr>
          <w:color w:val="777777"/>
          <w:sz w:val="16"/>
        </w:rPr>
        <w:t xml:space="preserve">p105 · att1 p.15  </w:t>
      </w:r>
      <w:r>
        <w:t>2. Core reconstructable event record — FDA should consider regulatory-science work on a core reconstructable event record for higher-consequence GenAI-enabled devices. The record should be outcome-neutral: its purpose is not to prove safety by itself, but to preserve sufficient state to determine what the system knew, how it was configured, what authority applied, and what occurred.</w:t>
      </w:r>
    </w:p>
    <w:p>
      <w:r>
        <w:rPr>
          <w:color w:val="777777"/>
          <w:sz w:val="16"/>
        </w:rPr>
        <w:t xml:space="preserve">p106 · att1 p.15  </w:t>
      </w:r>
      <w:r>
        <w:t>3. Continuous evidence-based assurance — For probabilistic systems, postmarket monitoring may need to move beyond isolated output sampling toward continuous evidence-based assurance: evaluating deployed performance over time against reconstructable evidence, configuration, patient context, and outcomes. Monitoring should be capable of identifying subgroup- or environment-specific degradation that may be hidden by stable aggregate metrics.</w:t>
      </w:r>
    </w:p>
    <w:p>
      <w:r>
        <w:rPr>
          <w:color w:val="777777"/>
          <w:sz w:val="16"/>
        </w:rPr>
        <w:t xml:space="preserve">p107 · att1 p.15  </w:t>
      </w:r>
      <w:r>
        <w:t>4. Seven-stage assurance model — One possible analytical model is: Clinical Reality / Event State -&gt; Governed Data -&gt; Governed Context -&gt; AI Competency -&gt; Governed Reliance -&gt; Governed Execution -&gt; Continuous Assurance</w:t>
      </w:r>
    </w:p>
    <w:p>
      <w:r>
        <w:rPr>
          <w:color w:val="777777"/>
          <w:sz w:val="16"/>
        </w:rPr>
        <w:t xml:space="preserve">p108 · att1 p.15  </w:t>
      </w:r>
      <w:r>
        <w:t>This is not proposed as a mandated architecture. It separates distinct assurance questions: what occurred; whether data are correctly identified and valid; what context the AI may use; whether the model can perform its intended function; whether the output may influence care; whether the resulting action is authorized; and whether the event can later be reconstructed and performance evaluated over time.</w:t>
      </w:r>
    </w:p>
    <w:p>
      <w:r>
        <w:rPr>
          <w:color w:val="777777"/>
          <w:sz w:val="16"/>
        </w:rPr>
        <w:t xml:space="preserve">p109 · att1 p.15  </w:t>
      </w:r>
      <w:r>
        <w:t>This model is modular rather than prescriptive. FDA need not require any particular implementation topology or external governance platform. The relevant regulatory question is whether the safety functions appropriate to the device's risk are demonstrably present and effective. Those functions may be implemented within the device, through distributed controls, through institutional infrastructure, or through another technically adequate architecture.</w:t>
      </w:r>
    </w:p>
    <w:p>
      <w:r>
        <w:rPr>
          <w:color w:val="777777"/>
          <w:sz w:val="16"/>
        </w:rPr>
        <w:t xml:space="preserve">p110 · att1 p.15  </w:t>
      </w:r>
      <w:r>
        <w:t>Under a least-burdensome, risk-proportionate approach [15], the regulatory burden should rise with the risk created by autonomy, consequence, external dependency, and execution authority. Low-consequence, bounded, recommendation-only systems may be adequately addressed through conventional competency evaluation and lifecycle controls. As external dependency increases, provenance, configuration lineage, model/version state, and context reconstruction become more important. For high-consequence recommendations, governed reliance becomes more important; for action-taking systems, execution authority becomes a distinct safety control; and for action-taking systems with severe potential consequences, policy gating, escalation, human override, non-bypassable safeguards where warranted, reconstructability, and continuous assurance become increasingly difficult to treat as optional conveniences.</w:t>
      </w:r>
    </w:p>
    <w:p>
      <w:r>
        <w:rPr>
          <w:color w:val="777777"/>
          <w:sz w:val="16"/>
        </w:rPr>
        <w:t xml:space="preserve">p111 · att1 p.16  </w:t>
      </w:r>
      <w:r>
        <w:t>5. Least-burdensome, risk-proportionate governance — FDA can preserve implementation flexibility by regulating safety properties rather than prescribing a single architecture. A sponsor or healthcare institution may satisfy the same assurance question through integrated controls, distributed controls, an institutional governance layer, or another technically adequate implementation. The cited patent examples below are therefore offered only as evidence that several relevant control functions can be engineered; they are not proposed as required regulatory topology.</w:t>
      </w:r>
    </w:p>
    <w:p>
      <w:r>
        <w:rPr>
          <w:color w:val="777777"/>
          <w:sz w:val="16"/>
        </w:rPr>
        <w:t xml:space="preserve">p112 · att1 p.16  </w:t>
      </w:r>
      <w:r>
        <w:t>ILLUSTRATIVE PUBLIC TECHNICAL EXAMPLES — The following issued U.S. patents are cited as illustrative public technical examples relevant to several assurance functions discussed above. The descriptions below identify selected technical features reflected in the cited patents and are not intended to characterize the full scope of any patent or claim. The issued claims and specifications should be consulted for the complete disclosure and legally operative claim language. The patents are not presented as FDA standards, evidence of regulatory necessity, or assertions that any third party practices a claim.</w:t>
      </w:r>
    </w:p>
    <w:p>
      <w:r>
        <w:rPr>
          <w:color w:val="777777"/>
          <w:sz w:val="16"/>
        </w:rPr>
        <w:t xml:space="preserve">p113 · att1 p.16  </w:t>
      </w:r>
      <w:r>
        <w:t>U.S. Patent No. 11,693,990 B1 [3] - Medical Data Governance: collecting patient data using digital black boxes; identifying patients and validating collected data; storing identified and validated data; analyzing data-affinity and association/integrity issues; normalizing data through subsystem-specific export drivers; and, in dependent claims, time-stamping, location association, and patient/location/time-segment verification.</w:t>
      </w:r>
    </w:p>
    <w:p>
      <w:r>
        <w:rPr>
          <w:color w:val="777777"/>
          <w:sz w:val="16"/>
        </w:rPr>
        <w:t xml:space="preserve">p114 · att1 p.16  </w:t>
      </w:r>
      <w:r>
        <w:t>U.S. Patent No. 12,001,464 B1 [4] - Medical Data Governance Using Large Language Models: receiving a medical-data query; applying one or more LLMs to determine associated metadata; querying an MDG database using that metadata; extracting associated raw data; generating metadata-associated LLM constructs for the raw data; retrieving responsive medical data; and outputting the retrieved data.</w:t>
      </w:r>
    </w:p>
    <w:p>
      <w:r>
        <w:rPr>
          <w:color w:val="777777"/>
          <w:sz w:val="16"/>
        </w:rPr>
        <w:t xml:space="preserve">p115 · att1 p.16  </w:t>
      </w:r>
      <w:r>
        <w:t>U.S. Patent No. 12,665,807 B1 [5] - Vendor-Agnostic Medical Device Integration Infrastructure: retrofit device-interface modules coupled to medical devices; a bedside power-and-data distribution component; and an edge processing unit that detects connection events, authenticates and authorizes modules, assigns physical location, generates standardized data objects including device identity, location, and time information, and routes those objects through secure downstream paths while isolating the clinical integration plane from the general hospital IT network.</w:t>
      </w:r>
    </w:p>
    <w:p>
      <w:r>
        <w:rPr>
          <w:color w:val="777777"/>
          <w:sz w:val="16"/>
        </w:rPr>
        <w:t xml:space="preserve">p116 · att1 p.16  </w:t>
      </w:r>
      <w:r>
        <w:t>U.S. Patent No. 12,580,768 B2 [6] - Decentralized Persona Agent Governance: a Policy Constraint Engine evaluates contemplated persona-agent actions against policy constraints; gating logic freezes an action that exceeds an authorized policy threshold; a Supervisor Review Interface permits a credentialed human or digital supervisor to approve, modify, or reject the frozen action; and supervisory decisions are recorded in a cryptographically linked audit ledger.</w:t>
      </w:r>
    </w:p>
    <w:p>
      <w:r>
        <w:rPr>
          <w:color w:val="777777"/>
          <w:sz w:val="16"/>
        </w:rPr>
        <w:t xml:space="preserve">p117 · att1 p.17  </w:t>
      </w:r>
      <w:r>
        <w:t>U.S. Patent No. 12,675,574 B1 [7] - Non-Bypassable Contextual Memory Governance: patient-partitioned contextual memory stores memory atoms associated with patient identity; a non-bypassable memory-gating operation evaluates candidate atoms under a policy snapshot and integrity criteria; a governed context bundle and execution governance artifact are assembled; and execution is conditioned through a constrained interface that requires the governed execution package, with downstream reliance conditioned on a bound readiness artifact.</w:t>
      </w:r>
    </w:p>
    <w:p>
      <w:r>
        <w:rPr>
          <w:color w:val="777777"/>
          <w:sz w:val="16"/>
        </w:rPr>
        <w:t xml:space="preserve">p118 · att1 p.17  </w:t>
      </w:r>
      <w:r>
        <w:t>CONCLUSION — FDA's discussion paper establishes a strong foundation for further regulatory-science work by connecting risk-proportionate oversight, competency evaluation, clinical confirmation, postmarket monitoring, considerations related to foundation models, and agentic-AI oversight.</w:t>
      </w:r>
    </w:p>
    <w:p>
      <w:r>
        <w:rPr>
          <w:color w:val="777777"/>
          <w:sz w:val="16"/>
        </w:rPr>
        <w:t xml:space="preserve">p119 · att1 p.17  </w:t>
      </w:r>
      <w:r>
        <w:t>The central recommendation is to distinguish model competency from the broader assurance conditions under which a consequential output or action occurs. For higherconsequence systems, those conditions may include evidence provenance, patient and encounter state, model and configuration identity, tool and policy state, reliance determination, execution authority, and reconstructability of the event.</w:t>
      </w:r>
    </w:p>
    <w:p>
      <w:r>
        <w:rPr>
          <w:color w:val="777777"/>
          <w:sz w:val="16"/>
        </w:rPr>
        <w:t xml:space="preserve">p120 · att1 p.17  </w:t>
      </w:r>
      <w:r>
        <w:t>A regulated device may have a defined product boundary even when clinically relevant assurance dependencies extend beyond that boundary to external models, tools, institutional infrastructure, data sources, permissions, or workflow state.</w:t>
      </w:r>
    </w:p>
    <w:p>
      <w:r>
        <w:rPr>
          <w:color w:val="777777"/>
          <w:sz w:val="16"/>
        </w:rPr>
        <w:t xml:space="preserve">p121 · att1 p.17  </w:t>
      </w:r>
      <w:r>
        <w:t>As autonomy increases, a technically capable system may still lack authority to execute a clinically supportable action. Capability does not confer authority.</w:t>
      </w:r>
    </w:p>
    <w:p>
      <w:r>
        <w:rPr>
          <w:color w:val="777777"/>
          <w:sz w:val="16"/>
        </w:rPr>
        <w:t xml:space="preserve">p122 · att1 p.17  </w:t>
      </w:r>
      <w:r>
        <w:t>Thank you for the opportunity to provide feedback on this important regulatory-science discussion.</w:t>
      </w:r>
    </w:p>
    <w:p>
      <w:r>
        <w:rPr>
          <w:color w:val="777777"/>
          <w:sz w:val="16"/>
        </w:rPr>
        <w:t xml:space="preserve">p123 · att1 p.17  </w:t>
      </w:r>
      <w:r>
        <w:t>Respectfully submitted,</w:t>
      </w:r>
    </w:p>
    <w:p>
      <w:r>
        <w:rPr>
          <w:color w:val="777777"/>
          <w:sz w:val="16"/>
        </w:rPr>
        <w:t xml:space="preserve">p124 · att1 p.17  </w:t>
      </w:r>
      <w:r>
        <w:t>Harold Arkoff, MD Vedran Jukic — DISCLOSURE — The authors are named inventors on the patents identified above. Harold Arkoff, MD and Vedran Jukic have an economic interest in OneSource Solutions International. The views expressed in this comment are the authors' independent regulatory and architectural analysis. The cited patents are presented solely as public technical examples relevant to the issues raised by FDA. Their inclusion does not imply FDA endorsement, regulatory necessity, infringement, exclusivity, or commercial superiority.</w:t>
      </w:r>
    </w:p>
    <w:p>
      <w:r>
        <w:rPr>
          <w:color w:val="777777"/>
          <w:sz w:val="16"/>
        </w:rPr>
        <w:t xml:space="preserve">p125 · att1 p.18  </w:t>
      </w:r>
      <w:r>
        <w:t>REFERENCES — [1] U.S. Food and Drug Administration, Center for Devices and Radiological Health.</w:t>
      </w:r>
    </w:p>
    <w:p>
      <w:r>
        <w:rPr>
          <w:color w:val="777777"/>
          <w:sz w:val="16"/>
        </w:rPr>
        <w:t xml:space="preserve">p126 · att1 p.18  </w:t>
      </w:r>
      <w:r>
        <w:t>Considerations for the Regulation of Generative AI-Enabled Medical Devices: Discussion Paper and Request for Feedback. August 2026. [2] U.S. Food and Drug Administration. Marketing Submission Recommendations for a</w:t>
      </w:r>
    </w:p>
    <w:p>
      <w:r>
        <w:rPr>
          <w:color w:val="777777"/>
          <w:sz w:val="16"/>
        </w:rPr>
        <w:t xml:space="preserve">p127 · att1 p.18  </w:t>
      </w:r>
      <w:r>
        <w:t>Predetermined Change Control Plan for Artificial Intelligence-Enabled Device Software Functions. Final Guidance. August 2025. [3] Arkoff H, Jukic V. Medical Data Governance. U.S. Patent No. 11,693,990 B1. Issued July</w:t>
      </w:r>
    </w:p>
    <w:p>
      <w:r>
        <w:rPr>
          <w:color w:val="777777"/>
          <w:sz w:val="16"/>
        </w:rPr>
        <w:t xml:space="preserve">p128 · att1 p.18  </w:t>
      </w:r>
      <w:r>
        <w:t>4, 2023. [4] Arkoff H, Jukic V. System and Method for Medical Data Governance Using Large</w:t>
      </w:r>
    </w:p>
    <w:p>
      <w:r>
        <w:rPr>
          <w:color w:val="777777"/>
          <w:sz w:val="16"/>
        </w:rPr>
        <w:t xml:space="preserve">p129 · att1 p.18  </w:t>
      </w:r>
      <w:r>
        <w:t>Language Models. U.S. Patent No. 12,001,464 B1. Issued June 4, 2024. [5] Arkoff H, Jukic V. System and Method for Retrofit Deployment of a Vendor-Agnostic</w:t>
      </w:r>
    </w:p>
    <w:p>
      <w:r>
        <w:rPr>
          <w:color w:val="777777"/>
          <w:sz w:val="16"/>
        </w:rPr>
        <w:t xml:space="preserve">p130 · att1 p.18  </w:t>
      </w:r>
      <w:r>
        <w:t>Medical Device Integration Infrastructure. U.S. Patent No. 12,665,807 B1. Issued June 23, 2026. [6] Arkoff H, Jukic V. System and Method for Decentralized Persona Agent Governance in</w:t>
      </w:r>
    </w:p>
    <w:p>
      <w:r>
        <w:rPr>
          <w:color w:val="777777"/>
          <w:sz w:val="16"/>
        </w:rPr>
        <w:t xml:space="preserve">p131 · att1 p.18  </w:t>
      </w:r>
      <w:r>
        <w:t>Regulated Environments Using Large Language Models. U.S. Patent No. 12,580,768 B2. Issued March 17, 2026. [7] Jukic V, Arkoff H. Non-Bypassable Governance of Partitioned Contextual Memory for</w:t>
      </w:r>
    </w:p>
    <w:p>
      <w:r>
        <w:rPr>
          <w:color w:val="777777"/>
          <w:sz w:val="16"/>
        </w:rPr>
        <w:t xml:space="preserve">p132 · att1 p.18  </w:t>
      </w:r>
      <w:r>
        <w:t>Conditioning Execution. U.S. Patent No. 12,675,574 B1. Issued July 7, 2026. [8] U.S. Food and Drug Administration, Center for Devices and Radiological Health.</w:t>
      </w:r>
    </w:p>
    <w:p>
      <w:r>
        <w:rPr>
          <w:color w:val="777777"/>
          <w:sz w:val="16"/>
        </w:rPr>
        <w:t xml:space="preserve">p133 · att1 p.18  </w:t>
      </w:r>
      <w:r>
        <w:t>Executive Summary for the Digital Health Advisory Committee Meeting: Total Product Lifecycle Considerations for Generative AI-Enabled Devices. 2024. [9] Patel B, Blumenthal D. A Novel Approach to Overseeing the Clinical Application of</w:t>
      </w:r>
    </w:p>
    <w:p>
      <w:r>
        <w:rPr>
          <w:color w:val="777777"/>
          <w:sz w:val="16"/>
        </w:rPr>
        <w:t xml:space="preserve">p134 · att1 p.18  </w:t>
      </w:r>
      <w:r>
        <w:t>Generative AI. JAMA Health Forum. 2026;7(3):e256947. doi:10.1001/jamahealthforum.2025.6947. [10] Bergman A, Wachter RM, Emanuel EJ. A Licensure Framework for Autonomous</w:t>
      </w:r>
    </w:p>
    <w:p>
      <w:r>
        <w:rPr>
          <w:color w:val="777777"/>
          <w:sz w:val="16"/>
        </w:rPr>
        <w:t xml:space="preserve">p135 · att1 p.18  </w:t>
      </w:r>
      <w:r>
        <w:t>Clinical AI. JAMA. 2026;335(20):1751-1754. doi:10.1001/jama.2026.5483. [11] Freyer O, Jayabalan S, et al. Overcoming Regulatory Barriers to the Implementation of</w:t>
      </w:r>
    </w:p>
    <w:p>
      <w:r>
        <w:rPr>
          <w:color w:val="777777"/>
          <w:sz w:val="16"/>
        </w:rPr>
        <w:t xml:space="preserve">p136 · att1 p.18  </w:t>
      </w:r>
      <w:r>
        <w:t>AI Agents in Healthcare. Nature Medicine. 2025;31(10):3239-3243. doi:10.1038/s41591- 025-03841-1. [12] Garcia V, Sidulova M, Badano A. Performance Assessment Strategies for Language</w:t>
      </w:r>
    </w:p>
    <w:p>
      <w:r>
        <w:rPr>
          <w:color w:val="777777"/>
          <w:sz w:val="16"/>
        </w:rPr>
        <w:t xml:space="preserve">p137 · att1 p.18  </w:t>
      </w:r>
      <w:r>
        <w:t>Model Applications in Healthcare. Artificial Intelligence in the Life Sciences. 2026;9. doi:10.1016/j.ailsci.2026.100162. [13] U.S. Food and Drug Administration. Multiple Function Device Products: Policy and</w:t>
      </w:r>
    </w:p>
    <w:p>
      <w:r>
        <w:rPr>
          <w:color w:val="777777"/>
          <w:sz w:val="16"/>
        </w:rPr>
        <w:t xml:space="preserve">p138 · att1 p.18  </w:t>
      </w:r>
      <w:r>
        <w:t>Considerations. Guidance for Industry and Food and Drug Administration Staff. [14] U.S. Food and Drug Administration. Device Master Files. Premarket Submissions:</w:t>
      </w:r>
    </w:p>
    <w:p>
      <w:r>
        <w:rPr>
          <w:color w:val="777777"/>
          <w:sz w:val="16"/>
        </w:rPr>
        <w:t xml:space="preserve">p139 · att1 p.18  </w:t>
      </w:r>
      <w:r>
        <w:t>Selecting and Preparing the Correct Submission. Center for Devices and Radiological Health. Accessed August 2026. [15] U.S. Food and Drug Administration. The Least Burdensome Provisions: Concept and</w:t>
      </w:r>
    </w:p>
    <w:p>
      <w:r>
        <w:rPr>
          <w:color w:val="777777"/>
          <w:sz w:val="16"/>
        </w:rPr>
        <w:t xml:space="preserve">p140 · att1 p.18  </w:t>
      </w:r>
      <w:r>
        <w:t>Principles. Guidance for Industry and FDA Staff. February 2019.</w:t>
      </w:r>
    </w:p>
    <w:p>
      <w:pPr>
        <w:pStyle w:val="Heading1"/>
        <w:pageBreakBefore/>
      </w:pPr>
      <w:r>
        <w:t>FDA-2026-N-7874-0050</w:t>
      </w:r>
    </w:p>
    <w:p>
      <w:r>
        <w:t>Comment from Chirag Kanitkar</w:t>
      </w:r>
    </w:p>
    <w:p>
      <w:r>
        <w:rPr>
          <w:color w:val="777777"/>
          <w:sz w:val="18"/>
        </w:rPr>
        <w:t>Health Professional - A0007 · received 2026-08-28 · attachments: attachment_1.pdf (3 pp), attachment_2.pdf (19 pp)</w:t>
      </w:r>
    </w:p>
    <w:p>
      <w:r>
        <w:rPr>
          <w:color w:val="777777"/>
          <w:sz w:val="16"/>
        </w:rPr>
        <w:t xml:space="preserve">p001 · body  </w:t>
      </w:r>
      <w:r>
        <w:t>This comment addresses Discussion Questions 19 and 21 and Section VI.B on shared ecosystem responsibility. I submit it in a personal capacity as a healthcare supply chain professional and independent researcher whose work applies FDA's public device data to post-market risk prioritization.</w:t>
      </w:r>
    </w:p>
    <w:p>
      <w:r>
        <w:rPr>
          <w:color w:val="777777"/>
          <w:sz w:val="16"/>
        </w:rPr>
        <w:t xml:space="preserve">p002 · body  </w:t>
      </w:r>
      <w:r>
        <w:t>CDRH's post-market monitoring approach assumes health systems can serve as a locus of observation for deployed devices. Most cannot do this reliably today - not for conventional devices, and less so for software-based ones. Software devices frequently enter through IT procurement, and many institutions cannot enumerate the AI-enabled device functions running in their supply chain environment. Institutional traceability is already a binding constraint for conventional devices, and monitoring a GenAI-enabled device additionally requires knowing which model version and configuration produced a given output - which most institutions have no mechanism to record.</w:t>
      </w:r>
    </w:p>
    <w:p>
      <w:r>
        <w:rPr>
          <w:color w:val="777777"/>
          <w:sz w:val="16"/>
        </w:rPr>
        <w:t xml:space="preserve">p003 · body  </w:t>
      </w:r>
      <w:r>
        <w:t>The attached comment develops these points, addresses the uneven distribution of institutional capability, and recommends that the institutional role be structured around receiving and reporting rather than independent evaluation. It also recommends a tiered rather than confidential-only structure for Foundation Model Master Files, and addresses the trade-off that approach involves. Full comment and supporting research is attached.</w:t>
      </w:r>
    </w:p>
    <w:p>
      <w:r>
        <w:rPr>
          <w:color w:val="777777"/>
          <w:sz w:val="16"/>
        </w:rPr>
        <w:t xml:space="preserve">p004 · att1 p.1  </w:t>
      </w:r>
      <w:r>
        <w:t>Comment Re: Considerations for the Regulation of Generative AI-Enabled Medical Devices – Docket No. FDA-2026-N-7874</w:t>
      </w:r>
    </w:p>
    <w:p>
      <w:r>
        <w:rPr>
          <w:color w:val="777777"/>
          <w:sz w:val="16"/>
        </w:rPr>
        <w:t xml:space="preserve">p005 · att1 p.1  </w:t>
      </w:r>
      <w:r>
        <w:t>I submit this comment in a personal capacity. I work in supply chain, analytics, and process improvement at a large U.S. health system and am also an independent scholar. My most recent research applies FDA’s public device data to post-market risk prioritization. My comments address Discussion Questions 19 and 21, and Section VI.B on shared ecosystem responsibility. I do not comment on premarket evaluation, which falls outside my expertise.</w:t>
      </w:r>
    </w:p>
    <w:p>
      <w:r>
        <w:rPr>
          <w:color w:val="777777"/>
          <w:sz w:val="16"/>
        </w:rPr>
        <w:t xml:space="preserve">p006 · att1 p.1  </w:t>
      </w:r>
      <w:r>
        <w:t>Summary — CDRH’s post-market monitoring approach assumes that healthcare institutions can serve as a locus of observation for deployed devices. In my experience and in my research, most health systems cannot do this reliably today; not for conventional devices, and even less so for software-based devices. If post-market monitoring for GenAI-enabled devices depends on institutional participation, that dependency should be designed around what institutions can actually do rather than what they would need to build.</w:t>
      </w:r>
    </w:p>
    <w:p>
      <w:r>
        <w:rPr>
          <w:color w:val="777777"/>
          <w:sz w:val="16"/>
        </w:rPr>
        <w:t xml:space="preserve">p007 · att1 p.1  </w:t>
      </w:r>
      <w:r>
        <w:t>Health systems frequently cannot inventory the software-based devices they have deployed — Physical devices enter a health system through supply chain systems and mechanisms that involve creation of an item master record, capture of purchase/invoice history, and with varying completeness, recording a Unique Device Identifier (UDI). Software-based devices commonly enter through other procurement channels instead, and seldom appear in the item master at all. The practical consequence is that many institutions cannot produce a list of the AI-enabled device software functions running in their environment, who is using them, or in which workflows especially if there is no existing AI governance structure in place. An institution that cannot enumerate its deployed devices cannot monitor them, and any investigation would have to be adhoc, manual, and therefore time-consuming.</w:t>
      </w:r>
    </w:p>
    <w:p>
      <w:r>
        <w:rPr>
          <w:color w:val="777777"/>
          <w:sz w:val="16"/>
        </w:rPr>
        <w:t xml:space="preserve">p008 · att1 p.1  </w:t>
      </w:r>
      <w:r>
        <w:t>Traceability is already a binding constraint for conventional devices, and more severe for GenAI-enabled ones</w:t>
      </w:r>
    </w:p>
    <w:p>
      <w:r>
        <w:rPr>
          <w:color w:val="777777"/>
          <w:sz w:val="16"/>
        </w:rPr>
        <w:t xml:space="preserve">p009 · att1 p.1  </w:t>
      </w:r>
      <w:r>
        <w:t>In the research I recently conducted on medical device recall risk using public FDA data, institutional traceability of medical devices down to the serial number, lot number, or only the model, was scored as an explicit risk dimension because it varies so widely and constrains what an institution can do once a problem is identified. Electronic capture of UDI at the point of care is still not widely adopted across U.S. hospitals. For GenAI-enabled devices, the analogous requirement is harder; post-market monitoring, sample-based clinician review, and performance degradation analysis all require knowing which model version, prompt configuration, and guardrail set produced a given output at a given time. Most institutions have no mechanism to record this and may not even have the contractual right to obtain it from the manufacturer. Where that information is unavailable, these monitoring approaches are not viable in practice.</w:t>
      </w:r>
    </w:p>
    <w:p>
      <w:r>
        <w:rPr>
          <w:color w:val="777777"/>
          <w:sz w:val="16"/>
        </w:rPr>
        <w:t xml:space="preserve">p010 · att1 p.2  </w:t>
      </w:r>
      <w:r>
        <w:t>There is no established notification pathway to the deploying institution for model-level change</w:t>
      </w:r>
    </w:p>
    <w:p>
      <w:r>
        <w:rPr>
          <w:color w:val="777777"/>
          <w:sz w:val="16"/>
        </w:rPr>
        <w:t xml:space="preserve">p011 · att1 p.2  </w:t>
      </w:r>
      <w:r>
        <w:t>When a conventional device is recalled, imperfect but real channels exist to notify purchasing institutions. Section VI.C correctly identifies that changes to a third-party foundation model may be initiated by the model developer rather than the device manufacturer. Today, a deploying health system would typically have no way to learn that such a change occurred, no way to determine whether device behavior shifted as a result, and no basis for deciding whether clinical use should continue in the interim, or whether there should be change in clinical use or clinical practice. Any framework that assigns institutions a monitoring role should also specify what information they are entitled to receive, in what format, through which channel(s), and when.</w:t>
      </w:r>
    </w:p>
    <w:p>
      <w:r>
        <w:rPr>
          <w:color w:val="777777"/>
          <w:sz w:val="16"/>
        </w:rPr>
        <w:t xml:space="preserve">p012 · att1 p.2  </w:t>
      </w:r>
      <w:r>
        <w:t>Capability is unevenly distributed, and a framework that assumes otherwise will produce uneven protection</w:t>
      </w:r>
    </w:p>
    <w:p>
      <w:r>
        <w:rPr>
          <w:color w:val="777777"/>
          <w:sz w:val="16"/>
        </w:rPr>
        <w:t xml:space="preserve">p013 · att1 p.2  </w:t>
      </w:r>
      <w:r>
        <w:t>Large academic medical centers may build the logging, analytic, and governance infrastructure that institution-side monitoring requires. Safety-net, public, rural, and smaller systems generally may not, and these are the ones serving populations with the fewest alternatives. If post-market assurance depends materially on institutional capability, patients will receive different levels of protection depending on where they are treated. I would encourage CDRH to weigh whether postmarket obligations that presume institutional sophistication are appropriate, or whether the monitoring burden should rest more heavily on manufacturers precisely because institutional capability cannot be assumed.</w:t>
      </w:r>
    </w:p>
    <w:p>
      <w:r>
        <w:rPr>
          <w:color w:val="777777"/>
          <w:sz w:val="16"/>
        </w:rPr>
        <w:t xml:space="preserve">p014 · att1 p.2  </w:t>
      </w:r>
      <w:r>
        <w:t>Public data transparency enables independent monitoring in a way that confidential submission does not</w:t>
      </w:r>
    </w:p>
    <w:p>
      <w:r>
        <w:rPr>
          <w:color w:val="777777"/>
          <w:sz w:val="16"/>
        </w:rPr>
        <w:t xml:space="preserve">p015 · att1 p.2  </w:t>
      </w:r>
      <w:r>
        <w:t>FDA’s existing device data – the Global Unique Device Identification Database (GUDID) , recall and enforcement records, and post-approval change histories – has allowed me and other researchers to conduct independent post-market risk analysis with no access to proprietary manufacturer data. In a retrospective validation of my risk-scoring framework, it was found that the highest-risk 20 percent of a scored hospital product portfolio contained three of every four Class I recalls that subsequently occurred. The point is not the method but the prerequisite; analysis of publicly available regulatory data – although imperfect – made independent analysis possible.</w:t>
      </w:r>
    </w:p>
    <w:p>
      <w:r>
        <w:rPr>
          <w:color w:val="777777"/>
          <w:sz w:val="16"/>
        </w:rPr>
        <w:t xml:space="preserve">p016 · att1 p.2  </w:t>
      </w:r>
      <w:r>
        <w:t>Section VII.A contemplates Foundation Model Master Files held confidentially. Confidential submission may be necessary for some content, but a confidential-only approach forecloses the independent scrutiny that has proven valuable elsewhere in device post-market surveillance. A tiered structure, in which some information is confidential and a defined subset is public, would help preserve manufacturer interests while at the same time enabling researchers, practitioners, and professional societies to contribute to monitoring and resolution rather than depending entirely on self-reporting. I recognize the trade-off. Foundation model developers would participate voluntarily, and publishing any portion of what they submit may reduce their willingness to submit at all, leaving the FDA with less information. That risk is real and argues for a narrow public-tier (example: authorized versions, dates of material change, and reported safety events, rather than architecture or training data) and for evaluating participation rates before expanding what is disclosed. A confidential file that no one submits is not more useful than a partially public one that developers are willing to complete.</w:t>
      </w:r>
    </w:p>
    <w:p>
      <w:r>
        <w:rPr>
          <w:color w:val="777777"/>
          <w:sz w:val="16"/>
        </w:rPr>
        <w:t xml:space="preserve">p017 · att1 p.3  </w:t>
      </w:r>
      <w:r>
        <w:t>Question 21 — Healthcare institutions can realistically contribute to post-market monitoring in three ways: maintaining an inventory of deployed AI-enabled device functions, retaining interaction and version logs where the manufacturer supplies them, and reliably reporting observed failures through existing safety channels. Each of these depends on manufacturers providing information institutions cannot generate themselves. Structuring the institutional role around receiving and reporting, rather than around independent evaluation would keep accountability with the manufacturer while making the institutional contribution achievable across the full range of U.S. health systems rather than only the best-resourced ones.</w:t>
      </w:r>
    </w:p>
    <w:p>
      <w:r>
        <w:rPr>
          <w:color w:val="777777"/>
          <w:sz w:val="16"/>
        </w:rPr>
        <w:t xml:space="preserve">p018 · att1 p.3  </w:t>
      </w:r>
      <w:r>
        <w:t>Summary of recommendations — 1. Structure the institutional role in post-market monitoring around receiving and reporting rather than independent evaluation so that adoption is achievable across the full range of U.S. health systems. 2. Where a monitoring framework assigns responsibilities to deploying institutions, specify what information manufacturers must supply to them since institutions cannot generate this information themselves. Examples include device version identifiers, interaction logs, and real-time notification of material model changes and their downstream effects. 3. Consider a tiered structure for Foundation Model Master Files, in which a defined subset of information is public while competitively sensitive content remains confidential, to enable independent scrutiny alongside FDA review</w:t>
      </w:r>
    </w:p>
    <w:p>
      <w:r>
        <w:rPr>
          <w:color w:val="777777"/>
          <w:sz w:val="16"/>
        </w:rPr>
        <w:t xml:space="preserve">p019 · att1 p.3  </w:t>
      </w:r>
      <w:r>
        <w:t>CDRH’s post-market approach presumes an observational capability at the institutional level that does not presently exist in most U.S. health systems. Designing around that reality, rather than around the capability a well-resourced academic medical center might build, will produce a framework that functions where most patients actually continue to receive the best possible care in a safe, timely, and efficient manner.</w:t>
      </w:r>
    </w:p>
    <w:p>
      <w:r>
        <w:rPr>
          <w:color w:val="777777"/>
          <w:sz w:val="16"/>
        </w:rPr>
        <w:t xml:space="preserve">p020 · att1 p.3  </w:t>
      </w:r>
      <w:r>
        <w:t>Thank you for the opportunity to comment.</w:t>
      </w:r>
    </w:p>
    <w:p>
      <w:r>
        <w:rPr>
          <w:color w:val="777777"/>
          <w:sz w:val="16"/>
        </w:rPr>
        <w:t xml:space="preserve">p021 · att1 p.3  </w:t>
      </w:r>
      <w:r>
        <w:t>Chirag Kanitkar, MS, CSSGB — Research reference: https://dx.doi.org/10.2139/ssrn.7278738</w:t>
      </w:r>
    </w:p>
    <w:p>
      <w:r>
        <w:rPr>
          <w:color w:val="777777"/>
          <w:sz w:val="16"/>
        </w:rPr>
        <w:t xml:space="preserve">p022 · att2 p.1  </w:t>
      </w:r>
      <w:r>
        <w:t>Strengthening Supply Chain Resilience through Data-Driven Recall Risk Management — Chirag Kanitkar, MS</w:t>
      </w:r>
    </w:p>
    <w:p>
      <w:r>
        <w:rPr>
          <w:color w:val="777777"/>
          <w:sz w:val="16"/>
        </w:rPr>
        <w:t xml:space="preserve">p023 · att2 p.1  </w:t>
      </w:r>
      <w:r>
        <w:t>[Note: This study received no specific grant from any funding agency in the public, commercial, or notfor-profit sectors, and did not involve human participants, human tissue, or personally identifiable information. It was conducted independently by the author and was not sponsored, funded, or supported by the author's employer or any other organization. The author declares no competing interests and takes full responsibility for the integrity of the data and the accuracy of the data analysis.]</w:t>
      </w:r>
    </w:p>
    <w:p>
      <w:r>
        <w:rPr>
          <w:color w:val="777777"/>
          <w:sz w:val="16"/>
        </w:rPr>
        <w:t xml:space="preserve">p024 · att2 p.1  </w:t>
      </w:r>
      <w:r>
        <w:t>Abstract — Medical device recalls often pose significant risks to patient safety, operational continuity, and financial sustainability. Managing these events at the intersection of Cost, Quality, and Outcomes (CQO) requires rapid reactive response and structured proactive risk assessment. Although alerts/recalls platforms are widely adopted, recall management remains largely fragmented, causing administrative latency, delayed item tracing, inconsistent patient impact assessment, and prolonged exposure to affected products.</w:t>
      </w:r>
    </w:p>
    <w:p>
      <w:r>
        <w:rPr>
          <w:color w:val="777777"/>
          <w:sz w:val="16"/>
        </w:rPr>
        <w:t xml:space="preserve">p025 · att2 p.1  </w:t>
      </w:r>
      <w:r>
        <w:t>This paper introduces a scalable, data-driven framework transitioning healthcare operations from unstructured crisis response to a hybrid resilience model that balances effective reactive protocols with proactive risk-mitigation pathways. The framework is designed to integrate structural recall intake with Enterprise Resource Planning (ERP) and Electronic Medical Record (EMR) data using the Unique Device Identifier (UDI) to enable rapid item- and lot-level tracing, and patient-level visibility. Concurrently, it introduces a quantitative risk-scoring methodology – incorporating clinical severity, historical recall patterns and traceability – to identify high-risk products proactively, prioritize active recalls, and drive supply chain strategy. Furthermore, we explore the role of Artificial Intelligence (AI) in automating recall data extraction, normalizing product identifiers, strengthening data governance, and enhancing dashboarding capabilities.</w:t>
      </w:r>
    </w:p>
    <w:p>
      <w:r>
        <w:rPr>
          <w:color w:val="777777"/>
          <w:sz w:val="16"/>
        </w:rPr>
        <w:t xml:space="preserve">p026 · att2 p.1  </w:t>
      </w:r>
      <w:r>
        <w:t>Recall events are known to cause patient harm, but their downstream clinical and financial consequences, and the effect of response efficiency on them, remain largely unquantified – an explicit direction for future work. By enhancing response efficiency and enabling proactive mitigation, this framework provides a scalable blueprint for strengthening compliance with evolving federal quality mandates while reducing the national burden associated with recalled medical products and supply chain disruptions.</w:t>
      </w:r>
    </w:p>
    <w:p>
      <w:r>
        <w:rPr>
          <w:color w:val="777777"/>
          <w:sz w:val="16"/>
        </w:rPr>
        <w:t xml:space="preserve">p027 · att2 p.1  </w:t>
      </w:r>
      <w:r>
        <w:t>Keywords: Medical recalls, risk management, CQO, data-driven framework, supply chain resilience — 1. Introduction</w:t>
      </w:r>
    </w:p>
    <w:p>
      <w:r>
        <w:rPr>
          <w:color w:val="777777"/>
          <w:sz w:val="16"/>
        </w:rPr>
        <w:t xml:space="preserve">p028 · att2 p.1  </w:t>
      </w:r>
      <w:r>
        <w:t>Medical device recalls have become one of the clearest points at which patient safety, operational resilience, and supply chain strategy intersect in modern healthcare. Recall events reached a four-year high in 2024, and Class I recalls – the FDA’s more severe designation reserved for products with a reasonable probability of serious adverse health consequences or death – recorded a 15-year high. Such events affect thousands to millions of units year over year and take anywhere from several months to a few years to terminate. During this interval, affected products remain in hospital inventories and directly affect patient care. Yet recall management within health systems remains almost entirely reactive. Action begins when a health system receives a recall notice from a manufacturer, the FDA, or third-party sources, by which time exposure has most likely already occurred. Monitoring effort is spread undifferentiated across every purchased product, and recall risk assessment plays no systematic role in supply chain strategy. Recall risk therefore remains disconnected from the operational measures by which health systems are run, such as supply cost, product quality, and patient outcomes. No established method currently allows a health system to predict in advance the products that are most likely to be recalled, proactively measure the potential severity of such an event, and put in place contingency plans to mitigate or respond effectively to such a risk.</w:t>
      </w:r>
    </w:p>
    <w:p>
      <w:r>
        <w:rPr>
          <w:color w:val="777777"/>
          <w:sz w:val="16"/>
        </w:rPr>
        <w:t xml:space="preserve">p029 · att2 p.2  </w:t>
      </w:r>
      <w:r>
        <w:t>The federal regulatory environment both enables and encourages a more anticipatory posture. In 2013, the FDA’s Unique Device Identification (UDI) rule and the Global Unique Device Identification Database (GUDID) standardized how every marketed device is identified and described. Furthermore, the openFDA initiative made the agency’s recall, enforcement, classification, and premarket data publicly accessible. Additionally, the Center for Devices and Radiological Health piloted in November 2024 and expanded to all medical devices in September 2025 the Early Alert communications designed to minimize the time between the agency’s first awareness of a potentially high-risk device issue and public notification. These mandates supply the data foundation and the policy momentum for proactive recall risk management. The missing piece is a method that converts them into product-level, institution-specific risk scores, a gap that this study aims to address. Therefore, the overall objective is to develop and retrospectively evaluate a data-driven risk-scoring framework using public regulatory and institutional data that assigns a composite risk score to every product actively being procured by the health system, thereby indicating the products and vendors that merit closer scrutiny, allowing for the formulation of risk-mitigation strategies, and driving a value-based enterprise-wide procurement strategy.</w:t>
      </w:r>
    </w:p>
    <w:p>
      <w:r>
        <w:rPr>
          <w:color w:val="777777"/>
          <w:sz w:val="16"/>
        </w:rPr>
        <w:t xml:space="preserve">p030 · att2 p.2  </w:t>
      </w:r>
      <w:r>
        <w:t>2. Literature Survey — Recent literature establishes that medical device recalls are neither rare nor random. Class I recalls are concentrated in cardiovascular and implantable technologies, and are shaped by device design, regulatory lineage, and cumulative post-approval modifications. However, the management and resolution of these events remains largely retrospective and reactive [7]. Most of the literature documents epidemiology, clinical harm, and operational burden in detail, but does not yet provide an integrated model that converts these signals into dynamic, risk-mitigation strategies usable for supply chain action and patient safety. This review assembles the empirical and methodological case for such a framework – one that treats recall likelihood as predictable, ties it to patient-safety consequences, and uses the resulting risk score to shift recall management from crisis response to proactive mitigation.</w:t>
      </w:r>
    </w:p>
    <w:p>
      <w:r>
        <w:rPr>
          <w:color w:val="777777"/>
          <w:sz w:val="16"/>
        </w:rPr>
        <w:t xml:space="preserve">p031 · att2 p.2  </w:t>
      </w:r>
      <w:r>
        <w:t>The scale of the problem establishes why proactive mitigation is now necessary. Mooghali et al. [6] identified 189 Class I medical device recall events between January 2018 and June 2022 with a median of 4,620 units per event (IQR 578-42,591), 11 recalls (5.8%) affecting more than 1 million units, and 30 recalls (15.8%) associated with at least 1 patient death. Recurrence is as striking as volume; 125 of the 189 recalled devices (66.1%) had been recalled multiple times, with a median of 4 recalls per device (IQR 3-11), and the median time from initiation to termination was 24 months (IQR 17.3-30.8). A cardiovascular-specific 2024 analysis [8] in Annals of Internal Medicine reinforces the same point, identifying 137 Class I recalls affecting 157 unique cardiovascular devices between 2013 and 2022, out of which 42 devices (26.8%) were subject to multiple Class I recalls. 61 of these recalls (44.5%) were still open as of September 1, 2023. Recalls management is therefore enterprise risk that can remain active for years and repeatedly enter operations after the initial notice. ECRI [3] processed 1,923 device alerts in 2022, of which 5% were classified “critical” and 77% “high” severity.</w:t>
      </w:r>
    </w:p>
    <w:p>
      <w:r>
        <w:rPr>
          <w:color w:val="777777"/>
          <w:sz w:val="16"/>
        </w:rPr>
        <w:t xml:space="preserve">p032 · att2 p.2  </w:t>
      </w:r>
      <w:r>
        <w:t>Literature also shows that recalls are rooted in structural and lifecycle factors, some of which are predictable from public regulatory data. In the Mooghali et al. [6] sample, device design accounted for 103 recalls (54.5%), followed by manufacturing errors in 25 recalls (13.2%). The median time from distribution to recall initiation was 30.0 months (IQR 10.0-62.5), meaning failures typically surface well after market entry rather than at launch. See et al. [8] found device design the most common cause of Class I cardiovascular recalls in 43 recalls (31.4%). Upstream regulatory studies further sharpen the picture. Everhart et al. [4], analyzing 35,176 devices cleared through the 510(K) pathway between 2003 and 2018, found that having predicate devices with 2 or more ongoing recalls was associated with a 9.31 percentage point increase in recall probability (95% CI; 2.84-15.77). Software-related predicate recalls alone were associated with a 5.92 percentage point increase. 4,007 (11.4%) of the analyzed devices were ultimately recalled by the end of 2020. This automated extraction workflow for predicate relationships achieved 95% sensitivity and 96% specificity, demonstrating that regulatory features are computationally tractable. Dubin et al. [2], in analyzing 373 PMA devices and 10,776 supplements found a median of 2.5 supplements per device per year (IQR 1.2-5). 97 devices (26.0%) were recalled, 20 devices (5.4%) experienced a Class I recall, and each additional supplement per year was associated with a 28% increase in overall recall risk (HR 1.28, 95% CI, 1.15-1.44) and 32% increase in Class I recall risk (HR 1.32, 95% CI, 1.06-1.64). Furthermore, cardiovascular classification was associated with 3.5 times the Class I recall risk of other categories (HR 3.51, 95% CI, 1.15-10.72). In a different study, [11] identified the failuremode concentrations that reinforce device-category risk in cardiac implants – battery problems (33%) and incorrect therapy delivery (31.1%) dominated, followed by software issues (15.5%). These findings are paramount for a proactive risk mitigation model as they model risk as empirically observable occurrence signals.</w:t>
      </w:r>
    </w:p>
    <w:p>
      <w:r>
        <w:rPr>
          <w:color w:val="777777"/>
          <w:sz w:val="16"/>
        </w:rPr>
        <w:t xml:space="preserve">p033 · att2 p.3  </w:t>
      </w:r>
      <w:r>
        <w:t>The literature also suggests that conventional safeguards are often too weak to prevent high-risk products from being manufactured and distributed. In the See et al. [8] cardiovascular study, only 30 of the 157 recalled devices (19.1%) had documented premarket clinical testing, including just 7 of 112 devices cleared through the 510(K) pathway. Among PMA devices, 22 of 45 (48.9%) had required post-approval studies, yet 14 of the 28 studies with available status reported at least one delay. In a scoping review of the HeartMate II left ventricular assist device, whose Pocket System Controller was subject to a 2014 Health Canada Type I recall (the Canadian equivalent of the FDA’s Class I designation), [5] found that 63.8% of 80 randomly sampled pre-recall studies reported positive outcomes, yet the evidence base was judged low quality due to bias-prone designs, small samples, and conflicts of interest, leading the author to conclude that it would have been difficult for a physician to anticipate the device’s true safety and effectiveness from the published literature. The implication for the proposed framework is that any risk model must embed potential recall severity as an independent scoring factor rather than inheriting it from regulatory status alone.</w:t>
      </w:r>
    </w:p>
    <w:p>
      <w:r>
        <w:rPr>
          <w:color w:val="777777"/>
          <w:sz w:val="16"/>
        </w:rPr>
        <w:t xml:space="preserve">p034 · att2 p.3  </w:t>
      </w:r>
      <w:r>
        <w:t>Post-market records also show that adverse event patterns and recall causes are tightly linked at the device level, and case evidence shows those signals can be in hand long before formal action. Yen et al. [10] drew on FDA data covering 166,986 devices with 510(k) notifications, 34,063 recall events and 13,239,502 adverse event records, and applied association rule mining to the 5,384 devices with both adverse events and recalls, identifying 21 association rules that met the study’s thresholds of 0.3% support, 50% confidence and lift above 1, each linking an adverse event product problem to a recall root cause. When four software-related adverse events co-occurred on a single device, the probability of a corresponding software design recall reached 80% confidence with a lift of 6.62. Clinical case literature such as Sengupta et al. [9] in JAMA Internal Medicine show why these signals matter. This pacemaker study found that 5 of 90 patients implanted with a defective Medtronic cardiac resynchronization pacemaker at the Minneapolis Heart Institute experienced syncope before the November 2015 recall owing to battery or wire-connection defects. MAUDE analysis of 205 returned devices showed that 77.1% failed due to high internal battery impedance and 17.1% due to lifted bond wires, producing 58 adverse events including 1 death, 2 cardiac arrests, 19 syncopal episodes, and 24 heart failure events. Critically, the manufacturer and the FDA were aware of these defects 19 months before the recall was issued. During this period the FDA received 22 further failure reports, 11 of which described serious adverse events, and the recall notification ultimately omitted the wire-connection defect entirely. Precursors existed but were not transformed into timely action, the failure mode a proactive framework is designed to prevent.</w:t>
      </w:r>
    </w:p>
    <w:p>
      <w:r>
        <w:rPr>
          <w:color w:val="777777"/>
          <w:sz w:val="16"/>
        </w:rPr>
        <w:t xml:space="preserve">p035 · att2 p.3  </w:t>
      </w:r>
      <w:r>
        <w:t>At the provider level, recalls pose an operational problem. Morgenthaler et al. [7] documented Mayo Clinic’s response to the June 2021 Philips Respironics Class I recall, which the manufacturer estimated affected over 16 million patients worldwide. Mayo Clinic alone identified approximately 9,000 patients, around 60 of them pediatric, and under a centralized, pre-existing recall response, incoming patient contacts fell from about 200 per day in early July to about 100 per day by the week of 19 July, a level of organized response that is not yet the standard. Some institutions still lack the ability to track products beyond distribution centers, forcing manual searches [1]. The operational bottleneck is rooted in identifier infrastructure – although the FDA’s 2013 UDI rule was intended to facilitate recall resolution, Mooghali et al. [6] note that the availability of UDI information remains inconsistent in recall notices, and See et al. [8] note that UDIs are not required to be incorporated into Electronic Health Records or claims data, rendering the system operationally inadequate. The consequence is the continued reliance on disconnected ERP, EMR and inventory management applications, and on manual processes including hard-copy letters and phone calls which are prevalent even today. Recall intelligence must therefore be connected to supply chain and clinical system architectures to make detectability operational rather than aspirational.</w:t>
      </w:r>
    </w:p>
    <w:p>
      <w:r>
        <w:rPr>
          <w:color w:val="777777"/>
          <w:sz w:val="16"/>
        </w:rPr>
        <w:t xml:space="preserve">p036 · att2 p.4  </w:t>
      </w:r>
      <w:r>
        <w:t>The reviewed literature showcases the epidemiology of severe recalls, identifies structural risk drivers, documents evidentiary weakness, and shows operational burden. This is the point at which riskassessment methodologies, such as a prospective Failure Mode and Effects Analysis (FMEA) inspired framework described in this study, become central to alleviating problems associated with medical recalls before they occur. Such a framework offers a scalable path forward from reactive crisis response to a hybrid model balancing effective response with proactive mitigation. The studies reviewed here supply the empirical foundation – the framework that operationalizes what the literature has been converging on for the past decade.</w:t>
      </w:r>
    </w:p>
    <w:p>
      <w:r>
        <w:rPr>
          <w:color w:val="777777"/>
          <w:sz w:val="16"/>
        </w:rPr>
        <w:t xml:space="preserve">p037 · att2 p.4  </w:t>
      </w:r>
      <w:r>
        <w:t>3. Methodology — 3.1 Concept — The framework adapts Failure Mode and Effects Analysis (FMEA), an established risk-assessment method in quality and reliability engineering, for data-driven recall risk assessment in healthcare supply chains. Its formulation generally decomposes risk into three dimensions – Severity (S), Occurrence (O), and Detectability (D) – and combines them into a Risk Priority Number (RPN). This paper adapts it into a dynamic tool with two modifications and an extension. First, component scores are computed from public regulatory and clinical data rather than workshop judgment. Severity (S) is anchored to FDA device classification and GUDID attributes. Occurrence (O) is updated from recall history, supplement frequency, and category patterns. Detectability (D) is measured from device-level traceability potential and institutional traceability maturity. Second, the composite score “R”, similar to RPN in traditional FMEA, is additive rather than multiplicative because the dimensions are correlated. For instance, cardiovascular classification independently elevates both Occurrence [2] and Severity through associated GUDID attributes [6, 8], resulting in this correlation getting compounded. Additive combination preserves the ability to interpret the contributions of its individual components. Finally, the framework extends FMEA with a supply chain specific Exposure (E) dimension to account for the magnitude of local exposure, i.e., patients who have received the affected product, inventory on hand, financial value at stake, and patient flow velocity. Component scores are scaled 0-100 to preserve the resolution of the underlying signals.</w:t>
      </w:r>
    </w:p>
    <w:p>
      <w:r>
        <w:rPr>
          <w:color w:val="777777"/>
          <w:sz w:val="16"/>
        </w:rPr>
        <w:t xml:space="preserve">p038 · att2 p.4  </w:t>
      </w:r>
      <w:r>
        <w:t>Therefore, R = WS * S + WO * O + WD * (100 – D) + WE * E, where, R → Composite Recall Risk Score, 0-100 (higher = greater risk), S → Severity Score, 0-100, O → Occurrence Score, 0-100, D → Detectability Score, 0-100 (higher = better traceability), E → Exposure Score, 0-100, WS, WO, WD, WE → Dimension Weights, summing to 1.0</w:t>
      </w:r>
    </w:p>
    <w:p>
      <w:r>
        <w:rPr>
          <w:color w:val="777777"/>
          <w:sz w:val="16"/>
        </w:rPr>
        <w:t xml:space="preserve">p039 · att2 p.4  </w:t>
      </w:r>
      <w:r>
        <w:t>The (100 – D) transformation inverts Detectability (D) so that poor traceability increases composite risk, aligning its direction with the other dimensions. Default dimension weights derived from supported literature are set to WS = 0.35, WO = 0.35, WD = 0.15, and WE = 0.15. Severity and Occurrence carry the highest weights because they are the FMEA-native dimensions most directly supported by published effect sizes. Detectability and Exposure are extensions and therefore weighted lower. Healthcare systems must tune these weights, as explained in section 3.5.</w:t>
      </w:r>
    </w:p>
    <w:p>
      <w:r>
        <w:rPr>
          <w:color w:val="777777"/>
          <w:sz w:val="16"/>
        </w:rPr>
        <w:t xml:space="preserve">p040 · att2 p.4  </w:t>
      </w:r>
      <w:r>
        <w:t>3.2 Scope — The framework applies to medical devices regulated under the Food and Drug Administration’s (FDA’s) Center for Devices and Radiological Health (CDRH), which includes high-risk implantables (ICDs, stents, valves, etc.), durable medical equipment (infusion pumps, ventilators, etc.), and Class I/II commodities (surgical supplies, etc.). It does not apply to drugs, biologics, or food and dietary supplements, which use different recall systems, identifiers, and risk factors.</w:t>
      </w:r>
    </w:p>
    <w:p>
      <w:r>
        <w:rPr>
          <w:color w:val="777777"/>
          <w:sz w:val="16"/>
        </w:rPr>
        <w:t xml:space="preserve">p041 · att2 p.5  </w:t>
      </w:r>
      <w:r>
        <w:t>3.3 Design Principles — The framework is governed by a list of principles and guidelines as detailed below. First, each factor is assigned to exactly one dimension based on the dimension its published effect size most directly measures. For instance, cardiovascular category is assigned to O and not S, since the latter is already captured by GUDID attributes for devices in this category. Second, S and O are fully computable from openFDA and GUDID, with no internal data integration. D and E require institutional context and therefore a staged adoption approach. Third, scores are decomposable, enabling users and decisionmakers to see which factors drove a given score. Lastly, in operational use, scores are ideally recomputed regularly as new data becomes available. To validate the framework, a retrospective comparative study is performed, as presented in Section 4. The author used Claude (Anthropic) for editorial assistance with manuscript organization, editing, and exploratory discussion of FDA data structures. All analysis, results, and conclusions are the author's own.</w:t>
      </w:r>
    </w:p>
    <w:p>
      <w:r>
        <w:rPr>
          <w:color w:val="777777"/>
          <w:sz w:val="16"/>
        </w:rPr>
        <w:t xml:space="preserve">p042 · att2 p.5  </w:t>
      </w:r>
      <w:r>
        <w:t>3.4 Dimensions and Factors — 3.4.1 Severity (S) — Severity (S) measures the clinical consequence to one patient if a recalled product remains in use or has been used on them. It is measured per-exposure rather than as an aggregate which is captured separately in Exposure (E). This separation prevents Severity from being inflated by high-volume, low-consequence products and vice versa. Table 1 below shows the list of factors contributing to the Severity dimension, along with their corresponding weights. Device class refers to FDA’s pre-market device classification (Class I = lowest risk, Class III = highest risk), distinct from FDA recall classification (Recall Class I = most severe, Class III = least severe). The two scales are independent and run in opposite directions. Three factors have been assigned to S, as outlined in the table below. Factor justifications are explained in Appendix A.</w:t>
      </w:r>
    </w:p>
    <w:p>
      <w:r>
        <w:rPr>
          <w:color w:val="777777"/>
          <w:sz w:val="16"/>
        </w:rPr>
        <w:t xml:space="preserve">p043 · att2 p.5  </w:t>
      </w:r>
      <w:r>
        <w:t>Default Weight — Factor Data Source Computation Default Weight — Rationale — If flagged: 100 Else: 0</w:t>
      </w:r>
    </w:p>
    <w:p>
      <w:r>
        <w:rPr>
          <w:color w:val="777777"/>
          <w:sz w:val="16"/>
        </w:rPr>
        <w:t xml:space="preserve">p044 · att2 p.5  </w:t>
      </w:r>
      <w:r>
        <w:t>GUDID: “lifeSustainSupport” flag — 0.40 Failure produces immediate, often fatal consequences — Lifesustaining / lifesupporting</w:t>
      </w:r>
    </w:p>
    <w:p>
      <w:r>
        <w:rPr>
          <w:color w:val="777777"/>
          <w:sz w:val="16"/>
        </w:rPr>
        <w:t xml:space="preserve">p045 · att2 p.5  </w:t>
      </w:r>
      <w:r>
        <w:t>If flagged: 100 Else: 0 — Implantable GUDID: “isImplantableDevice” flag — 0.30 Exposure persists post-recall; removal is invasive FDA Device Class</w:t>
      </w:r>
    </w:p>
    <w:p>
      <w:r>
        <w:rPr>
          <w:color w:val="777777"/>
          <w:sz w:val="16"/>
        </w:rPr>
        <w:t xml:space="preserve">p046 · att2 p.5  </w:t>
      </w:r>
      <w:r>
        <w:t>FDA Product Classification database — 0.30 Regulatory proxy for inherent risk — Class III: 100 Class II: 50 Class I: 25</w:t>
      </w:r>
    </w:p>
    <w:p>
      <w:r>
        <w:rPr>
          <w:color w:val="777777"/>
          <w:sz w:val="16"/>
        </w:rPr>
        <w:t xml:space="preserve">p047 · att2 p.5  </w:t>
      </w:r>
      <w:r>
        <w:t>Table 1 Severity dimension factors, weights, and scoring criteria — Severity, S = Σ (Fi * Wi), where Fi → score of factor i, 0-100, Wi → weight of factor i (factor weights sum to 1.00)</w:t>
      </w:r>
    </w:p>
    <w:p>
      <w:r>
        <w:rPr>
          <w:color w:val="777777"/>
          <w:sz w:val="16"/>
        </w:rPr>
        <w:t xml:space="preserve">p048 · att2 p.5  </w:t>
      </w:r>
      <w:r>
        <w:t>3.4.2 Occurrence (O) — Occurrence (O) measures the probability that a product will be subject to a future recall. Four factors are combined, as outlined below in Table 2. Each multiplier saturates the factor at approximately the 90th percentile of its empirical distribution so as to reflect the upper-tail risk rather than absolute counts. The three-tier category mapping for device category risk is research-derived from recall epidemiology [2, 6, 8, 11] and not an official FDA designation. The FDA publishes specialty assignments for every product code while this framework groups specialties into high/medium/low recall-risk tiers and publishes the mapping as part of this paper in Appendix B, which can be used by adopting institutions as a lookup. Where a product code carries no FDA medical-specialty assignment, a device-name keyword inference step recovers the specialty (e.g., a device named “defibrillator” is inferred to cardiovascular) before the tier lookup is applied. For products with less than 24 months of market presence, history-dependent factors do not apply. The remaining two factors are reweighted as outlined in Table 3. This cold-start scoring applies to the Occurrence (O) dimension only. Severity, Detectability, and Exposure do not depend on accumulated history.</w:t>
      </w:r>
    </w:p>
    <w:p>
      <w:r>
        <w:rPr>
          <w:color w:val="777777"/>
          <w:sz w:val="16"/>
        </w:rPr>
        <w:t xml:space="preserve">p049 · att2 p.6  </w:t>
      </w:r>
      <w:r>
        <w:t>Default Weight — Factor Data Source Computation Default Weight — Rationale — Product recall history openFDA Device Recall database</w:t>
      </w:r>
    </w:p>
    <w:p>
      <w:r>
        <w:rPr>
          <w:color w:val="777777"/>
          <w:sz w:val="16"/>
        </w:rPr>
        <w:t xml:space="preserve">p050 · att2 p.6  </w:t>
      </w:r>
      <w:r>
        <w:t>0.30 Strongest single predictor in the literature — Min (100, d * 10), where d is the count of prior recalls for the product code in the past 5 years</w:t>
      </w:r>
    </w:p>
    <w:p>
      <w:r>
        <w:rPr>
          <w:color w:val="777777"/>
          <w:sz w:val="16"/>
        </w:rPr>
        <w:t xml:space="preserve">p051 · att2 p.6  </w:t>
      </w:r>
      <w:r>
        <w:t>Vendor recall history openFDA Device Recall database — 0.30 Vendor patterns less specific than product patterns</w:t>
      </w:r>
    </w:p>
    <w:p>
      <w:r>
        <w:rPr>
          <w:color w:val="777777"/>
          <w:sz w:val="16"/>
        </w:rPr>
        <w:t xml:space="preserve">p052 · att2 p.6  </w:t>
      </w:r>
      <w:r>
        <w:t>Min (100, v * 5), where v is the count of recalls for the vendor across its full product line in the past 5 years openFDA PMA database</w:t>
      </w:r>
    </w:p>
    <w:p>
      <w:r>
        <w:rPr>
          <w:color w:val="777777"/>
          <w:sz w:val="16"/>
        </w:rPr>
        <w:t xml:space="preserve">p053 · att2 p.6  </w:t>
      </w:r>
      <w:r>
        <w:t>0.20 Applies to PMA devices only — Modification frequency (PMA supplements) — Min (100, s * 20), where s is the mean number of PMA supplements per year since approval</w:t>
      </w:r>
    </w:p>
    <w:p>
      <w:r>
        <w:rPr>
          <w:color w:val="777777"/>
          <w:sz w:val="16"/>
        </w:rPr>
        <w:t xml:space="preserve">p054 · att2 p.6  </w:t>
      </w:r>
      <w:r>
        <w:t>Device category risk — Category Mapping (Appendix B) — High: 100 Medium: 50 Low: 20</w:t>
      </w:r>
    </w:p>
    <w:p>
      <w:r>
        <w:rPr>
          <w:color w:val="777777"/>
          <w:sz w:val="16"/>
        </w:rPr>
        <w:t xml:space="preserve">p055 · att2 p.6  </w:t>
      </w:r>
      <w:r>
        <w:t>0.20 Category baseline consistent with Dubin’s [2] effect size Table 2 Occurrence dimension factors, weights, and scoring criteria</w:t>
      </w:r>
    </w:p>
    <w:p>
      <w:r>
        <w:rPr>
          <w:color w:val="777777"/>
          <w:sz w:val="16"/>
        </w:rPr>
        <w:t xml:space="preserve">p056 · att2 p.6  </w:t>
      </w:r>
      <w:r>
        <w:t>Factor Default Weight — Vendor recall history 0.50 — Device category risk 0.50</w:t>
      </w:r>
    </w:p>
    <w:p>
      <w:r>
        <w:rPr>
          <w:color w:val="777777"/>
          <w:sz w:val="16"/>
        </w:rPr>
        <w:t xml:space="preserve">p057 · att2 p.6  </w:t>
      </w:r>
      <w:r>
        <w:t>Table 3 Occurrence dimension factors and weights for products with less than 24 months of market presence</w:t>
      </w:r>
    </w:p>
    <w:p>
      <w:r>
        <w:rPr>
          <w:color w:val="777777"/>
          <w:sz w:val="16"/>
        </w:rPr>
        <w:t xml:space="preserve">p058 · att2 p.6  </w:t>
      </w:r>
      <w:r>
        <w:t>Occurrence, O = Σ (Fi * Wi), where Fi → score of factor i, 0-100, Wi → weight of factor i (factor weights sum to 1.00)</w:t>
      </w:r>
    </w:p>
    <w:p>
      <w:r>
        <w:rPr>
          <w:color w:val="777777"/>
          <w:sz w:val="16"/>
        </w:rPr>
        <w:t xml:space="preserve">p059 · att2 p.6  </w:t>
      </w:r>
      <w:r>
        <w:t>3.4.3 Detectability (D) — Detectability measures how ready a health system is to identify and react to a recall – can the organization rapidly and efficiently determine which units are affected, which patients have been exposed, and where the affected units are located. Higher D reduces the composite risk whereas a lower D amplifies it. This is achieved via the (100 – D) transformation in the computation of R. D has two components measured separately. Device-level traceability (Dd) is whether the device, by its Unique Device Identifier (UDI)</w:t>
      </w:r>
    </w:p>
    <w:p>
      <w:r>
        <w:rPr>
          <w:color w:val="777777"/>
          <w:sz w:val="16"/>
        </w:rPr>
        <w:t xml:space="preserve">p060 · att2 p.7  </w:t>
      </w:r>
      <w:r>
        <w:t>structure, Global Unique Device Identification Database (GUDID) attributes, and registry coverage, supports rapid traceability. Institutional traceability maturity (Di) determines whether the health system captures and uses UDI data at the point of clinical use with sufficient consistency to identify the affected units and patients. UDI is the label on a device that comprises a Device Identifier (DI) identifying the model, and Production Identifier (PI) identifying lot or serial. GUDID is the FDA’s database of all DIs and their attributes. Every device in the dataset has a DI. The framework does not treat “has a DI” as a discriminating signal; traceability granularity is distinguished by the serial vs lot identifier layered on top of the universally present DI. Medical device registries, on the other hand, are independent organizations that systematically collect data on implanted devices across participating institutions. Examples include the ACC-NCDR for Cardiovascular Implants, AJRR for Joint Replacements, and STS-ACSD for Cardiothoracic Surgical Devices. For recall traceability, registry coverage means a manufacturer recall can identify implants of the affected lot across all participating institutions independent of any single hospital’s EMR. Higher coverage means lower operational risk.</w:t>
      </w:r>
    </w:p>
    <w:p>
      <w:r>
        <w:rPr>
          <w:color w:val="777777"/>
          <w:sz w:val="16"/>
        </w:rPr>
        <w:t xml:space="preserve">p061 · att2 p.7  </w:t>
      </w:r>
      <w:r>
        <w:t>Device-level traceability potential (Dd) is assigned the following factors.</w:t>
      </w:r>
    </w:p>
    <w:p>
      <w:r>
        <w:rPr>
          <w:color w:val="777777"/>
          <w:sz w:val="16"/>
        </w:rPr>
        <w:t xml:space="preserve">p062 · att2 p.7  </w:t>
      </w:r>
      <w:r>
        <w:t>Default Weight — Factor Data Source Computation Default Weight — Rationale — Traceability granularity</w:t>
      </w:r>
    </w:p>
    <w:p>
      <w:r>
        <w:rPr>
          <w:color w:val="777777"/>
          <w:sz w:val="16"/>
        </w:rPr>
        <w:t xml:space="preserve">p063 · att2 p.7  </w:t>
      </w:r>
      <w:r>
        <w:t>GUDID record Serialized: 100 Lot/batch tracked: 50 DI only present, no PI: 25 Not in UDI system (no DI): 0</w:t>
      </w:r>
    </w:p>
    <w:p>
      <w:r>
        <w:rPr>
          <w:color w:val="777777"/>
          <w:sz w:val="16"/>
        </w:rPr>
        <w:t xml:space="preserve">p064 · att2 p.7  </w:t>
      </w:r>
      <w:r>
        <w:t>Category-toregistry mapping (Appendix C) — 0.50 Reflects crossinstitutional device-level traceability — 0.50 UDI is foundational and without it, no traceability factor operates Registry coverage (categorybased)</w:t>
      </w:r>
    </w:p>
    <w:p>
      <w:r>
        <w:rPr>
          <w:color w:val="777777"/>
          <w:sz w:val="16"/>
        </w:rPr>
        <w:t xml:space="preserve">p065 · att2 p.7  </w:t>
      </w:r>
      <w:r>
        <w:t>Implantable Cardiovascular: 100 Implantable Orthopedic: 75 Implantable Other: 50 Non-implantable: 0 — Table 4 Device level traceability (Dd) factors, weights, and scoring criteria</w:t>
      </w:r>
    </w:p>
    <w:p>
      <w:r>
        <w:rPr>
          <w:color w:val="777777"/>
          <w:sz w:val="16"/>
        </w:rPr>
        <w:t xml:space="preserve">p066 · att2 p.7  </w:t>
      </w:r>
      <w:r>
        <w:t>Institutional Traceability Maturity, scored based on the tier-assignment outlined in Table 5, is assigned per device class within a health system based on the institution’s UDI capture and recall response capability for that category. Tier-assignment must ideally be performed by supply chain and clinical informatics leadership. Institutions unwilling or unable to self-assign default to low (25).</w:t>
      </w:r>
    </w:p>
    <w:p>
      <w:r>
        <w:rPr>
          <w:color w:val="777777"/>
          <w:sz w:val="16"/>
        </w:rPr>
        <w:t xml:space="preserve">p067 · att2 p.7  </w:t>
      </w:r>
      <w:r>
        <w:t>Tier Score Typical Profile Operational Definition — High 100 Academic Medical Centers with mature registry participation and established UDI workflows</w:t>
      </w:r>
    </w:p>
    <w:p>
      <w:r>
        <w:rPr>
          <w:color w:val="777777"/>
          <w:sz w:val="16"/>
        </w:rPr>
        <w:t xml:space="preserve">p068 · att2 p.7  </w:t>
      </w:r>
      <w:r>
        <w:t>Routine Point-Of-Use (POU) UDI capture with capture rates &gt;= 90%; UDI present in structured EMR fields; exposed patient list usually available within 24 hours of receipt of recall notice Medium 50 Mid-sized community hospitals with EMR but partial UDI integration</w:t>
      </w:r>
    </w:p>
    <w:p>
      <w:r>
        <w:rPr>
          <w:color w:val="777777"/>
          <w:sz w:val="16"/>
        </w:rPr>
        <w:t xml:space="preserve">p069 · att2 p.7  </w:t>
      </w:r>
      <w:r>
        <w:t>Inconsistent capture with capture rates typically between 50-90%; mixed structured and free-text data; exposed patient list takes days to generate Low 25 Smaller community hospitals, rural facilities, or multi-site systems with EMR fragmentation</w:t>
      </w:r>
    </w:p>
    <w:p>
      <w:r>
        <w:rPr>
          <w:color w:val="777777"/>
          <w:sz w:val="16"/>
        </w:rPr>
        <w:t xml:space="preserve">p070 · att2 p.7  </w:t>
      </w:r>
      <w:r>
        <w:t>Rare or absent capture with capture rates under 50%; unstructured EMR data; patient identification by manual chart review takes weeks Table 5 Institutional traceability maturity (Di) factors, weights, and scoring criteria</w:t>
      </w:r>
    </w:p>
    <w:p>
      <w:r>
        <w:rPr>
          <w:color w:val="777777"/>
          <w:sz w:val="16"/>
        </w:rPr>
        <w:t xml:space="preserve">p071 · att2 p.8  </w:t>
      </w:r>
      <w:r>
        <w:t>Detectability, D = Dd * (Di/100), where Dd → device-level traceability potential, 0-100, Di → institutional traceability maturity tier score, 0-100</w:t>
      </w:r>
    </w:p>
    <w:p>
      <w:r>
        <w:rPr>
          <w:color w:val="777777"/>
          <w:sz w:val="16"/>
        </w:rPr>
        <w:t xml:space="preserve">p072 · att2 p.8  </w:t>
      </w:r>
      <w:r>
        <w:t>3.4.4 Exposure (E) — Exposure (E) measures the magnitude of a health system’s local stake in a given product, including patient-population exposure, ensuring that this framework provides visibility into how many patients would be at risk were the given product recalled. Although small and rural hospitals can typically produce a count of patients who received a given product type from EMR records, the granularity and effort to do so varies. For this dimension to correctly reflect that smaller hospitals have less aggregate exposure to any given product, a tier-based scoring is applied for a given product. For institutions where patient-exposure data is unavailable, the patient-exposed factor defaults to a category-level estimate based on national utilization benchmarks for the institution’s bed size and case mix. Inventory units, cost, and utilization are framed as distinct measures. Inventory units captures current stock (snapshot in time), utilization captures monthly throughput (flow), and patients exposed captures cumulative patients. Although the three factors are correlated – for instance, JIT institutions are likely to correctly show lower inventory levels with potentially higher utilization – they help address distinct operational questions, namely, how many patients would need outreach, how much stock is likely to be at risk, and how fast exposure could accumulate. Exposure (E) is assigned the following factors.</w:t>
      </w:r>
    </w:p>
    <w:p>
      <w:r>
        <w:rPr>
          <w:color w:val="777777"/>
          <w:sz w:val="16"/>
        </w:rPr>
        <w:t xml:space="preserve">p073 · att2 p.8  </w:t>
      </w:r>
      <w:r>
        <w:t>Default Weight — Factor Data Source Computation Default Weight — Rationale — Patients Exposed</w:t>
      </w:r>
    </w:p>
    <w:p>
      <w:r>
        <w:rPr>
          <w:color w:val="777777"/>
          <w:sz w:val="16"/>
        </w:rPr>
        <w:t xml:space="preserve">p074 · att2 p.8  </w:t>
      </w:r>
      <w:r>
        <w:t>EMR / surgical records — &gt;= 100: 100 25 – 99: 75 5 – 24: 50 1 – 4: 25 0: 0</w:t>
      </w:r>
    </w:p>
    <w:p>
      <w:r>
        <w:rPr>
          <w:color w:val="777777"/>
          <w:sz w:val="16"/>
        </w:rPr>
        <w:t xml:space="preserve">p075 · att2 p.8  </w:t>
      </w:r>
      <w:r>
        <w:t>0.25 Most immediate operational risk — 0.35 Patient outreach is the primary recall action and aligns with the framework’s patientcare centric mission Inventory units on hand</w:t>
      </w:r>
    </w:p>
    <w:p>
      <w:r>
        <w:rPr>
          <w:color w:val="777777"/>
          <w:sz w:val="16"/>
        </w:rPr>
        <w:t xml:space="preserve">p076 · att2 p.8  </w:t>
      </w:r>
      <w:r>
        <w:t>ERP system &gt;= 100: 100 50 – 99: 75 10 – 49: 50 1 – 9: 25 0: 0</w:t>
      </w:r>
    </w:p>
    <w:p>
      <w:r>
        <w:rPr>
          <w:color w:val="777777"/>
          <w:sz w:val="16"/>
        </w:rPr>
        <w:t xml:space="preserve">p077 · att2 p.8  </w:t>
      </w:r>
      <w:r>
        <w:t>Inventory carrying cost — 0.20 Financial dimension secondary to patient and operational concerns</w:t>
      </w:r>
    </w:p>
    <w:p>
      <w:r>
        <w:rPr>
          <w:color w:val="777777"/>
          <w:sz w:val="16"/>
        </w:rPr>
        <w:t xml:space="preserve">p078 · att2 p.8  </w:t>
      </w:r>
      <w:r>
        <w:t>ERP system &gt;= $500K: 100 $100K – $500K: 75 $25K – $100K: 50 $5K – $25K: 25 &lt; $5K: 10</w:t>
      </w:r>
    </w:p>
    <w:p>
      <w:r>
        <w:rPr>
          <w:color w:val="777777"/>
          <w:sz w:val="16"/>
        </w:rPr>
        <w:t xml:space="preserve">p079 · att2 p.8  </w:t>
      </w:r>
      <w:r>
        <w:t>Health system utilization data — 0.20 Equal to inventory cost, independent of current inventory</w:t>
      </w:r>
    </w:p>
    <w:p>
      <w:r>
        <w:rPr>
          <w:color w:val="777777"/>
          <w:sz w:val="16"/>
        </w:rPr>
        <w:t xml:space="preserve">p080 · att2 p.8  </w:t>
      </w:r>
      <w:r>
        <w:t>Average monthly utilization rate — &gt;= 50 units: 100 20 – 49 units: 75 5 – 19 units: 50 1 – 4 units: 25 0: 0</w:t>
      </w:r>
    </w:p>
    <w:p>
      <w:r>
        <w:rPr>
          <w:color w:val="777777"/>
          <w:sz w:val="16"/>
        </w:rPr>
        <w:t xml:space="preserve">p081 · att2 p.8  </w:t>
      </w:r>
      <w:r>
        <w:t>Table 6 Exposure dimension factors, weights, and scoring criteria — Exposure, E = Σ (Fi * Wi), where Fi → score of factor i, Wi → weight of factor i (factor weights sum to 1.00). For a factor value v and corresponding tier thresholds t1 &gt; t2 &gt; t3 &gt; t4 and corresponding scores s1 &gt; s2 &gt; s3 &gt; s4, factor score F = s1 if v &gt; t1; s2 if v &gt; t2; s3 if v &gt; t3; s4 if v &gt; t4.</w:t>
      </w:r>
    </w:p>
    <w:p>
      <w:r>
        <w:rPr>
          <w:color w:val="777777"/>
          <w:sz w:val="16"/>
        </w:rPr>
        <w:t xml:space="preserve">p082 · att2 p.8  </w:t>
      </w:r>
      <w:r>
        <w:t>3.5 Weight Tuning — All dimension-level and within-dimension factor-level weights stated above are literature-informed starting points. Health systems may adopt the published defaults and monitor, refine, and adjust them periodically based on size, scale, specialty, and other local priorities, as well as evolving literature. For example, a pediatric institution may assign higher weightage to the “life-sustaining” factor for the Severity (S) dimension much higher than the default chosen in this paper. Institutions sourcing from only a few vendors for a given product or service line may weigh the vendor history factor higher. In addition, for empirical re-derivation, institutions capable of generating and analyzing historical recall outcome data may fit a logistic regression of recall occurrence on the component factor scores where the resulting normalized regression coefficients become the empirically derived weights. The sensitivity of the composite score to these dimension weights is examined empirically in Section 4.</w:t>
      </w:r>
    </w:p>
    <w:p>
      <w:r>
        <w:rPr>
          <w:color w:val="777777"/>
          <w:sz w:val="16"/>
        </w:rPr>
        <w:t xml:space="preserve">p083 · att2 p.9  </w:t>
      </w:r>
      <w:r>
        <w:t>3.6 Mapping dimensions to Cost, Quality and Outcomes — The literature review identifies and acknowledges the absence of explicit linkage between recall management and Cost, Quality, and Outcomes (CQO) metrics as a central gap. Each dimension contributing to the Composite Risk Score, R, maps to specific enterprise outcomes. Quality and clinical outcomes (length of stay, complications, revisions) are primarily driven by Severity (S), modified by patients exposed in Exposure (E). Cost outcomes (uncompensated procedural costs, recoverable asset value, inventory write-offs) are driven by Exposure (E), modified by Occurrence (O). Operational outcomes (recall response time, traceability, time to resolution) are driven by Detectability (D). R is therefore a decomposable signal whose components map to distinct clinical and operational outcomes.</w:t>
      </w:r>
    </w:p>
    <w:p>
      <w:r>
        <w:rPr>
          <w:color w:val="777777"/>
          <w:sz w:val="16"/>
        </w:rPr>
        <w:t xml:space="preserve">p084 · att2 p.9  </w:t>
      </w:r>
      <w:r>
        <w:t>3.7 Illustrative Worked Example — All values used in this example are illustrative for the purposes of demonstrating how this framework works. Real application computes values from the data sources referenced in the sections above. Consider a hypothetical implantable cardioverter-defibrillator (ICD) at a mid-sized academic medical center. Severity (S): Life-sustaining → 100, implantable → 100, Class III → 100. Therefore, S = (0.40 * 100) + (0.30 * 100) + (0.30 * 100) = 100. Occurrence (O): 3 prior product-code recalls → 30, 8 prior vendor recalls → 40, 2.5 supplements per year → 50, cardiovascular category → 100. Therefore, O = (0.30 * 30) + (0.30 * 40) + (0.20 * 50) + (0.20 * 100) = 51. Detectability (D): Dd: Serialized → 100, implantable cardiovascular registry → 100; Di: higher tier for cardiac implants at AMC → 100. Therefore, Dd = 100; Di = 100; D = 100 * (100/100) = 100; (100 – D) = 100 – 100 = 0. Exposure (E): 80 patients exposed → 75, 40 units on hand → 50, $200K inventory carrying cost → 75, 8 units/month → 50. Therefore, E = (0.35 * 75) + (0.25 * 50) + (0.20 * 75) + (0.20 * 50) = 63.75. Composite Risk Score, R = (0.35 * 100) + (0.35 * 51) + (0.15 * 0) + (0.15 * 63.75) = 62.41.</w:t>
      </w:r>
    </w:p>
    <w:p>
      <w:r>
        <w:rPr>
          <w:color w:val="777777"/>
          <w:sz w:val="16"/>
        </w:rPr>
        <w:t xml:space="preserve">p085 · att2 p.9  </w:t>
      </w:r>
      <w:r>
        <w:t>Severity (S) is the primary driver (35 of 62.41), Occurrence (O) is moderate, Detectability (D) is excellent (no risk contribution), and Exposure (E) is moderate but elevated by patient count. The composite score, R, correctly flags this product for clinical monitoring without urgent vendor scrutiny. In contrast – the same ICD at a smaller community hospital with lower UDI maturity would drive Di → 25, resulting in D = 25, (100 – D) = 75, and R = 35 + 17.85 + (0.15 * 75) + 9.56 = 73.66 – indicating that the same product is meaningfully higher-risk driven by traceability gap.</w:t>
      </w:r>
    </w:p>
    <w:p>
      <w:r>
        <w:rPr>
          <w:color w:val="777777"/>
          <w:sz w:val="16"/>
        </w:rPr>
        <w:t xml:space="preserve">p086 · att2 p.9  </w:t>
      </w:r>
      <w:r>
        <w:t>4. Results — The framework was assessed retrospectively. Fixing a historical cutoff date, the score of each product in the preceding 12-month Purchase Order History was computed using only data available before that date. Then, it was observed which products were recalled in the period after the cutoff. This exercise was designed to test the framework’s central premise that a device’s recall risk can be scored from public FDA and institutional data before a recall occurs. Fixing the time-dependent inputs in the pre-cutoff window and drawing the outcomes entirely from the post-cutoff window ensured that no information about a recall could enter the score used to anticipate it. Static device attributes that do not change over time were not windowed. A cutoff of January 1, 2022 was used for the primary retrospective validation as it afforded an adequate post-cutoff observation window. A secondary retrospective validation was repeated for a</w:t>
      </w:r>
    </w:p>
    <w:p>
      <w:r>
        <w:rPr>
          <w:color w:val="777777"/>
          <w:sz w:val="16"/>
        </w:rPr>
        <w:t xml:space="preserve">p087 · att2 p.10  </w:t>
      </w:r>
      <w:r>
        <w:t>January 1, 2023 cutoff as a robustness check. The two validations produced consistent results, indicating that the findings are not sensitive to the cutoff chosen. Discrimination was summarized using the area under the receiver operating characteristic curve (AUC), which is the probability that a product later recalled received a higher score than one that was not, where a value of 0.5 indicates no better chance and 1.0 indicates perfect separation. Ninety-five percent confidence intervals for the AUC were computed using the DeLong method. Additionally, serious recalls (Class I) were distinguished in order to test whether the score identifies not just any recall but the recalls that pose the greatest risk to patients and the health system. The purchase order data for calendar years 2021 and 2022 were matched with the federal regulatory and device databases for the two validations respectively and results formulated.</w:t>
      </w:r>
    </w:p>
    <w:p>
      <w:r>
        <w:rPr>
          <w:color w:val="777777"/>
          <w:sz w:val="16"/>
        </w:rPr>
        <w:t xml:space="preserve">p088 · att2 p.10  </w:t>
      </w:r>
      <w:r>
        <w:t>The validation panel comprised 23,444 distinct products. At the January 2022 cutoff, 3,710 of these (15.8%) were subject to at least one recall in the post-cutoff observation window and 376 (1.60%) to at least one Class I recall. At the January 2023 cutoff, which carried a shorter post-cutoff observation window, the corresponding counts were 2,787 (11.9%) and 358 (1.53%). The composite R score separated recalled from non-recalled products well, and it identified the most serious recalls (Class I) more strongly than recalls in general. At the January 2022 cutoff, the composite R score achieved an AUC of 0.75 (95% CI 0.74–0.76) for any recall and 0.80 (95% CI 0.78–0.82) for Class I recalls. The Occurrence dimension, which captures recall likelihood, reached 0.78 (95% CI 0.78–0.79) and 0.86 (95% CI 0.84–0.88) respectively. Results at the January 2023 cutoff were consistent (composite R score AUC 0.77, 95% CI 0.76–0.78 for any recall and 0.84, 95% CI 0.82–0.86 for Class I recalls), confirming that the findings do not depend on the particular cutoff chosen. (Fig 1)</w:t>
      </w:r>
    </w:p>
    <w:p>
      <w:r>
        <w:rPr>
          <w:color w:val="777777"/>
          <w:sz w:val="16"/>
        </w:rPr>
        <w:t xml:space="preserve">p089 · att2 p.10  </w:t>
      </w:r>
      <w:r>
        <w:t>The score concentrated recall risk as intended. Grouping products into risk-score deciles, the percentage of products recalled after the cutoff rose steeply with the composite R score. Products scoring in the lowest decile were recalled about 1% of the time, while those in the highest deciles were recalled at many times that rate. The highest-scoring tenth of products were recalled roughly 3 times as often as the average product, and the lowest-scoring products were almost never recalled (Fig 2).</w:t>
      </w:r>
    </w:p>
    <w:p>
      <w:r>
        <w:rPr>
          <w:color w:val="777777"/>
          <w:sz w:val="16"/>
        </w:rPr>
        <w:t xml:space="preserve">p090 · att2 p.10  </w:t>
      </w:r>
      <w:r>
        <w:t>Fig 1 Discrimination (AUC) of the Composite R score and the Occurrence dimension, by recall type (Jan</w:t>
      </w:r>
    </w:p>
    <w:p>
      <w:r>
        <w:rPr>
          <w:color w:val="777777"/>
          <w:sz w:val="16"/>
        </w:rPr>
        <w:t xml:space="preserve">p091 · att2 p.10  </w:t>
      </w:r>
      <w:r>
        <w:t>2022 cutoff) — Fig 2 Percentage of products recalled after cutoff, by risk-score decile (Jan 2022 cutoff)</w:t>
      </w:r>
    </w:p>
    <w:p>
      <w:r>
        <w:rPr>
          <w:color w:val="777777"/>
          <w:sz w:val="16"/>
        </w:rPr>
        <w:t xml:space="preserve">p092 · att2 p.11  </w:t>
      </w:r>
      <w:r>
        <w:t>The most consequential result concerns Class I recalls. Products were sorted in decreasing order of the composite R score, i.e., highest to lowest risk. The top 20% of the products accounted for roughly 75% of all Class I recalls that subsequently occurred, while the bottom 50% accounted for under 10%. Reviewing the highest-scoring 20% of the catalogue – 4,689 products – would have covered 281 of the 376 Class I recalls that subsequently occurred, a sensitivity of 74.7% at a precision of 6.0%. This represents a 3.7-fold enrichment over the 1.60% base rate. Precision is necessarily constrained by the rarity of Class I events; at this review depth the maximum achievable precision, given 376 events among 4,689 reviewed products, is 8.0%. The operational value of the score therefore lies in concentrating a fixed monitoring effort where risk is most dense rather than in identifying individual recalls with certainty (Fig 3).</w:t>
      </w:r>
    </w:p>
    <w:p>
      <w:r>
        <w:rPr>
          <w:color w:val="777777"/>
          <w:sz w:val="16"/>
        </w:rPr>
        <w:t xml:space="preserve">p093 · att2 p.11  </w:t>
      </w:r>
      <w:r>
        <w:t>Prior recall experience was strongly predictive of future recalls. Products whose manufacturer had recalled that device type before the cutoff were several times more likely to be recalled subsequently than products with no such history. A similar pattern was observed at the manufacturer level. This pattern justifies incorporating recall history into the Occurrence dimension. Examining the recalls by category and severity further shows where the serious events were concentrated. A small number of device types – tracheal tubes and implantable pacemakers prominent among them – accounted for a disproportionate share of the most serious recalls while the bulk of recalls across most categories were of moderate severity (Fig 4).</w:t>
      </w:r>
    </w:p>
    <w:p>
      <w:r>
        <w:rPr>
          <w:color w:val="777777"/>
          <w:sz w:val="16"/>
        </w:rPr>
        <w:t xml:space="preserve">p094 · att2 p.12  </w:t>
      </w:r>
      <w:r>
        <w:t>Fig 3 Cumulative share of recalls captured as products are reviewed, ranked by risk-score (Jan 2022 cutoff)</w:t>
      </w:r>
    </w:p>
    <w:p>
      <w:r>
        <w:rPr>
          <w:color w:val="777777"/>
          <w:sz w:val="16"/>
        </w:rPr>
        <w:t xml:space="preserve">p095 · att2 p.12  </w:t>
      </w:r>
      <w:r>
        <w:t>Fig 4 Device categories ranked by number of recalls post-cutoff, by recall class [Product codes: BTR = tracheal tube; LWP = implantable pacemaker (non-CRT); OZD = temporary left heart support pump; DQY = percutaneous catheter; BSY = tracheobronchial suction catheter; ETN = nerve stimulator; HAW = neurological stereotaxic instrument; KDI = high-permeability dialyzer; NKE = pacemaker with cardiac resynchronization (CRT-P); GEI = electrosurgical cutting &amp; coagulation]</w:t>
      </w:r>
    </w:p>
    <w:p>
      <w:r>
        <w:rPr>
          <w:color w:val="777777"/>
          <w:sz w:val="16"/>
        </w:rPr>
        <w:t xml:space="preserve">p096 · att2 p.12  </w:t>
      </w:r>
      <w:r>
        <w:t>The Detectability and Exposure dimensions showed little association with whether a recall occurred in general, and only moderate association with Class I recalls specifically. Their contribution towards the composite risk score is tied to the consequences to the patient and the health system when the recall occurs – for example, how difficult it would be to trace affected units and how many patients are exposed – rather than the likelihood of a recall itself. In the present dataset, these two dimensions vary little because nearly every device carries a unique identifier and the institutional inputs were available only in part. This is a feature of the validation rather than the framework.</w:t>
      </w:r>
    </w:p>
    <w:p>
      <w:r>
        <w:rPr>
          <w:color w:val="777777"/>
          <w:sz w:val="16"/>
        </w:rPr>
        <w:t xml:space="preserve">p097 · att2 p.13  </w:t>
      </w:r>
      <w:r>
        <w:t>To assess whether the findings depend on the particular dimension weights chosen, the composite was recomputed under five alternative weighting schemes, holding within-dimension factor weights constant. Discrimination for Class I recalls ranged from 0.784 to 0.817, against 0.802 under the published weights. Several alternatives achieved marginally higher discrimination, which is expected since the composite is not constructed to maximize predictive performance alone, but to retain consequence and institutional exposure in the ranking alongside recall likelihood. The reported findings are therefore not an artefact of the particular weights selected.</w:t>
      </w:r>
    </w:p>
    <w:p>
      <w:r>
        <w:rPr>
          <w:color w:val="777777"/>
          <w:sz w:val="16"/>
        </w:rPr>
        <w:t xml:space="preserve">p098 · att2 p.13  </w:t>
      </w:r>
      <w:r>
        <w:t>5. Discussion — Beyond proactively indicating the risk associated with a given product being recalled, the framework also aids in formulating supply chain strategy and making critical decisions. The most direct application is in moving from a cost-based to a value-based sourcing model. When analyzing the Cost, Quality, and Outcomes (CQO) metrics, health systems can use the composite R score generated by this framework to determine within a given product line or category the manufacturer(s) carrying a lower risk profile and offering potentially higher quality products at a lower average unit price. For instance, among implantable cardioverter-defibrillators, it was observed that the incumbent manufacturers spanned a wide range of scores, among which the lowest-risk option was also among the least expensive, thus uncovering a great standardization opportunity. The same pattern was observed for knee prostheses. See Fig 5 and Fig 6.</w:t>
      </w:r>
    </w:p>
    <w:p>
      <w:r>
        <w:rPr>
          <w:color w:val="777777"/>
          <w:sz w:val="16"/>
        </w:rPr>
        <w:t xml:space="preserve">p099 · att2 p.13  </w:t>
      </w:r>
      <w:r>
        <w:t>Fig 5 Sourcing alternatives for Cardioverter Defibrillators — Fig 6 Sourcing alternatives for Knee Prostheses</w:t>
      </w:r>
    </w:p>
    <w:p>
      <w:r>
        <w:rPr>
          <w:color w:val="777777"/>
          <w:sz w:val="16"/>
        </w:rPr>
        <w:t xml:space="preserve">p100 · att2 p.14  </w:t>
      </w:r>
      <w:r>
        <w:t>Aggregating scores by medical specialty (Fig 7) shows that recall risk is unevenly distributed. Cardiovascular devices carry the highest average risk, followed by general and plastic surgery, orthopedics, general hospital supplies, and anesthesiology, while ophthalmic, ENT, and pathology devices carry the lowest risk. A summary profiling each service line on size, average risk, and the proportion of products under an active recall gives supply chain and clinical engineering leaders a holistic view of where proactive monitoring and mitigation is most warranted.</w:t>
      </w:r>
    </w:p>
    <w:p>
      <w:r>
        <w:rPr>
          <w:color w:val="777777"/>
          <w:sz w:val="16"/>
        </w:rPr>
        <w:t xml:space="preserve">p101 · att2 p.14  </w:t>
      </w:r>
      <w:r>
        <w:t>Fig 7 Average recall risk score by medical specialty — At the supplier level, the composite R scores form the basis of a supplier scorecard. Profiling major suppliers by volume, average risk and active recall rates reveals that suppliers differ markedly on these measures. Some high-volume suppliers carry low average risk and no active recalls, while others sit considerably higher on both. This makes supplier recall risk an explicit, measurable input to performance reviews and contract negotiations proactively rather than an impression formed after the fact.</w:t>
      </w:r>
    </w:p>
    <w:p>
      <w:r>
        <w:rPr>
          <w:color w:val="777777"/>
          <w:sz w:val="16"/>
        </w:rPr>
        <w:t xml:space="preserve">p102 · att2 p.15  </w:t>
      </w:r>
      <w:r>
        <w:t>The applications of the framework described above are best viewed as decision support rather than guaranteed savings. A real sourcing change involves further considerations – such as contractual terms, clinical equivalence, compliance, and procedural costs – which should be weighted appropriately alongside the framework outputs. The framework is also designed for staged adoption. Severity and Occurrence are computable immediately from public regulatory data and can inform sourcing decisions from the outset. The device-level component of Detectability is likewise public, while the institutional component requires a one-time maturity assessment. Exposure draws on the health system’s usage, cost, procedural, and inventory data, which may take time to analyze. A health system can therefore begin with the public data core, tune weights appropriately, and progressively expand the framework as its data infrastructure matures. Finally, the framework applies across the full range of items that a health system uses, from high-risk implantables to everyday commodities. What varies is the resolution of the score, which depends on the richness of the underlying data. For example, many factors carry a strong signal in data-rich areas such as cardiovascular implants, whereas in data-sparse areas such as disposable commodities, where registry coverage is uniformly absent and other identifiers are rare, two products may receive similar scores even when their true risks differ. This reflects the maturity of the underlying data rather than a limitation of the method. As such, a health system should direct focus to the highest-risk products first, where its signal is the strongest and the consequences of the recall the greatest.</w:t>
      </w:r>
    </w:p>
    <w:p>
      <w:r>
        <w:rPr>
          <w:color w:val="777777"/>
          <w:sz w:val="16"/>
        </w:rPr>
        <w:t xml:space="preserve">p103 · att2 p.15  </w:t>
      </w:r>
      <w:r>
        <w:t>6. Limitations and Future Work — The validation demonstrates that the framework anticipates recall occurrence and identifies categories and products posing high risk to the health system, but it is worth separating the limitations of the validation from those of the framework itself. Testing against observed recalls directly assesses the Occurrence and Severity dimensions and only partially speaks to the Detectability and Exposure dimensions. This gap is largely because both dimensions depend on institution specific inputs, such as traceability maturity for Detectability and patient level utilization for Exposure, that were only partially available in this validation. The framework is built to incorporate these institutional inputs wherever they are available.</w:t>
      </w:r>
    </w:p>
    <w:p>
      <w:r>
        <w:rPr>
          <w:color w:val="777777"/>
          <w:sz w:val="16"/>
        </w:rPr>
        <w:t xml:space="preserve">p104 · att2 p.15  </w:t>
      </w:r>
      <w:r>
        <w:t>The framework relies on the completeness and structure of FDA data. Recall history is only as informative as the FDA recall and enforcement records, whose manufacturer fields are occasionally inconsistent and whose coverage of recent events can lag. Device attributes depend on the FDA's GUDID database, so products without a resolvable identifier cannot be automatically scored on the same basis and may need to be flagged for manual review. Since the usage measure available for this study reflected ordered quantities rather than actual consumption at the procedure level, the Exposure dimension was populated from only a subset of its intended factors, with weights of the available factors adjusted to reflect the health system's typical operating patterns. The predicate device relationship, which the literature associates with inherited recall risk, was excluded because it is not derivable from structured public data. Adverse event signals from the FDA reporting system were likewise excluded owing to that system's well documented inconsistent reporting.</w:t>
      </w:r>
    </w:p>
    <w:p>
      <w:r>
        <w:rPr>
          <w:color w:val="777777"/>
          <w:sz w:val="16"/>
        </w:rPr>
        <w:t xml:space="preserve">p105 · att2 p.15  </w:t>
      </w:r>
      <w:r>
        <w:t>The framework also creates the conditions for the use of machine learning models. Since every scored product carries a set of recorded inputs and an observed outcome, the resulting dataset functions as a labeled training dataset. Supervised classification models could learn the factor weights directly from recall history rather than adopting literature derived defaults, and survival models could estimate the time to a recall rather than its likelihood alone. Large language models and other natural language processing techniques offer a route to the two sources excluded above, structuring adverse event narratives and extracting predicate lineage from clearance filings. Record linkage models could match purchase records to clinical documentation, supplying the patient exposure input that was unavailable here, and anomaly detection could flag unusual complaint activity between recalls. Each of these remains a hypothesis to be tested. The transparent composite score should remain the benchmark, and a model should be adopted only where it measurably outperforms that score under expert review.</w:t>
      </w:r>
    </w:p>
    <w:p>
      <w:r>
        <w:rPr>
          <w:color w:val="777777"/>
          <w:sz w:val="16"/>
        </w:rPr>
        <w:t xml:space="preserve">p106 · att2 p.16  </w:t>
      </w:r>
      <w:r>
        <w:t>The most consequential extension is empirical testing of the CQO linkage: whether recall events, and the risk scores that anticipate them, relate measurably to clinical and financial outcomes such as length of stay, readmissions, revision rates, and recoverable asset value. Other extensions follow from the framework's structure. Traceability capture should be monitored over time since it fluctuates with workflow changes and system migrations. The vendor level factors lend themselves to a formal supplier performance program, and the overall approach is portable to other regulatory environments with comparable post market recall, adverse event, and registry data collected once devices are in use. Finally, a health system with sufficient historical data should calibrate the tier thresholds to its own case mix.</w:t>
      </w:r>
    </w:p>
    <w:p>
      <w:r>
        <w:rPr>
          <w:color w:val="777777"/>
          <w:sz w:val="16"/>
        </w:rPr>
        <w:t xml:space="preserve">p107 · att2 p.16  </w:t>
      </w:r>
      <w:r>
        <w:t>7. Conclusion — The paper presented a data-driven adaptation of the Failure Mode and Effects Analysis (FMEA) for proactive medical device recall risk computed from public regulatory and clinical data and extended with institutional supply chain measures. Applying the framework retrospectively across 23,444 products and two independent cutoff dates demonstrated that the composite R score reliably identified products carrying the highest risk, anticipating which devices had a high likelihood of being recalled and which of those recalls could potentially be the most hazardous to patient care. Because the score decomposes into interpretable dimensions, it functions not only as a ranking but as a guide to action. It highlights where the lower risk source of the same device exists, where the recall risk concentrates across service lines, and which suppliers warrant closer scrutiny. Its staged design allows a health system to begin immediately with publicly available data and successively deepen the framework as institutional data and technology mature. In connecting recall risk explicitly to patient safety and supply chain decision-making, the framework offers a practical means of shifting recalls management from a reactive posture to a proactive one.</w:t>
      </w:r>
    </w:p>
    <w:p>
      <w:r>
        <w:rPr>
          <w:color w:val="777777"/>
          <w:sz w:val="16"/>
        </w:rPr>
        <w:t xml:space="preserve">p108 · att2 p.16  </w:t>
      </w:r>
      <w:r>
        <w:t>Reference — 1. Burbano Collazos A, Durán Gutiérrez LF, García Pretelt JA, Ojeda Navia DM (2017) Barriers and opportunities in recalls management at the health care provider level. Rev Ing Biomed 11(22):29–36. https://doi.org/10.24050/19099762.n22.2017.1180</w:t>
      </w:r>
    </w:p>
    <w:p>
      <w:r>
        <w:rPr>
          <w:color w:val="777777"/>
          <w:sz w:val="16"/>
        </w:rPr>
        <w:t xml:space="preserve">p109 · att2 p.16  </w:t>
      </w:r>
      <w:r>
        <w:t>2. Dubin JR, Enriquez JR, Cheng AL, Campbell H, Cil A (2023) Risk of recall associated with modifications to high-risk medical devices approved through US Food and Drug Administration supplements. JAMA Network Open 6(4):e237699. https://doi.org/10.1001/jamanetworkopen.2023.7699</w:t>
      </w:r>
    </w:p>
    <w:p>
      <w:r>
        <w:rPr>
          <w:color w:val="777777"/>
          <w:sz w:val="16"/>
        </w:rPr>
        <w:t xml:space="preserve">p110 · att2 p.16  </w:t>
      </w:r>
      <w:r>
        <w:t>3. ECRI (2022) The burden of medical device alerts and recalls – key takeaways. ECRI. https://home.ecri.org/blogs/ecri-blog/the-burden-of-medical-device-alerts-and-recalls-key-takeaways. Accessed [date]</w:t>
      </w:r>
    </w:p>
    <w:p>
      <w:r>
        <w:rPr>
          <w:color w:val="777777"/>
          <w:sz w:val="16"/>
        </w:rPr>
        <w:t xml:space="preserve">p111 · att2 p.16  </w:t>
      </w:r>
      <w:r>
        <w:t>4. Everhart AO, Sen S, Stern AD, Zhu Y, Karaca-Mandic P (2023) Association between regulatory submission characteristics and recalls of medical devices receiving 510(k) clearance. JAMA 329(2):144– 156. https://doi.org/10.1001/jama.2022.22974</w:t>
      </w:r>
    </w:p>
    <w:p>
      <w:r>
        <w:rPr>
          <w:color w:val="777777"/>
          <w:sz w:val="16"/>
        </w:rPr>
        <w:t xml:space="preserve">p112 · att2 p.16  </w:t>
      </w:r>
      <w:r>
        <w:t>5. Kamen CL (2025) Quality of evidence of recalled medical devices associated with serious health risks: a scoping review. Master's thesis, University of Toronto</w:t>
      </w:r>
    </w:p>
    <w:p>
      <w:r>
        <w:rPr>
          <w:color w:val="777777"/>
          <w:sz w:val="16"/>
        </w:rPr>
        <w:t xml:space="preserve">p113 · att2 p.16  </w:t>
      </w:r>
      <w:r>
        <w:t>6. Mooghali M, Ross JS, Kadakia KT, Dhruva SS (2023) Characterization of US Food and Drug Administration Class I recalls from 2018 to 2022 for moderate- and high-risk medical devices: a crosssectional study. Med Devices (Auckl) 16:111–122. https://doi.org/10.2147/MDER.S412802</w:t>
      </w:r>
    </w:p>
    <w:p>
      <w:r>
        <w:rPr>
          <w:color w:val="777777"/>
          <w:sz w:val="16"/>
        </w:rPr>
        <w:t xml:space="preserve">p114 · att2 p.17  </w:t>
      </w:r>
      <w:r>
        <w:t>7. Morgenthaler TI, Linginfelter EA, Gay PC, Anderson SE, Herold D, Brown V, Nienow JM (2022) Rapid response to medical device recalls: an organized patient-centered team effort. J Clin Sleep Med 18(2):663–667. https://doi.org/10.5664/jcsm.9748</w:t>
      </w:r>
    </w:p>
    <w:p>
      <w:r>
        <w:rPr>
          <w:color w:val="777777"/>
          <w:sz w:val="16"/>
        </w:rPr>
        <w:t xml:space="preserve">p115 · att2 p.17  </w:t>
      </w:r>
      <w:r>
        <w:t>8. See C, Mooghali M, Dhruva SS, Ross JS, Krumholz HM, Kadakia KT (2024) Class I recalls of cardiovascular devices between 2013 and 2022: a cross-sectional analysis. Ann Intern Med 177(11):1499– 1508. https://doi.org/10.7326/ANNALS-24-00724</w:t>
      </w:r>
    </w:p>
    <w:p>
      <w:r>
        <w:rPr>
          <w:color w:val="777777"/>
          <w:sz w:val="16"/>
        </w:rPr>
        <w:t xml:space="preserve">p116 · att2 p.17  </w:t>
      </w:r>
      <w:r>
        <w:t>9. Sengupta J, Storey K, Casey S, Trager L, Buescher M, Horning M, Gornick C, Abdelhadi R, Tang C, Brill S, Ashbach L, Hauser RG (2020) Outcomes before and after the recall of a heart failure pacemaker. JAMA Intern Med 180(2):198–205. https://doi.org/10.1001/jamainternmed.2019.5171</w:t>
      </w:r>
    </w:p>
    <w:p>
      <w:r>
        <w:rPr>
          <w:color w:val="777777"/>
          <w:sz w:val="16"/>
        </w:rPr>
        <w:t xml:space="preserve">p117 · att2 p.17  </w:t>
      </w:r>
      <w:r>
        <w:t>10. Yen YJ, Yang HY, Chen WB, Chen PT, Kuo CB, Teng WG (2024) A data-driven approach to discover association between adverse events and recalls of 510(k) medical devices. In: Proceedings of the 2024 2nd International Conference on Machine Learning and Pattern Recognition. Association for Computing Machinery, pp 8–14. https://doi.org/10.1145/3698263.3698265</w:t>
      </w:r>
    </w:p>
    <w:p>
      <w:r>
        <w:rPr>
          <w:color w:val="777777"/>
          <w:sz w:val="16"/>
        </w:rPr>
        <w:t xml:space="preserve">p118 · att2 p.17  </w:t>
      </w:r>
      <w:r>
        <w:t>11. Zhang S, Kriza C, Schaller S, Kolominsky-Rabas PL (2015) Recalls of cardiac implants in the last decade: what lessons can we learn? PLoS ONE 10(5):e0125987. https://doi.org/10.1371/journal.pone.0125987</w:t>
      </w:r>
    </w:p>
    <w:p>
      <w:r>
        <w:rPr>
          <w:color w:val="777777"/>
          <w:sz w:val="16"/>
        </w:rPr>
        <w:t xml:space="preserve">p119 · att2 p.18  </w:t>
      </w:r>
      <w:r>
        <w:t>Appendix A: Rationale for factor selection and weighting — Severity: The life-sustaining flag carries the highest weight because failure of life-sustaining devices results in immediate and often fatal consequences. Furthermore, these devices account for a disproportionate share of the most serious recalls, as informed by literature and observed in the validation performed in this study. The implantable flag is weighted next because exposure persists after a recall is issued, and removal often requires readmission and additional procedure(s). The FDA device class carries the lowest weight because it is partially redundant with two GUDID flags. Most Class III devices are implantable, life-sustaining, or both. However, it is needed because it is the regulator’s own indicator for inherent risk.</w:t>
      </w:r>
    </w:p>
    <w:p>
      <w:r>
        <w:rPr>
          <w:color w:val="777777"/>
          <w:sz w:val="16"/>
        </w:rPr>
        <w:t xml:space="preserve">p120 · att2 p.18  </w:t>
      </w:r>
      <w:r>
        <w:t>Occurrence: Product recall history carries the highest weight because it is the single strongest predictor in the literature for future recall occurrences. Vendor recall history is next because manufacturer-level patterns recur across product lines but are less specific than product-level history. Next, modification frequency reflects the finding that each additional premarket approval supplement per year is associated with an increase in recall risk. It is only applied to devices on the PMA pathway and is hence weighted lower than product and vendor recall history. Lastly, device category risk provides a category baseline consistent with past studies concluding that certain categories (example, cardiovascular) pose significantly more risk than others. The category mapping can be found in Appendix B.</w:t>
      </w:r>
    </w:p>
    <w:p>
      <w:r>
        <w:rPr>
          <w:color w:val="777777"/>
          <w:sz w:val="16"/>
        </w:rPr>
        <w:t xml:space="preserve">p121 · att2 p.18  </w:t>
      </w:r>
      <w:r>
        <w:t>Detectability: Both traceability granularity and registry coverage carry equal weight. Device identifiers determine how precisely a recalled product can be tracked and isolated. Serialized devices support unitlevel and patient identification, lot-tracked devices enable batch quarantining, and devices with minimal identification capabilities force manual and delayed responses. Clinical registries are a resource for recall response, allowing affected implants to be located across health systems independent of any single hospital’s records. The mapping is given in Appendix C. The institutional maturity component is multiplicative as it gauges the potential of a health system to quickly and efficiently track and isolate serialized and lot-tracked devices. Device identifiers are useless if a health system is unable to capture them in their ERP system and link them to the EMR system.</w:t>
      </w:r>
    </w:p>
    <w:p>
      <w:r>
        <w:rPr>
          <w:color w:val="777777"/>
          <w:sz w:val="16"/>
        </w:rPr>
        <w:t xml:space="preserve">p122 · att2 p.18  </w:t>
      </w:r>
      <w:r>
        <w:t>Exposure: Patients exposed carries the highest weight as patient outreach and follow-up are the primary recall actions, especially for recalls that are life-threatening. Inventory on hand is weighted next as the most immediate operational exposure. Next, inventory cost captures the financial dimension, weighted slightly lower than the aforementioned patient and operational factor. Utilization rate measures exposure independently of the current inventory or ordering patterns and is weighed equivalent to inventory cost in this dimension.</w:t>
      </w:r>
    </w:p>
    <w:p>
      <w:r>
        <w:rPr>
          <w:color w:val="777777"/>
          <w:sz w:val="16"/>
        </w:rPr>
        <w:t xml:space="preserve">p123 · att2 p.18  </w:t>
      </w:r>
      <w:r>
        <w:t>Appendix B: Device category tiers (Table 7) — Note: The FDA defines 16 classification panels under 21 CFR 862-892. Three of these panels each span two specialties – Chemistry/Toxicology, Hematology/Pathology, Immunology/Microbiology – which the FDA classification database reports as separate specialties. As a result, the framework scores them individually.</w:t>
      </w:r>
    </w:p>
    <w:p>
      <w:r>
        <w:rPr>
          <w:color w:val="777777"/>
          <w:sz w:val="16"/>
        </w:rPr>
        <w:t xml:space="preserve">p124 · att2 p.18  </w:t>
      </w:r>
      <w:r>
        <w:t>FDA Medical Specialty Tier Score Cardiovascular High 100 Anesthesiology High 100 General Hospital High 100 General and Plastic Surgery High 100 Gastroenterology and Urology Medium 50 Orthopedic Medium 50 Neurology Medium 50 Radiology Medium 50</w:t>
      </w:r>
    </w:p>
    <w:p>
      <w:r>
        <w:rPr>
          <w:color w:val="777777"/>
          <w:sz w:val="16"/>
        </w:rPr>
        <w:t xml:space="preserve">p125 · att2 p.19  </w:t>
      </w:r>
      <w:r>
        <w:t>Hematology Medium 50 Microbiology Medium 50 Clinical Chemistry Medium 50 Obstetrics and Gynecology Low 20 Ophthalmic Low 20 Dental Low 20 Ear, Nose, Throat Low 20 Pathology Low 20 Toxicology Low 20 Immunology Low 20 Physical Medicine Low 20 Specialty not listed Low (default) 20 Table 7 Device category tiers and scoring criteria</w:t>
      </w:r>
    </w:p>
    <w:p>
      <w:r>
        <w:rPr>
          <w:color w:val="777777"/>
          <w:sz w:val="16"/>
        </w:rPr>
        <w:t xml:space="preserve">p126 · att2 p.19  </w:t>
      </w:r>
      <w:r>
        <w:t>Appendix C: Registry coverage (Table 8) — Device Category Score Major Registries Implantable, cardiovascular specialty (ICDs, pacemakers, stents, heart valves, LVADs, vascular grafts)</w:t>
      </w:r>
    </w:p>
    <w:p>
      <w:r>
        <w:rPr>
          <w:color w:val="777777"/>
          <w:sz w:val="16"/>
        </w:rPr>
        <w:t xml:space="preserve">p127 · att2 p.19  </w:t>
      </w:r>
      <w:r>
        <w:t>75 AJRR (American Joint Replacement Registry); MARCQI (Michigan Arthroplasty Registry Collaborative Quality Initiative); some manufacturer-specific registries</w:t>
      </w:r>
    </w:p>
    <w:p>
      <w:r>
        <w:rPr>
          <w:color w:val="777777"/>
          <w:sz w:val="16"/>
        </w:rPr>
        <w:t xml:space="preserve">p128 · att2 p.19  </w:t>
      </w:r>
      <w:r>
        <w:t>100 ACC-NCDR (National Cardiovascular Data Registry: ICD Registry, CathPCI Registry); STS-ACSD (Adult Cardiac Surgery Database); STS-INTERMACS (mechanical circulatory support); SVS-VQI (Vascular Quality Initiative) Implantable, orthopedic specialty (hip, knee, shoulder replacements and spinal hardware)</w:t>
      </w:r>
    </w:p>
    <w:p>
      <w:r>
        <w:rPr>
          <w:color w:val="777777"/>
          <w:sz w:val="16"/>
        </w:rPr>
        <w:t xml:space="preserve">p129 · att2 p.19  </w:t>
      </w:r>
      <w:r>
        <w:t>Implantable, all other specialties (neurological, breast, gynecologic, urologic, dental, ophthalmic, ENT) — 0 No device-level registry coverage</w:t>
      </w:r>
    </w:p>
    <w:p>
      <w:r>
        <w:rPr>
          <w:color w:val="777777"/>
          <w:sz w:val="16"/>
        </w:rPr>
        <w:t xml:space="preserve">p130 · att2 p.19  </w:t>
      </w:r>
      <w:r>
        <w:t>50 Variable coverage: condition-specific and manufacturermaintained registries; FDA-mandated National Breast Implant Registry (NBIR) for breast implants; limited national coverage for neurostimulators and cochlear implants Non-implantable (durable equipment, disposable supplies, diagnostic equipment)</w:t>
      </w:r>
    </w:p>
    <w:p>
      <w:r>
        <w:rPr>
          <w:color w:val="777777"/>
          <w:sz w:val="16"/>
        </w:rPr>
        <w:t xml:space="preserve">p131 · att2 p.19  </w:t>
      </w:r>
      <w:r>
        <w:t>Table 8 Registry coverage scoring criteria</w:t>
      </w:r>
    </w:p>
    <w:p>
      <w:pPr>
        <w:pStyle w:val="Heading1"/>
        <w:pageBreakBefore/>
      </w:pPr>
      <w:r>
        <w:t>FDA-2026-N-7874-0051</w:t>
      </w:r>
    </w:p>
    <w:p>
      <w:r>
        <w:t>Comment from Sehouenou Alberic Candide Ahouehome</w:t>
      </w:r>
    </w:p>
    <w:p>
      <w:r>
        <w:rPr>
          <w:color w:val="777777"/>
          <w:sz w:val="18"/>
        </w:rPr>
        <w:t>Drug Association - D0012 · received 2026-08-29 · attachments: attachment_1.pdf (5 pp)</w:t>
      </w:r>
    </w:p>
    <w:p>
      <w:r>
        <w:rPr>
          <w:color w:val="777777"/>
          <w:sz w:val="16"/>
        </w:rPr>
        <w:t xml:space="preserve">p001 · body  </w:t>
      </w:r>
      <w:r>
        <w:t>The discussion paper reflects a careful, risk-proportionate, least-burdensome orientation that I support. My principal recommendations are: (i) keep the risk framework two-dimensional and operationalize the additional dimensions, including error detectability by the user, as documented modifiers on the consequences axis; (ii) publish an illustrative mapping from risk position to expected evidence, and an anchored directiveness rubric applied to the empirical distribution of device outputs; (iii) require predictive-validity evidence for gating benchmarks, with contamination testing and independent sequestered test sets; (iv) encourage shadow deployment and require formal transportability assessment for RWD and OUS evidence; (v) anchor subgroup performance claims in a minimum core of real data; (vi) pair behavioral postmarket monitoring with outcome-linked surveillance in real-world data, with event-driven re-benchmarking cadence; (vii) adapt PCCPs toward verification-protocol (“change-envelope”) prespecification for changes that cannot be enumerated in advance; and (viii) pursue international alignment of these concepts, including MAF content, with partner regulators and through IMDRF.</w:t>
      </w:r>
    </w:p>
    <w:p>
      <w:r>
        <w:rPr>
          <w:color w:val="777777"/>
          <w:sz w:val="16"/>
        </w:rPr>
        <w:t xml:space="preserve">p002 · body  </w:t>
      </w:r>
      <w:r>
        <w:t>Thank you for considering these comments. I would welcome any opportunity to provide further input.</w:t>
      </w:r>
    </w:p>
    <w:p>
      <w:r>
        <w:rPr>
          <w:color w:val="777777"/>
          <w:sz w:val="16"/>
        </w:rPr>
        <w:t xml:space="preserve">p003 · body  </w:t>
      </w:r>
      <w:r>
        <w:t>Respectfully submitted.</w:t>
      </w:r>
    </w:p>
    <w:p>
      <w:r>
        <w:rPr>
          <w:color w:val="777777"/>
          <w:sz w:val="16"/>
        </w:rPr>
        <w:t xml:space="preserve">p004 · att1 p.1  </w:t>
      </w:r>
      <w:r>
        <w:t>August 27, 2026 — Sehouenou Alberic Candide Ahouehome, M.Sc. Epidemiology, MBA business Analytic</w:t>
      </w:r>
    </w:p>
    <w:p>
      <w:r>
        <w:rPr>
          <w:color w:val="777777"/>
          <w:sz w:val="16"/>
        </w:rPr>
        <w:t xml:space="preserve">p005 · att1 p.1  </w:t>
      </w:r>
      <w:r>
        <w:t>Program Evaluator, Québec City, Québec, Canada candide.ahouehome.1@ulaval.ca Dockets Management Staff (HFA-305) Food and Drug Administration 5630 Fishers Lane, Rm. 1061, Rockville, MD 20852 Submitted electronically via https://www.regulations.gov</w:t>
      </w:r>
    </w:p>
    <w:p>
      <w:r>
        <w:rPr>
          <w:color w:val="777777"/>
          <w:sz w:val="16"/>
        </w:rPr>
        <w:t xml:space="preserve">p006 · att1 p.1  </w:t>
      </w:r>
      <w:r>
        <w:t>Re: Docket No. FDA-2026-N-7874: “Considerations for the Regulation of Generative AI-Enabled Medical Devices: Discussion Paper and Request for Feedback” (issued August 18, 2026; comments due October 19, 2026)</w:t>
      </w:r>
    </w:p>
    <w:p>
      <w:r>
        <w:rPr>
          <w:color w:val="777777"/>
          <w:sz w:val="16"/>
        </w:rPr>
        <w:t xml:space="preserve">p007 · att1 p.1  </w:t>
      </w:r>
      <w:r>
        <w:t>Dear Dockets Management Staff,</w:t>
      </w:r>
    </w:p>
    <w:p>
      <w:r>
        <w:rPr>
          <w:color w:val="777777"/>
          <w:sz w:val="16"/>
        </w:rPr>
        <w:t xml:space="preserve">p008 · att1 p.1  </w:t>
      </w:r>
      <w:r>
        <w:t>Thank you for the opportunity to comment on the discussion paper issued by the Digital Health Center of Excellence within the Center for Devices and Radiological Health (CDRH). I submit these comments in my personal capacity as a bilingual program evaluator and epidemiologist working in health and rehabilitation services research in Québec, Canada, with graduate training in epidemiology, ongoing graduate studies in business analytics, and prior clinical training in medical imaging technology. My areas of interest include health technology assessment, health economics and outcomes research (HEOR), real-world evidence (RWE), and causal machine learning. Institutional affiliations are provided for identification purposes only; the views expressed are my own. I understand that this comment, including my name and contact information, will be posted publicly on Regulations.gov.</w:t>
      </w:r>
    </w:p>
    <w:p>
      <w:r>
        <w:rPr>
          <w:color w:val="777777"/>
          <w:sz w:val="16"/>
        </w:rPr>
        <w:t xml:space="preserve">p009 · att1 p.1  </w:t>
      </w:r>
      <w:r>
        <w:t>Overall, I commend CDRH for a thoughtful, well-structured paper. The two-axis risk framework, the competency-based premarket approach (benchmarking plus clinical confirmation), and the emphasis on risk-proportionate postmarket monitoring across the total product life cycle (TPLC) are sound organizing concepts that build coherently on CDRH's recent policy instruments ; the final guidance on Predetermined Change Control Plans (PCCPs) for AI-enabled device software functions, the January 2025 draft guidance on lifecycle management and marketing submissions for AI-enabled device software functions, and the FDA / Health Canada / MHRA guiding principles on Good Machine Learning Practice and on transparency for machine learning-enabled medical devices. As a Canada-based commenter, I would also underscore the value of pursuing international alignment (including through IMDRF) as these concepts mature, so that convergent evidence expectations reduce duplicative testing without lowering the bar for safety. My responses to the discussion questions follow, grouped by section; where questions overlap, they are addressed together.</w:t>
      </w:r>
    </w:p>
    <w:p>
      <w:r>
        <w:rPr>
          <w:color w:val="777777"/>
          <w:sz w:val="16"/>
        </w:rPr>
        <w:t xml:space="preserve">p010 · att1 p.2  </w:t>
      </w:r>
      <w:r>
        <w:t>Section IV: Assessment of Risk for GenAI-Enabled Devices — Question 1: Adequacy of the two-axis framework and additional dimensions. The two axes, device activity and the consequences of relying on an incorrect output, capture the dominant drivers of risk, and the framework is usefully continuous with the benefit-risk logic of existing FDA guidance. I recommend keeping the framework two-dimensional and treating the additional dimensions CDRH lists (reversibility of the resulting action, availability of downstream safeguards, time pressure of the deployment setting, and traceability of outputs to primary sources) as documented, auditable modifiers of a function's position on the consequences axis, rather than as additional axes; more than two axes would compromise usability without adding discriminating power. One further modifier warrants explicit inclusion: the detectability of an incorrect output by the intended user. An error the user can plausibly recognize and discount (for example, a summary contradicting a visible source record) is materially lower risk than an error the user cannot independently verify.</w:t>
      </w:r>
    </w:p>
    <w:p>
      <w:r>
        <w:rPr>
          <w:color w:val="777777"/>
          <w:sz w:val="16"/>
        </w:rPr>
        <w:t xml:space="preserve">p011 · att1 p.2  </w:t>
      </w:r>
      <w:r>
        <w:t>Question 2: The non-directive to action-directing continuum. To give manufacturers the predictability they need, CDRH could publish a standardized directiveness rubric with anchored levels, general information / information contextualized to the user's circumstances / endorsement of a specific action / specific instruction, illustrated with worked examples across clinical contexts.</w:t>
      </w:r>
    </w:p>
    <w:p>
      <w:r>
        <w:rPr>
          <w:color w:val="777777"/>
          <w:sz w:val="16"/>
        </w:rPr>
        <w:t xml:space="preserve">p012 · att1 p.2  </w:t>
      </w:r>
      <w:r>
        <w:t>Question 3: Patient-facing versus HCP-facing functions. Shifting patient-facing functions upward on the consequences axis is justified where the user cannot independently evaluate the output, but the shift should be conditional on demonstrated mitigations rather than automatic, to avoid the medical parentalism the paper rightly flags. Meaningful mitigations include traceable sourcing to authoritative references; calibrated uncertainty language validated for lay comprehension; conservative escalation defaults for safety-critical presentations; and reading-level and health-literacy testing of outputs consistent with element E.4 and with human factors principles. Demonstrated comprehension by representative lay users, including users with lower health literacy and limited English proficiency, should be allowed to offset part of the presumptive uplift. This calibrates protection to actual, tested user capability rather than to assumptions about it.</w:t>
      </w:r>
    </w:p>
    <w:p>
      <w:r>
        <w:rPr>
          <w:color w:val="777777"/>
          <w:sz w:val="16"/>
        </w:rPr>
        <w:t xml:space="preserve">p013 · att1 p.2  </w:t>
      </w:r>
      <w:r>
        <w:t>Question 4. Generalist versus specialist HCP-facing functions. Three things seem proportionate: labeling that states the expected competency of the intended user explicitly; benchmarking and human factors testing performed with adjudicators and simulated users matching the least specialized intended user (not the most expert available); and referral-prompting behavior, recognizing when specialist involvement is warranted, treated as a tested competency under S.2/E.2 rather than an assumed safeguard. Where these are demonstrated, functions that extend specialist knowledge to generalists can be a meaningful access benefit, particularly in underserved and rural settings.</w:t>
      </w:r>
    </w:p>
    <w:p>
      <w:r>
        <w:rPr>
          <w:color w:val="777777"/>
          <w:sz w:val="16"/>
        </w:rPr>
        <w:t xml:space="preserve">p014 · att1 p.2  </w:t>
      </w:r>
      <w:r>
        <w:t>Question 5. Multi-turn conversational trajectories. The intended use of such devices could be characterized as a behavioral envelope: the set of functions the device is permitted to perform, the conversational conditions under which it must escalate or defer, and the boundaries it must maintain. Premarket evidence would then demonstrate that emergent behavior remains within the envelope across the trajectory distribution, with drift out of the envelope (for example, informational functions migrating to action-directing behavior) treated as a reportable failure mode rather than a labeling ambiguity.</w:t>
      </w:r>
    </w:p>
    <w:p>
      <w:r>
        <w:rPr>
          <w:color w:val="777777"/>
          <w:sz w:val="16"/>
        </w:rPr>
        <w:t xml:space="preserve">p015 · att1 p.3  </w:t>
      </w:r>
      <w:r>
        <w:t>Question 6: Under-escalation versus over-escalation. I encourage CDRH to allow explicit decision-analytic weighting rather than a single blended accuracy metric. Manufacturers would prespecify, per clinical context, the relative disutility of missed versus unnecessary escalation, justified with clinical evidence and, where available, health-economic estimates of downstream consequences; this is analogous to how screening programs weigh false negatives against false positives. Both error rates should be reported separately with confidence intervals, and acceptable operating points should be justified per indication, since a trade-off acceptable for pediatric sore throat triage is not acceptable for chest pain.</w:t>
      </w:r>
    </w:p>
    <w:p>
      <w:r>
        <w:rPr>
          <w:color w:val="777777"/>
          <w:sz w:val="16"/>
        </w:rPr>
        <w:t xml:space="preserve">p016 · att1 p.3  </w:t>
      </w:r>
      <w:r>
        <w:t>Section V: Competency-Based Approach for Premarket Evaluation — Questions 7-8: Usefulness of the framework and its link to the risk framework. The two-axis framework should drive a published, even if illustrative, evidence gradient: as a function moves up and to the right, the breadth and difficulty of benchmarking, the independence of adjudication, and the rigor of clinical confirmation (from retrospective evaluation toward shadow deployment and prospective study) should increase predictably.</w:t>
      </w:r>
    </w:p>
    <w:p>
      <w:r>
        <w:rPr>
          <w:color w:val="777777"/>
          <w:sz w:val="16"/>
        </w:rPr>
        <w:t xml:space="preserve">p017 · att1 p.3  </w:t>
      </w:r>
      <w:r>
        <w:t>Question 9: Adequacy of the benchmarking elements. Two additions merit explicit naming: (i) temporal validity, whether clinical knowledge remains current as guidelines change, with a stated knowledge horizon and a defined update mechanism (this could be folded into E.1 but is easily overlooked if unnamed); and (ii) input integrity and provenance handling, behavior when inputs are incomplete, corrupted, out of distribution, or of unverifiable origin (foldable into R.1). Under R.2, I recommend explicitly including performance in languages other than English where the intended population includes non-English speakers; dialects and colloquialisms are named in the paper, but cross-language performance is a distinct and empirically documented failure surface.</w:t>
      </w:r>
    </w:p>
    <w:p>
      <w:r>
        <w:rPr>
          <w:color w:val="777777"/>
          <w:sz w:val="16"/>
        </w:rPr>
        <w:t xml:space="preserve">p018 · att1 p.3  </w:t>
      </w:r>
      <w:r>
        <w:t>Question 10: Benchmark construct validity. Sponsor-developed benchmarks are valuable for intended-use specificity and should be permitted, but they should be complemented by at least one sequestered test set held by a party structurally independent of both the sponsor and the foundation model developer, to guard against optimization to the test, a role naturally suited to the third-party mechanisms discussed in Question 16.</w:t>
      </w:r>
    </w:p>
    <w:p>
      <w:r>
        <w:rPr>
          <w:color w:val="777777"/>
          <w:sz w:val="16"/>
        </w:rPr>
        <w:t xml:space="preserve">p019 · att1 p.3  </w:t>
      </w:r>
      <w:r>
        <w:t>Question 11: Selecting and justifying clinical confirmation approaches. For real-world data and data collected outside the United States, I recommend requiring a formal transportability assessment: characterization of case-mix, practice-pattern, coding, and data-capture differences between source and target settings, with quantitative adjustment (for example, standardization or reweighting) where differences are material. This is consistent with FDA's RWE program and would be a natural application of modern causal-inference and transportability methods; OUS evidence should be neither privileged nor discounted but transported transparently.</w:t>
      </w:r>
    </w:p>
    <w:p>
      <w:r>
        <w:rPr>
          <w:color w:val="777777"/>
          <w:sz w:val="16"/>
        </w:rPr>
        <w:t xml:space="preserve">p020 · att1 p.4  </w:t>
      </w:r>
      <w:r>
        <w:t>Questions 12-13: Statistical measurement and synthetic data. Combining benchmarking and clinical-confirmation evidence into a single pooled performance estimate should generally be avoided unless the sampling frames are demonstrably exchangeable; presenting them as complementary, separately quantified lines of evidence is more defensible and more informative for review.</w:t>
      </w:r>
    </w:p>
    <w:p>
      <w:r>
        <w:rPr>
          <w:color w:val="777777"/>
          <w:sz w:val="16"/>
        </w:rPr>
        <w:t xml:space="preserve">p021 · att1 p.4  </w:t>
      </w:r>
      <w:r>
        <w:t>Questions 14-15: Comparators and acceptance criteria. I also support comparators reflecting the care likely to occur in the device's absence (unaided clinical judgment, delayed specialist review, or no intervention), which is the comparator most relevant to public health impact and to least-burdensome evaluation of access-extending devices. Usual-care characterization from RWD and, where randomization is infeasible, target-trial-emulation designs applied to observational data are established, principled ways to construct and justify such counterfactual comparators.</w:t>
      </w:r>
    </w:p>
    <w:p>
      <w:r>
        <w:rPr>
          <w:color w:val="777777"/>
          <w:sz w:val="16"/>
        </w:rPr>
        <w:t xml:space="preserve">p022 · att1 p.4  </w:t>
      </w:r>
      <w:r>
        <w:t>Section VI: Postmarket Monitoring — Question 18: Accepting greater premarket uncertainty. A pre-/post-market rebalancing is ill-suited for autonomous functions that take actions with severe consequences; furthermore, for functions where users cannot detect errors, post-market signals would only become apparent after harm has occurred, a situation that pre-market evidence is specifically intended to prevent. Incorporating these conditions into the FDA’s existing guidance on benefit-risk uncertainty would maintain a doctrinally consistent approach rather than an exceptional one.</w:t>
      </w:r>
    </w:p>
    <w:p>
      <w:r>
        <w:rPr>
          <w:color w:val="777777"/>
          <w:sz w:val="16"/>
        </w:rPr>
        <w:t xml:space="preserve">p023 · att1 p.4  </w:t>
      </w:r>
      <w:r>
        <w:t>Question 19: Postmarket performance evaluation approaches. I encourage CDRH to add a fourth approach where feasible: outcome-linked surveillance, linking device exposure to downstream utilization and clinical outcomes in administrative, claims, and EHR data; behavioral metrics alone can miss harms that manifest downstream (for example, delayed care after under-escalation). Existing infrastructure, including distributed data networks of the kind FDA already uses for medical product surveillance, and coordinated-registry and NEST-type approaches, could be leveraged; this is also where real-world performance monitoring expectations in the January 2025 draft guidance connect naturally to this paper.</w:t>
      </w:r>
    </w:p>
    <w:p>
      <w:r>
        <w:rPr>
          <w:color w:val="777777"/>
          <w:sz w:val="16"/>
        </w:rPr>
        <w:t xml:space="preserve">p024 · att1 p.4  </w:t>
      </w:r>
      <w:r>
        <w:t>Questions 22-23: Modifications, re-benchmarking, and PCCPs. Where the nature of future modifications cannot be fully prespecified, the normal condition for GenAI systems; PCCP concepts could be adapted from prespecifying the modifications to prespecifying the verification protocol: a “change-envelope” PCCP that fixes the competency baseline, the re-benchmarking protocol, the acceptance criteria, and the boundaries of the authorized intended use, within which classes of change may be implemented upon passing verification, with results documented and auditable. This preserves the PCCP's core logic (FDA reviews the method once; the method governs many changes) while fitting the continuous-update reality of these systems.</w:t>
      </w:r>
    </w:p>
    <w:p>
      <w:r>
        <w:rPr>
          <w:color w:val="777777"/>
          <w:sz w:val="16"/>
        </w:rPr>
        <w:t xml:space="preserve">p025 · att1 p.5  </w:t>
      </w:r>
      <w:r>
        <w:t>Section VII: Other Topics — Question 26: Agentic AI systems. Acceptance criteria should tighten as autonomy increases and the opportunity for human review declines, consistent with the activity axis of the risk framework, and an agentic system whose action sequences result in control of another medical device should be evaluated against the risk profile of the controlled device, not merely its own.</w:t>
      </w:r>
    </w:p>
    <w:p>
      <w:r>
        <w:rPr>
          <w:color w:val="777777"/>
          <w:sz w:val="16"/>
        </w:rPr>
        <w:t xml:space="preserve">p026 · att1 p.5  </w:t>
      </w:r>
      <w:r>
        <w:t>Conclusion — The discussion paper reflects a careful, risk-proportionate, least-burdensome orientation that I support. My principal recommendations are: (i) keep the risk framework two-dimensional and operationalize the additional dimensions, including error detectability by the user, as documented modifiers on the consequences axis; (ii) publish an illustrative mapping from risk position to expected evidence, and an anchored directiveness rubric applied to the empirical distribution of device outputs; (iii) require predictive-validity evidence for gating benchmarks, with contamination testing and independent sequestered test sets; (iv) encourage shadow deployment and require formal transportability assessment for RWD and OUS evidence; (v) anchor subgroup performance claims in a minimum core of real data; (vi) pair behavioral postmarket monitoring with outcome-linked surveillance in real-world data, with eventdriven re-benchmarking cadence; (vii) adapt PCCPs toward verification-protocol (“change-envelope”) prespecification for changes that cannot be enumerated in advance; and (viii) pursue international alignment of these concepts, including MAF content, with partner regulators and through IMDRF.</w:t>
      </w:r>
    </w:p>
    <w:p>
      <w:r>
        <w:rPr>
          <w:color w:val="777777"/>
          <w:sz w:val="16"/>
        </w:rPr>
        <w:t xml:space="preserve">p027 · att1 p.5  </w:t>
      </w:r>
      <w:r>
        <w:t>Thank you for considering these comments. I would welcome any opportunity to provide further input.</w:t>
      </w:r>
    </w:p>
    <w:p>
      <w:r>
        <w:rPr>
          <w:color w:val="777777"/>
          <w:sz w:val="16"/>
        </w:rPr>
        <w:t xml:space="preserve">p028 · att1 p.5  </w:t>
      </w:r>
      <w:r>
        <w:t>Respectfully submitted, Sehouenou Alberic Candide Ahouehome, M.Sc., MBA candide.ahouehome.1@ulaval.ca Québec City, Québec, Canada</w:t>
      </w:r>
    </w:p>
    <w:p>
      <w:pPr>
        <w:pStyle w:val="Heading1"/>
        <w:pageBreakBefore/>
      </w:pPr>
      <w:r>
        <w:t>FDA-2026-N-7874-0052</w:t>
      </w:r>
    </w:p>
    <w:p>
      <w:r>
        <w:t>Comment from Martin Haimerl</w:t>
      </w:r>
    </w:p>
    <w:p>
      <w:r>
        <w:rPr>
          <w:color w:val="777777"/>
          <w:sz w:val="18"/>
        </w:rPr>
        <w:t>Academia - E0007 · received 2026-09-01 · attachments: attachment_1.pdf (16 pp)</w:t>
      </w:r>
    </w:p>
    <w:p>
      <w:r>
        <w:rPr>
          <w:color w:val="777777"/>
          <w:sz w:val="16"/>
        </w:rPr>
        <w:t xml:space="preserve">p001 · body  </w:t>
      </w:r>
      <w:r>
        <w:t>Thank you for your efforts to clarify the regulatory background for generative AI (GenAI)-enabled medical devices and for the opportunity to provide feedback on this important topic. Please find my comments in the attached document.</w:t>
      </w:r>
    </w:p>
    <w:p>
      <w:r>
        <w:rPr>
          <w:color w:val="777777"/>
          <w:sz w:val="16"/>
        </w:rPr>
        <w:t xml:space="preserve">p002 · att1 p.1  </w:t>
      </w:r>
      <w:r>
        <w:t>U.S. Food &amp; Drug Administration Center for Devices and Radiological Health (CDRH) — Dear FDA Team, thank you for your efforts to clarify the regulatory background for generative AI (GenAI)-enabled medical devices and for the opportunity to provide feedback on this important topic. Please find my comments and suggestions below.</w:t>
      </w:r>
    </w:p>
    <w:p>
      <w:r>
        <w:rPr>
          <w:color w:val="777777"/>
          <w:sz w:val="16"/>
        </w:rPr>
        <w:t xml:space="preserve">p003 · att1 p.1  </w:t>
      </w:r>
      <w:r>
        <w:t>Section IV – Considerations for the Assessment of Risk for GenAI-Enabled Devices — General Considerations and Response to Discussion Question 1 – Risk Assessment</w:t>
      </w:r>
    </w:p>
    <w:p>
      <w:r>
        <w:rPr>
          <w:color w:val="777777"/>
          <w:sz w:val="16"/>
        </w:rPr>
        <w:t xml:space="preserve">p004 · att1 p.1  </w:t>
      </w:r>
      <w:r>
        <w:t>I support FDA's objective of establishing a risk-proportionate framework for the regulation of GenAI-enabled medical devices. The proposed two-axis framework based on device activity and the consequences of relying on an incorrect output may provide a useful and pragmatic starting point for high-level regulatory decision-making. However, I believe that the framework would benefit from a clearer definition of the type and purpose of the “risk assessment” being performed.</w:t>
      </w:r>
    </w:p>
    <w:p>
      <w:r>
        <w:rPr>
          <w:color w:val="777777"/>
          <w:sz w:val="16"/>
        </w:rPr>
        <w:t xml:space="preserve">p005 · att1 p.1  </w:t>
      </w:r>
      <w:r>
        <w:t>The Discussion Paper appears to focus primarily on an initial assessment used to derive regulatory requirements for a given device. This is an important phase to consider. However, this type of risk assessment may be confused with the product-specific risk assessment that is performed during product development and throughout the product lifecycle. In the Discussion Paper, it seems that the term “risk” is used at both levels even though the underlying concepts do not fully coincide. At the first level, only information that is already defined and can be reliably supported when the initial regulatory criticality is assigned (e.g., in the device description) should be used. Information that becomes available only through subsequent development and risk management should not yet be relied upon. For example, reliable product-specific estimates of the probability of occurrence of harm, or of probabilities associated with specific failure and harm scenarios, may often not yet be available at this stage.</w:t>
      </w:r>
    </w:p>
    <w:p>
      <w:r>
        <w:rPr>
          <w:color w:val="777777"/>
          <w:sz w:val="16"/>
        </w:rPr>
        <w:t xml:space="preserve">p006 · att1 p.1  </w:t>
      </w:r>
      <w:r>
        <w:t>This ambiguity becomes even clearer when considering the definition of risk in ISO 14971. In ISO 14971, risk is defined as the “combination of the probability of occurrence of harm and the severity of that harm”. As discussed above, product-specific probabilities may often not yet be sufficiently characterized during the initial phase. Consequently, the term “risk” as used for the initial regulatory assessment may be interpreted differently from the ISO 14971 definition of product risk, which could create ambiguity. In relation to the two-axis framework as proposed in the Discussion Paper, this definition of risk overlaps with the consequences axis. Some passages of the Discussion Paper appear to use the consequences axis more broadly by also considering factors that affect reliance on an incorrect output or the likelihood that such an output results in harm. This seems to be more related to product-specific risk assessment. However, this relationship is not explicitly defined.</w:t>
      </w:r>
    </w:p>
    <w:p>
      <w:r>
        <w:rPr>
          <w:color w:val="777777"/>
          <w:sz w:val="16"/>
        </w:rPr>
        <w:t xml:space="preserve">p007 · att1 p.1  </w:t>
      </w:r>
      <w:r>
        <w:t>From my perspective, the Discussion Paper should clarify more explicitly the context in which the term risk is used. It should always be clear at which level the term operates. The two levels should be clearly separated and the terminology should indicate the respective context. I suggest using different terms to avoid confusion: the first level could be described as “criticality” of the product, whereas the second could remain “risk” in accordance with ISO 14971.</w:t>
      </w:r>
    </w:p>
    <w:p>
      <w:r>
        <w:rPr>
          <w:color w:val="777777"/>
          <w:sz w:val="16"/>
        </w:rPr>
        <w:t xml:space="preserve">p008 · att1 p.1  </w:t>
      </w:r>
      <w:r>
        <w:t>Furthermore, I suggest separating the two phases and clearly delineating them. I propose the following names for them, while recognizing that these terms are not established regulatory categories.</w:t>
      </w:r>
    </w:p>
    <w:p>
      <w:r>
        <w:rPr>
          <w:color w:val="777777"/>
          <w:sz w:val="16"/>
        </w:rPr>
        <w:t xml:space="preserve">p009 · att1 p.1  </w:t>
      </w:r>
      <w:r>
        <w:t>1. Criticality Assessment / (Regulatory) Criticality Stratification: This phase is used to determine the appropriate level of regulatory oversight and evidence for a defined device and use context. At this stage, only information that is already defined and can be reliably supported should be used, e.g., the type of activity as defined in the Discussion Paper or the severity of a potential harm. Other factors, such as the application context, the required competency profile of users (e.g., lay persons/patients versus healthcare professionals), or other fixed parameters regarding integration of the device into the clinical workflow, may also be considered. This phase could be called Criticality Assessment when it focuses on the general assessment of criticality. Subsequently, I use the term Criticality Stratification because it refers to a categorization into criticality levels that can then be used to determine the applicable regulatory requirements.</w:t>
      </w:r>
    </w:p>
    <w:p>
      <w:r>
        <w:rPr>
          <w:color w:val="777777"/>
          <w:sz w:val="16"/>
        </w:rPr>
        <w:t xml:space="preserve">p010 · att1 p.2  </w:t>
      </w:r>
      <w:r>
        <w:t>2. Product-Specific (Safety) Risk Management — This phase refers to the established risk management process according to ISO 14971 that is performed throughout device development and the total product lifecycle, including risk analysis, risk evaluation, risk control, and evaluation of residual risk consistent with ISO 14971.</w:t>
      </w:r>
    </w:p>
    <w:p>
      <w:r>
        <w:rPr>
          <w:color w:val="777777"/>
          <w:sz w:val="16"/>
        </w:rPr>
        <w:t xml:space="preserve">p011 · att1 p.2  </w:t>
      </w:r>
      <w:r>
        <w:t>For the following comments, I interpret Section IV of the Discussion Paper primarily as referring to the first phase, i.e., the Criticality Stratification introduced above. The following considerations are based on this interpretation. This initial phase sets the anchor for subsequent regulatory and development steps. Accordingly, only factors that are defined and can be reliably supported at this stage should be used. These may include the following factors where the first two entries primarily correspond to the two axes already suggested in the Discussion Paper. The other entries may contribute to these axes (e.g., by affecting the consequences of outcomes) but could also be considered as distinct modifiers or dimensions.</w:t>
      </w:r>
    </w:p>
    <w:p>
      <w:r>
        <w:rPr>
          <w:color w:val="777777"/>
          <w:sz w:val="16"/>
        </w:rPr>
        <w:t xml:space="preserve">p012 · att1 p.2  </w:t>
      </w:r>
      <w:r>
        <w:t>• Potential severity of harm that may result from relevant erroneous outputs;</w:t>
      </w:r>
    </w:p>
    <w:p>
      <w:r>
        <w:rPr>
          <w:color w:val="777777"/>
          <w:sz w:val="16"/>
        </w:rPr>
        <w:t xml:space="preserve">p013 · att1 p.2  </w:t>
      </w:r>
      <w:r>
        <w:t>• Activity and degree of autonomy, ranging from non-directive information to autonomous action-taking;</w:t>
      </w:r>
    </w:p>
    <w:p>
      <w:r>
        <w:rPr>
          <w:color w:val="777777"/>
          <w:sz w:val="16"/>
        </w:rPr>
        <w:t xml:space="preserve">p014 · att1 p.2  </w:t>
      </w:r>
      <w:r>
        <w:t>• Directness of the clinical effect, including whether an output indirectly supports clinical reasoning or directly determines or initiates a clinical action;</w:t>
      </w:r>
    </w:p>
    <w:p>
      <w:r>
        <w:rPr>
          <w:color w:val="777777"/>
          <w:sz w:val="16"/>
        </w:rPr>
        <w:t xml:space="preserve">p015 · att1 p.2  </w:t>
      </w:r>
      <w:r>
        <w:t>• Scope restrictions, such as excluded indications, populations, actions, or clinical contexts;</w:t>
      </w:r>
    </w:p>
    <w:p>
      <w:r>
        <w:rPr>
          <w:color w:val="777777"/>
          <w:sz w:val="16"/>
        </w:rPr>
        <w:t xml:space="preserve">p016 · att1 p.2  </w:t>
      </w:r>
      <w:r>
        <w:t>• Intended user, including patient-facing versus healthcare-professional-facing applications;</w:t>
      </w:r>
    </w:p>
    <w:p>
      <w:r>
        <w:rPr>
          <w:color w:val="777777"/>
          <w:sz w:val="16"/>
        </w:rPr>
        <w:t xml:space="preserve">p017 · att1 p.2  </w:t>
      </w:r>
      <w:r>
        <w:t>• Reversibility of actions or consequences;</w:t>
      </w:r>
    </w:p>
    <w:p>
      <w:r>
        <w:rPr>
          <w:color w:val="777777"/>
          <w:sz w:val="16"/>
        </w:rPr>
        <w:t xml:space="preserve">p018 · att1 p.2  </w:t>
      </w:r>
      <w:r>
        <w:t>• Qualification, expertise, and experience of the intended user, including whether specialist-level knowledge is required to independently evaluate an output;</w:t>
      </w:r>
    </w:p>
    <w:p>
      <w:r>
        <w:rPr>
          <w:color w:val="777777"/>
          <w:sz w:val="16"/>
        </w:rPr>
        <w:t xml:space="preserve">p019 · att1 p.2  </w:t>
      </w:r>
      <w:r>
        <w:t>• Clinical setting, such as home use, outpatient care, inpatient care, intensive care, or emergency care;</w:t>
      </w:r>
    </w:p>
    <w:p>
      <w:r>
        <w:rPr>
          <w:color w:val="777777"/>
          <w:sz w:val="16"/>
        </w:rPr>
        <w:t xml:space="preserve">p020 · att1 p.2  </w:t>
      </w:r>
      <w:r>
        <w:t>• Time criticality, including the time available for independent review, additional diagnostic investigation, or correction before harm may occur;</w:t>
      </w:r>
    </w:p>
    <w:p>
      <w:r>
        <w:rPr>
          <w:color w:val="777777"/>
          <w:sz w:val="16"/>
        </w:rPr>
        <w:t xml:space="preserve">p021 · att1 p.2  </w:t>
      </w:r>
      <w:r>
        <w:t>• Fundamental workflow safeguards or safety boundaries that are already binding characteristics of the defined device and intended workflow;</w:t>
      </w:r>
    </w:p>
    <w:p>
      <w:r>
        <w:rPr>
          <w:color w:val="777777"/>
          <w:sz w:val="16"/>
        </w:rPr>
        <w:t xml:space="preserve">p022 · att1 p.2  </w:t>
      </w:r>
      <w:r>
        <w:t>• Availability of independent information or review that enables an output to be assessed before reliance upon it; and</w:t>
      </w:r>
    </w:p>
    <w:p>
      <w:r>
        <w:rPr>
          <w:color w:val="777777"/>
          <w:sz w:val="16"/>
        </w:rPr>
        <w:t xml:space="preserve">p023 · att1 p.2  </w:t>
      </w:r>
      <w:r>
        <w:t>• Traceability of an output to relevant source information.</w:t>
      </w:r>
    </w:p>
    <w:p>
      <w:r>
        <w:rPr>
          <w:color w:val="777777"/>
          <w:sz w:val="16"/>
        </w:rPr>
        <w:t xml:space="preserve">p024 · att1 p.2  </w:t>
      </w:r>
      <w:r>
        <w:t>The distinction between initial Criticality Stratification and subsequent Product-Specific Risk Management is particularly important when considering these aspects. As an example, I use workflow safeguards to illustrate the difference between the Criticality Stratification and Product-Specific Risk Management phases. A safeguard should be included in the initial Criticality Stratification only where it is already an inherent or binding part of the defined device or intended workflow. For example, a technically enforced requirement for independent clinician confirmation before an irreversible high-consequence action may legitimately be considered as part of the initial device and use profile. In contrast, anticipated risk controls that may be developed later should not be used to reduce the initial regulatory criticality merely because the manufacturer expects them to be implemented during development. This distinction would help prevent regulatory categorization from depending on hypothetical future controls and would maintain a clear boundary between Criticality Stratification and Product-Specific Risk Management. Where safeguards are credited at the stratification level, they should be defined, enforceable, verifiable, clinically realistic, and maintained throughout the total product lifecycle.</w:t>
      </w:r>
    </w:p>
    <w:p>
      <w:r>
        <w:rPr>
          <w:color w:val="777777"/>
          <w:sz w:val="16"/>
        </w:rPr>
        <w:t xml:space="preserve">p025 · att1 p.3  </w:t>
      </w:r>
      <w:r>
        <w:t>Other factors, such as probability-related information or the degree of certainty/uncertainty of the available evidence, could also be considered where such information is already sufficiently supported at this stage. This could allow regulatory requirements to be better tailored to the technical and clinical maturity of a given device or technology. For example, this may provide an appropriate way to account for well-established technologies for which substantial relevant evidence is already available.</w:t>
      </w:r>
    </w:p>
    <w:p>
      <w:r>
        <w:rPr>
          <w:color w:val="777777"/>
          <w:sz w:val="16"/>
        </w:rPr>
        <w:t xml:space="preserve">p026 · att1 p.3  </w:t>
      </w:r>
      <w:r>
        <w:t>Based on these considerations, the Criticality Stratification step could be strengthened or extended. As an initial step, it could clarify not only basic characteristics such as intended use, user profiles, and application context, but also additional aspects of the criticality profile and the requirements or constraints needed to keep the product within a defined criticality level. This could help address the particular complexity of GenAI-enabled medical devices, including the additional factors identified in the Discussion Paper that may influence outcomes.</w:t>
      </w:r>
    </w:p>
    <w:p>
      <w:r>
        <w:rPr>
          <w:color w:val="777777"/>
          <w:sz w:val="16"/>
        </w:rPr>
        <w:t xml:space="preserve">p027 · att1 p.3  </w:t>
      </w:r>
      <w:r>
        <w:t>The Criticality Stratification should be based on assumptions that can be reliably supported for the defined device and use context. Where a range of possible device behaviors or conditions exists, the stratification should conservatively reflect the highest level of criticality that can reasonably occur and cannot be reliably excluded by defined and enforceable constraints. Accordingly, probability-related assumptions should only be used where they can be sufficiently supported or conservatively bounded. Otherwise, information generated later during development may invalidate assumptions underlying the initial criticality level and indicate that the selected regulatory pathway is no longer appropriate.</w:t>
      </w:r>
    </w:p>
    <w:p>
      <w:r>
        <w:rPr>
          <w:color w:val="777777"/>
          <w:sz w:val="16"/>
        </w:rPr>
        <w:t xml:space="preserve">p028 · att1 p.3  </w:t>
      </w:r>
      <w:r>
        <w:t>At the same time, the initial Criticality Stratification need not be considered static. If information generated during development, validation, clinical evaluation, or postmarket use materially challenges the assumptions underlying the initial stratification, the criticality classification and associated regulatory requirements would need to be reassessed. This feedback mechanism would integrate the initial stratification into the total product lifecycle while maintaining the conceptual distinction from Product-Specific Risk Management. See also the comments in Section V regarding the interplay between Criticality Assessment and development as well as evaluation steps.</w:t>
      </w:r>
    </w:p>
    <w:p>
      <w:r>
        <w:rPr>
          <w:color w:val="777777"/>
          <w:sz w:val="16"/>
        </w:rPr>
        <w:t xml:space="preserve">p029 · att1 p.3  </w:t>
      </w:r>
      <w:r>
        <w:t>Overall comment for Discussion Questions 2–6 — Across Questions 2–6, the following principle is applied, consistent with the rationale presented above:</w:t>
      </w:r>
    </w:p>
    <w:p>
      <w:r>
        <w:rPr>
          <w:color w:val="777777"/>
          <w:sz w:val="16"/>
        </w:rPr>
        <w:t xml:space="preserve">p030 · att1 p.3  </w:t>
      </w:r>
      <w:r>
        <w:t>A factor or characteristic should influence the initial Criticality Stratification only to the extent that it is a clearly defined and reliably assured property of the device, including intended use, intended user, or use environment.</w:t>
      </w:r>
    </w:p>
    <w:p>
      <w:r>
        <w:rPr>
          <w:color w:val="777777"/>
          <w:sz w:val="16"/>
        </w:rPr>
        <w:t xml:space="preserve">p031 · att1 p.3  </w:t>
      </w:r>
      <w:r>
        <w:t>Characteristics whose actual effectiveness can only be addressed during product development, validation, clinical evaluation, or real-world use should instead be addressed primarily through Product-Specific Risk Management. Most characteristics relevant to Criticality Stratification may also be relevant to Product-Specific Risk Management. Conversely, Product-Specific Risk Management may include additional factors that cannot yet be used for the initial Criticality Stratification, for example product-specific probabilities that are not yet sufficiently characterized or bounded at this stage.</w:t>
      </w:r>
    </w:p>
    <w:p>
      <w:r>
        <w:rPr>
          <w:color w:val="777777"/>
          <w:sz w:val="16"/>
        </w:rPr>
        <w:t xml:space="preserve">p032 · att1 p.3  </w:t>
      </w:r>
      <w:r>
        <w:t>Response to Discussion Question 2 – Degree of Directiveness of Informational Functions — I agree that directiveness should be considered a continuum rather than a binary distinction. The following aspects may be relevant. For each factor or characteristic, it should be considered whether it can contribute to Criticality Stratification or can only be addressed during Product-Specific Risk Management.</w:t>
      </w:r>
    </w:p>
    <w:p>
      <w:r>
        <w:rPr>
          <w:color w:val="777777"/>
          <w:sz w:val="16"/>
        </w:rPr>
        <w:t xml:space="preserve">p033 · att1 p.3  </w:t>
      </w:r>
      <w:r>
        <w:t>• Specificity of the proposed action, e.g., general information versus a concrete instruction;</w:t>
      </w:r>
    </w:p>
    <w:p>
      <w:r>
        <w:rPr>
          <w:color w:val="777777"/>
          <w:sz w:val="16"/>
        </w:rPr>
        <w:t xml:space="preserve">p034 · att1 p.3  </w:t>
      </w:r>
      <w:r>
        <w:t>• Strength of recommendation and availability of alternatives, e.g., whether the user is presented with several reasonable options or effectively directed toward one;</w:t>
      </w:r>
    </w:p>
    <w:p>
      <w:r>
        <w:rPr>
          <w:color w:val="777777"/>
          <w:sz w:val="16"/>
        </w:rPr>
        <w:t xml:space="preserve">p035 · att1 p.3  </w:t>
      </w:r>
      <w:r>
        <w:t>• Enforceability of safeguards – the extent to which the application of relevant safeguards can be reliably ensured in the intended setting;</w:t>
      </w:r>
    </w:p>
    <w:p>
      <w:r>
        <w:rPr>
          <w:color w:val="777777"/>
          <w:sz w:val="16"/>
        </w:rPr>
        <w:t xml:space="preserve">p036 · att1 p.3  </w:t>
      </w:r>
      <w:r>
        <w:t>• Availability and, where applicable, requirements for independent review before action is taken;</w:t>
      </w:r>
    </w:p>
    <w:p>
      <w:r>
        <w:rPr>
          <w:color w:val="777777"/>
          <w:sz w:val="16"/>
        </w:rPr>
        <w:t xml:space="preserve">p037 · att1 p.4  </w:t>
      </w:r>
      <w:r>
        <w:t>• Time criticality/immediacy – whether the output suggests action at some future point or requires immediate action;</w:t>
      </w:r>
    </w:p>
    <w:p>
      <w:r>
        <w:rPr>
          <w:color w:val="777777"/>
          <w:sz w:val="16"/>
        </w:rPr>
        <w:t xml:space="preserve">p038 · att1 p.4  </w:t>
      </w:r>
      <w:r>
        <w:t>• Clinical significance of the action, e.g., minor self-care versus major diagnostic or therapeutic intervention;</w:t>
      </w:r>
    </w:p>
    <w:p>
      <w:r>
        <w:rPr>
          <w:color w:val="777777"/>
          <w:sz w:val="16"/>
        </w:rPr>
        <w:t xml:space="preserve">p039 · att1 p.4  </w:t>
      </w:r>
      <w:r>
        <w:t>• Degree of personalization – generic information versus a recommendation based on the individual patient's data.</w:t>
      </w:r>
    </w:p>
    <w:p>
      <w:r>
        <w:rPr>
          <w:color w:val="777777"/>
          <w:sz w:val="16"/>
        </w:rPr>
        <w:t xml:space="preserve">p040 · att1 p.4  </w:t>
      </w:r>
      <w:r>
        <w:t>Response to Discussion Question 3 – Patient-Facing versus HCP-Facing Functions — I agree that the distinction between patient-facing and HCP-facing functions is important and should be considered in Criticality Stratification. However, the key consideration is the extent to which the intended use environment allows relevant safeguards, independent review, and workflow constraints to be reliably implemented and enforced. This distinction may be particularly important when comparing home care settings with use in a healthcare institution.</w:t>
      </w:r>
    </w:p>
    <w:p>
      <w:r>
        <w:rPr>
          <w:color w:val="777777"/>
          <w:sz w:val="16"/>
        </w:rPr>
        <w:t xml:space="preserve">p041 · att1 p.4  </w:t>
      </w:r>
      <w:r>
        <w:t>In a healthcare institution, it may be possible to better establish and enforce:</w:t>
      </w:r>
    </w:p>
    <w:p>
      <w:r>
        <w:rPr>
          <w:color w:val="777777"/>
          <w:sz w:val="16"/>
        </w:rPr>
        <w:t xml:space="preserve">p042 · att1 p.4  </w:t>
      </w:r>
      <w:r>
        <w:t>• defined clinical protocols;</w:t>
      </w:r>
    </w:p>
    <w:p>
      <w:r>
        <w:rPr>
          <w:color w:val="777777"/>
          <w:sz w:val="16"/>
        </w:rPr>
        <w:t xml:space="preserve">p043 · att1 p.4  </w:t>
      </w:r>
      <w:r>
        <w:t>• mandatory review steps;</w:t>
      </w:r>
    </w:p>
    <w:p>
      <w:r>
        <w:rPr>
          <w:color w:val="777777"/>
          <w:sz w:val="16"/>
        </w:rPr>
        <w:t xml:space="preserve">p044 · att1 p.4  </w:t>
      </w:r>
      <w:r>
        <w:t>• access to independent clinical information;</w:t>
      </w:r>
    </w:p>
    <w:p>
      <w:r>
        <w:rPr>
          <w:color w:val="777777"/>
          <w:sz w:val="16"/>
        </w:rPr>
        <w:t xml:space="preserve">p045 · att1 p.4  </w:t>
      </w:r>
      <w:r>
        <w:t>• defined escalation procedures;</w:t>
      </w:r>
    </w:p>
    <w:p>
      <w:r>
        <w:rPr>
          <w:color w:val="777777"/>
          <w:sz w:val="16"/>
        </w:rPr>
        <w:t xml:space="preserve">p046 · att1 p.4  </w:t>
      </w:r>
      <w:r>
        <w:t>• defined user qualifications; and — • technical or organizational restrictions on subsequent actions.</w:t>
      </w:r>
    </w:p>
    <w:p>
      <w:r>
        <w:rPr>
          <w:color w:val="777777"/>
          <w:sz w:val="16"/>
        </w:rPr>
        <w:t xml:space="preserve">p047 · att1 p.4  </w:t>
      </w:r>
      <w:r>
        <w:t>In a home care environment, comparable safeguards may often be considerably more difficult to guarantee. Instructions such as “consult your physician before taking action” may not provide the same level of assurance as an enforced review step within a controlled clinical workflow.</w:t>
      </w:r>
    </w:p>
    <w:p>
      <w:r>
        <w:rPr>
          <w:color w:val="777777"/>
          <w:sz w:val="16"/>
        </w:rPr>
        <w:t xml:space="preserve">p048 · att1 p.4  </w:t>
      </w:r>
      <w:r>
        <w:t>Accordingly, safeguards should reduce criticality only where they are sufficiently defined, enforceable, verifiable, and realistic for the intended environment. The distinction should therefore be based less on the label “patient” versus “HCP” and more on the actual degree of guaranteed independent review, user competence, workflow control, and ability to prevent inappropriate reliance.</w:t>
      </w:r>
    </w:p>
    <w:p>
      <w:r>
        <w:rPr>
          <w:color w:val="777777"/>
          <w:sz w:val="16"/>
        </w:rPr>
        <w:t xml:space="preserve">p049 · att1 p.4  </w:t>
      </w:r>
      <w:r>
        <w:t>Response to Discussion Question 4 – Generalist versus Specialist HCPs — I agree that the distinction between generalist and specialist physicians may be relevant for Criticality Stratification. However, several caveats should be considered.</w:t>
      </w:r>
    </w:p>
    <w:p>
      <w:r>
        <w:rPr>
          <w:color w:val="777777"/>
          <w:sz w:val="16"/>
        </w:rPr>
        <w:t xml:space="preserve">p050 · att1 p.4  </w:t>
      </w:r>
      <w:r>
        <w:t>A specialist may have substantially greater expertise regarding a specific disease, intervention, or diagnostic question. However, a generalist may in some circumstances have a broader understanding of the patient's overall clinical situation, including comorbidities, concurrent treatments, and effects outside one specialty domain. The relevant consideration should therefore be whether the intended user possesses the competence and information necessary to independently assess the particular output, rather than professional designation alone.</w:t>
      </w:r>
    </w:p>
    <w:p>
      <w:r>
        <w:rPr>
          <w:color w:val="777777"/>
          <w:sz w:val="16"/>
        </w:rPr>
        <w:t xml:space="preserve">p051 · att1 p.4  </w:t>
      </w:r>
      <w:r>
        <w:t>The intended clinical environment may also be relevant. In specialist departments, narrowly defined workflows and condition-specific protocols can often be implemented more consistently. General practice may involve a much broader spectrum of clinical situations, making comprehensive case-specific protocols more difficult to establish.</w:t>
      </w:r>
    </w:p>
    <w:p>
      <w:r>
        <w:rPr>
          <w:color w:val="777777"/>
          <w:sz w:val="16"/>
        </w:rPr>
        <w:t xml:space="preserve">p052 · att1 p.4  </w:t>
      </w:r>
      <w:r>
        <w:t>Accordingly, any criticality-modifying effect should be based on the competence, information, and workflow conditions that can actually be assured for the intended user group rather than on professional designation alone.</w:t>
      </w:r>
    </w:p>
    <w:p>
      <w:r>
        <w:rPr>
          <w:color w:val="777777"/>
          <w:sz w:val="16"/>
        </w:rPr>
        <w:t xml:space="preserve">p053 · att1 p.5  </w:t>
      </w:r>
      <w:r>
        <w:t>Response to Discussion Question 5 – Multi-Turn Conversations and Migration of Function — The Discussion Paper appropriately notes that a conversational GenAI-enabled device may migrate from nondirective information to action-directing information over the course of an interaction and proposes considering realistic conversational trajectories rather than isolated outputs. As discussed in the answer to Question 1, a conservative approach should be applied for Criticality Stratification. The highest criticality that can reasonably occur within the defined use and cannot be reliably excluded by enforceable safeguards should be used as the basic reference. The relevant criterion should therefore be the highest criticality that remains reasonably foreseeable across such conversational trajectories.</w:t>
      </w:r>
    </w:p>
    <w:p>
      <w:r>
        <w:rPr>
          <w:color w:val="777777"/>
          <w:sz w:val="16"/>
        </w:rPr>
        <w:t xml:space="preserve">p054 · att1 p.5  </w:t>
      </w:r>
      <w:r>
        <w:t>It may be possible to use appropriate safeguards to maintain a defined level of criticality. Again, the safeguards should be reliably enforceable and their effectiveness reasonably assured. Examples of such safeguards may include:</w:t>
      </w:r>
    </w:p>
    <w:p>
      <w:r>
        <w:rPr>
          <w:color w:val="777777"/>
          <w:sz w:val="16"/>
        </w:rPr>
        <w:t xml:space="preserve">p055 · att1 p.5  </w:t>
      </w:r>
      <w:r>
        <w:t>• technically enforced scope restrictions;</w:t>
      </w:r>
    </w:p>
    <w:p>
      <w:r>
        <w:rPr>
          <w:color w:val="777777"/>
          <w:sz w:val="16"/>
        </w:rPr>
        <w:t xml:space="preserve">p056 · att1 p.5  </w:t>
      </w:r>
      <w:r>
        <w:t>• enforceable conversational protocols that constrain the conversation to the defined scope;</w:t>
      </w:r>
    </w:p>
    <w:p>
      <w:r>
        <w:rPr>
          <w:color w:val="777777"/>
          <w:sz w:val="16"/>
        </w:rPr>
        <w:t xml:space="preserve">p057 · att1 p.5  </w:t>
      </w:r>
      <w:r>
        <w:t>• refusal or deferral mechanisms;</w:t>
      </w:r>
    </w:p>
    <w:p>
      <w:r>
        <w:rPr>
          <w:color w:val="777777"/>
          <w:sz w:val="16"/>
        </w:rPr>
        <w:t xml:space="preserve">p058 · att1 p.5  </w:t>
      </w:r>
      <w:r>
        <w:t>• mandatory transition to an HCP;</w:t>
      </w:r>
    </w:p>
    <w:p>
      <w:r>
        <w:rPr>
          <w:color w:val="777777"/>
          <w:sz w:val="16"/>
        </w:rPr>
        <w:t xml:space="preserve">p059 · att1 p.5  </w:t>
      </w:r>
      <w:r>
        <w:t>• restrictions on certain categories of recommendations; or — • reliable human-oversight checkpoints before higher-criticality outputs can be acted upon or higher-criticality actions can take effect.</w:t>
      </w:r>
    </w:p>
    <w:p>
      <w:r>
        <w:rPr>
          <w:color w:val="777777"/>
          <w:sz w:val="16"/>
        </w:rPr>
        <w:t xml:space="preserve">p060 · att1 p.5  </w:t>
      </w:r>
      <w:r>
        <w:t>Response to Discussion Question 6 – Under-Escalation and Over-Escalation — I agree that both under-escalation and over-escalation may result in harm and that the two types of error may not be directly commensurable. The potential severity of harms resulting from these different error modes may therefore influence Criticality Stratification. However, detailed weighting of the associated risks will often only be possible at the level of Product-Specific Risk Management, where product-specific probabilities and the effectiveness of implemented risk controls can be considered. For Criticality Stratification, only factors that can already be reliably established or bounded at this stage should be taken into account. This may include safeguards, such as defined escalation procedures integrated into the GenAI-enabled device, that can reliably constrain the consequences of over-escalation or under-escalation.</w:t>
      </w:r>
    </w:p>
    <w:p>
      <w:r>
        <w:rPr>
          <w:color w:val="777777"/>
          <w:sz w:val="16"/>
        </w:rPr>
        <w:t xml:space="preserve">p061 · att1 p.5  </w:t>
      </w:r>
      <w:r>
        <w:t>I would also be cautious about treating escalation primarily as a binary problem of “escalate” versus “do not escalate.” GenAI-enabled devices may provide a spectrum of recommendations, for example:</w:t>
      </w:r>
    </w:p>
    <w:p>
      <w:r>
        <w:rPr>
          <w:color w:val="777777"/>
          <w:sz w:val="16"/>
        </w:rPr>
        <w:t xml:space="preserve">p062 · att1 p.5  </w:t>
      </w:r>
      <w:r>
        <w:t>• continue self-management;</w:t>
      </w:r>
    </w:p>
    <w:p>
      <w:r>
        <w:rPr>
          <w:color w:val="777777"/>
          <w:sz w:val="16"/>
        </w:rPr>
        <w:t xml:space="preserve">p063 · att1 p.5  </w:t>
      </w:r>
      <w:r>
        <w:t>• arrange routine medical review;</w:t>
      </w:r>
    </w:p>
    <w:p>
      <w:r>
        <w:rPr>
          <w:color w:val="777777"/>
          <w:sz w:val="16"/>
        </w:rPr>
        <w:t xml:space="preserve">p064 · att1 p.5  </w:t>
      </w:r>
      <w:r>
        <w:t>• contact a healthcare professional within a defined period;</w:t>
      </w:r>
    </w:p>
    <w:p>
      <w:r>
        <w:rPr>
          <w:color w:val="777777"/>
          <w:sz w:val="16"/>
        </w:rPr>
        <w:t xml:space="preserve">p065 · att1 p.5  </w:t>
      </w:r>
      <w:r>
        <w:t>• seek urgent care;</w:t>
      </w:r>
    </w:p>
    <w:p>
      <w:r>
        <w:rPr>
          <w:color w:val="777777"/>
          <w:sz w:val="16"/>
        </w:rPr>
        <w:t xml:space="preserve">p066 · att1 p.5  </w:t>
      </w:r>
      <w:r>
        <w:t>• seek immediate emergency care.</w:t>
      </w:r>
    </w:p>
    <w:p>
      <w:r>
        <w:rPr>
          <w:color w:val="777777"/>
          <w:sz w:val="16"/>
        </w:rPr>
        <w:t xml:space="preserve">p067 · att1 p.5  </w:t>
      </w:r>
      <w:r>
        <w:t>Errors may therefore involve not only false-positive or false-negative escalation, but also incorrect escalation level, inappropriate timing, or inappropriate destination of care. The Criticality Stratification should reflect these graded outcomes and the clinical consequences of moving a patient in either direction along this escalation spectrum.</w:t>
      </w:r>
    </w:p>
    <w:p>
      <w:r>
        <w:rPr>
          <w:color w:val="777777"/>
          <w:sz w:val="16"/>
        </w:rPr>
        <w:t xml:space="preserve">p068 · att1 p.6  </w:t>
      </w:r>
      <w:r>
        <w:t>Section V – A Competency-Based Approach for Premarket Evaluation of GenAI-Enabled Devices — General Considerations for Section V – including Responses to Discussion Questions 7–8</w:t>
      </w:r>
    </w:p>
    <w:p>
      <w:r>
        <w:rPr>
          <w:color w:val="777777"/>
          <w:sz w:val="16"/>
        </w:rPr>
        <w:t xml:space="preserve">p069 · att1 p.6  </w:t>
      </w:r>
      <w:r>
        <w:t>I generally support the competency-based approach proposed in the Discussion Paper, in particular the combination of device benchmarking and clinical confirmation and the concept of tailoring the nature and rigor of evidence to the device's intended use and criticality. Given the open-ended input and output space of GenAI- enabled devices, exhaustive testing is neither feasible nor an appropriate regulatory objective.</w:t>
      </w:r>
    </w:p>
    <w:p>
      <w:r>
        <w:rPr>
          <w:color w:val="777777"/>
          <w:sz w:val="16"/>
        </w:rPr>
        <w:t xml:space="preserve">p070 · att1 p.6  </w:t>
      </w:r>
      <w:r>
        <w:t>However, I again suggest distinguishing these aspects more clearly. In particular, this applies to the already introduced delineation between Criticality Stratification and Product-Specific Risk Management. On the one hand, it should be demonstrated that the boundaries defined during Criticality Stratification are robustly established. Assumptions or safeguards that materially reduce the assigned criticality or evidence burden should themselves be supported by evidence. Thus, appropriate evaluation should be included for this. For example, where lower criticality is assumed because a qualified healthcare professional independently reviews an output, evaluation should establish not merely that a human approval step exists. It should validate that the intended users can realistically identify and correct safety-relevant errors under the intended conditions of use. Findings from evaluation should be capable of feeding back into the initial criticality assessment if such assumptions prove unreliable.</w:t>
      </w:r>
    </w:p>
    <w:p>
      <w:r>
        <w:rPr>
          <w:color w:val="777777"/>
          <w:sz w:val="16"/>
        </w:rPr>
        <w:t xml:space="preserve">p071 · att1 p.6  </w:t>
      </w:r>
      <w:r>
        <w:t>Conversely, Criticality Stratification can serve as a basis for defining the required extent of premarket evaluation. In principle, this can be aligned with the two-axis framework described in the Discussion Paper. However, I would include additional aspects as discussed in the responses to Questions 1–6 in Section IV. Based on this, most evaluation activities will then be directed toward product development and, in particular, Product-Specific Risk Management. Ultimately, evaluation should provide reasonable assurance that the GenAI-enabled device is safe and effective. In this regard, different levels of criticality could be used to shape the evaluation requirements in a proportionate manner. This may support a staged evaluation approach in which criticality is not treated as completely static but can be reassessed step by step as evidence develops – see further comments below.</w:t>
      </w:r>
    </w:p>
    <w:p>
      <w:r>
        <w:rPr>
          <w:color w:val="777777"/>
          <w:sz w:val="16"/>
        </w:rPr>
        <w:t xml:space="preserve">p072 · att1 p.6  </w:t>
      </w:r>
      <w:r>
        <w:t>The analogy to competency assessment of human clinicians is useful as an organizing principle, particularly with respect to structured assessment, supervised practice, progressively greater independence, and periodic reevaluation. The Discussion Paper itself describes the analogy as one that requires adaptation to the technical, practical, and legal characteristics of medical devices. However, I would be cautious to overemphasize the analogy to an assumption of equivalence between clinician and GenAI competency. Clinical professionals operate within an education, accountability, and professional-practice framework that differs materially from the mechanisms underlying GenAI systems. In addition, increasing reliance on AI may alter the capabilities and behavior of the human users themselves. For example, deskilling is an additional risk that should be considered with extensive use of GenAI in clinical settings. Human oversight should therefore be treated as a risk control whose effectiveness may require both initial and periodic evaluation, rather than as an inherently reliable safeguard.</w:t>
      </w:r>
    </w:p>
    <w:p>
      <w:r>
        <w:rPr>
          <w:color w:val="777777"/>
          <w:sz w:val="16"/>
        </w:rPr>
        <w:t xml:space="preserve">p073 · att1 p.6  </w:t>
      </w:r>
      <w:r>
        <w:t>Distinction between errors and consequences — Additionally, I suggest more clearly distinguishing between errors in the output of the GenAI system and the consequences of the errors in clinical practice. In scientific publications, the evaluation of AI systems often focuses on errors (e.g., accuracy rates) but not on the consequences of the different types of errors (e.g., false positives or false negatives). The consequences may strongly depend on the risk management measures and other safeguards implemented in the GenAI-enabled device or in the healthcare organization or clinical practice.</w:t>
      </w:r>
    </w:p>
    <w:p>
      <w:r>
        <w:rPr>
          <w:color w:val="777777"/>
          <w:sz w:val="16"/>
        </w:rPr>
        <w:t xml:space="preserve">p074 · att1 p.6  </w:t>
      </w:r>
      <w:r>
        <w:t>On the one hand, benchmark tests often focus more on detecting errors in the output of the GenAI device. They may be weighted according to clinical impact where that impact can be assessed in a sufficiently generic way. Thus, they may also include an analysis of more general consequences. On the other hand, clinical confirmation is more directly oriented toward the outcome in a concrete clinical setting. Especially for GenAI devices whose performance usually depends on a wide range of parameters, e.g., use environments, clinical protocols, conversational paths, I agree that clinical confirmation is an important step that should be established separately.</w:t>
      </w:r>
    </w:p>
    <w:p>
      <w:r>
        <w:rPr>
          <w:color w:val="777777"/>
          <w:sz w:val="16"/>
        </w:rPr>
        <w:t xml:space="preserve">p075 · att1 p.7  </w:t>
      </w:r>
      <w:r>
        <w:t>Although both evaluation parameters (errors and consequences) can be addressed in both steps (device benchmarking and clinical confirmation), I suggest clarifying these relationships. From my perspective, it is crucial to clearly identify which parameters are best addressed in each phase.</w:t>
      </w:r>
    </w:p>
    <w:p>
      <w:r>
        <w:rPr>
          <w:color w:val="777777"/>
          <w:sz w:val="16"/>
        </w:rPr>
        <w:t xml:space="preserve">p076 · att1 p.7  </w:t>
      </w:r>
      <w:r>
        <w:t>Progressive evidence-based deployment — The concept of "supervised practice with progressively greater independence" could be extended and operationalized more directly for GenAI-enabled devices. A device could initially operate within a narrowly defined and highly controlled operating envelope – for example, limited indications, specialist users, mandatory independent review, or restrictions on action-taking – and subsequently expand its scope or independence only when prespecified evidence thresholds have been met. This would also lead to a staged approach for stepwise expansion, e.g., through the following sequence:</w:t>
      </w:r>
    </w:p>
    <w:p>
      <w:r>
        <w:rPr>
          <w:color w:val="777777"/>
          <w:sz w:val="16"/>
        </w:rPr>
        <w:t xml:space="preserve">p077 · att1 p.7  </w:t>
      </w:r>
      <w:r>
        <w:t>→ strongly controlled conditions (e.g., restricted to dedicated experts or strong safeguards) → supervised clinical use → expanded use</w:t>
      </w:r>
    </w:p>
    <w:p>
      <w:r>
        <w:rPr>
          <w:color w:val="777777"/>
          <w:sz w:val="16"/>
        </w:rPr>
        <w:t xml:space="preserve">p078 · att1 p.7  </w:t>
      </w:r>
      <w:r>
        <w:t>This would strengthen the analogy to HCP training, in which competence is established progressively through different levels of supervision and responsibility.</w:t>
      </w:r>
    </w:p>
    <w:p>
      <w:r>
        <w:rPr>
          <w:color w:val="777777"/>
          <w:sz w:val="16"/>
        </w:rPr>
        <w:t xml:space="preserve">p079 · att1 p.7  </w:t>
      </w:r>
      <w:r>
        <w:t>Such an approach could use predetermined evidence gates, including prespecified performance and safety criteria, together with criteria for restriction or rollback if performance deteriorates. Where legally and practically appropriate, Predetermined Change Control Plan (PCCP)-like mechanisms may provide a useful model for prespecifying some such transitions. This could create a more direct link between premarket evaluation, supervised clinical deployment, periodic evaluation, and lifecycle change control.</w:t>
      </w:r>
    </w:p>
    <w:p>
      <w:r>
        <w:rPr>
          <w:color w:val="777777"/>
          <w:sz w:val="16"/>
        </w:rPr>
        <w:t xml:space="preserve">p080 · att1 p.7  </w:t>
      </w:r>
      <w:r>
        <w:t>Response to Discussion Questions 9–10 – Benchmarking should evolve from datasets toward broader evaluation environments</w:t>
      </w:r>
    </w:p>
    <w:p>
      <w:r>
        <w:rPr>
          <w:color w:val="777777"/>
          <w:sz w:val="16"/>
        </w:rPr>
        <w:t xml:space="preserve">p081 · att1 p.7  </w:t>
      </w:r>
      <w:r>
        <w:t>The benchmarking elements proposed by the Discussion Paper cover many important dimensions, including safety, clinical proficiency, generalizability, and agentic capabilities. As already mentioned, benchmark evaluation could include metrics related to clinical consequences rather than addressing output errors alone. Usually, testing should not only be performed against a single representative dataset. For GenAI systems, a broader evaluation suite may be more appropriate, combining different evaluation assets for different purposes. For example, this could include distribution-representative test sets to estimate expected performance, risk-enriched challenge sets for rare but clinically consequential failures, prespecified subgroup or scenario-specific test sets, boundary and out-of-scope cases, and dynamic multi-turn scenarios. Average performance alone should not permit strong performance in common or low-risk situations to compensate for poor performance in a clinically critical subset. For safety-critical failure modes, prespecified performance floors or separate acceptance criteria may therefore be appropriate.</w:t>
      </w:r>
    </w:p>
    <w:p>
      <w:r>
        <w:rPr>
          <w:color w:val="777777"/>
          <w:sz w:val="16"/>
        </w:rPr>
        <w:t xml:space="preserve">p082 · att1 p.7  </w:t>
      </w:r>
      <w:r>
        <w:t>Particular attention should be given to dynamic conversational trajectories that could also be included in corresponding benchmarks. In this regard, benchmark testing shifts from a static regime with fixed datasets toward more dynamic testing approaches, e.g., using tools that generate simulations of conversational trajectories. For example, simulated patients, users, or clinical environments could allow scalable assessment of how performance changes with incomplete information, different orders of presentation, user behavior, health literacy, clinical expertise, time pressure, or evolving clinical states. Such simulation could also test whether the device gathers the right additional information, identifies conflicting assumptions, escalates appropriately, and recovers from erroneous intermediate conclusions. The Discussion Paper already anticipates the possible use of simulation tools and virtual patient avatars. This concept could be developed into a more explicit intermediate layer between static benchmarking and clinical confirmation. However, simulation cannot fully substitute for validation with real users where the assumed risk reduction depends on human behavior or workflow. A simulated user may efficiently expose potential interaction failures but cannot establish that actual clinicians or patients will behave in the same manner.</w:t>
      </w:r>
    </w:p>
    <w:p>
      <w:r>
        <w:rPr>
          <w:color w:val="777777"/>
          <w:sz w:val="16"/>
        </w:rPr>
        <w:t xml:space="preserve">p083 · att1 p.8  </w:t>
      </w:r>
      <w:r>
        <w:t>Benchmarking should also explicitly evaluate device-specific safeguards and consistency mechanisms identified through Product-Specific Risk Management or defined within the Criticality Stratification phase. Such mechanisms may include scope restrictions, deferral and escalation rules, human-approval checkpoints, cross-checks, or mechanisms that prompt either the user or the device to challenge important assumptions. Where one AI component is used to supervise another, the degree of independence and the possibility of correlated or common-mode failure should be considered.</w:t>
      </w:r>
    </w:p>
    <w:p>
      <w:r>
        <w:rPr>
          <w:color w:val="777777"/>
          <w:sz w:val="16"/>
        </w:rPr>
        <w:t xml:space="preserve">p084 · att1 p.8  </w:t>
      </w:r>
      <w:r>
        <w:t>Finally, benchmarking may support lifecycle regression testing. In particular, this may address the topic of updates to foundation models. Testing different suitable foundation models during development may help characterize which device behaviors are robust to model substitution and which are highly foundation-model dependent. Regulatory evidence should nevertheless remain focused on the deployed configuration. Where an underlying model subsequently changes, a prespecified regression suite, particularly for safety-critical competencies and risk controls, could provide systematic evidence of the impact of the change. Over successive updates, such testing could also establish an empirical understanding of which device properties are sensitive to foundation-model changes.</w:t>
      </w:r>
    </w:p>
    <w:p>
      <w:r>
        <w:rPr>
          <w:color w:val="777777"/>
          <w:sz w:val="16"/>
        </w:rPr>
        <w:t xml:space="preserve">p085 · att1 p.8  </w:t>
      </w:r>
      <w:r>
        <w:t>Response to Discussion Questions 11–13 – Clinical confirmation, representativeness, and synthetic data — The level of clinical confirmation should be determined not only by criticality but also by the remaining evidentiary uncertainty after benchmarking and simulation. Prospective evidence becomes particularly important where safety depends materially on human-AI interaction, local workflow, real-time information availability, or where use of the device changes subsequent diagnostic or therapeutic decisions. In contrast, rare safety-critical failure modes may sometimes be characterized more efficiently through enriched challenge testing and simulation than through very large prospective studies.</w:t>
      </w:r>
    </w:p>
    <w:p>
      <w:r>
        <w:rPr>
          <w:color w:val="777777"/>
          <w:sz w:val="16"/>
        </w:rPr>
        <w:t xml:space="preserve">p086 · att1 p.8  </w:t>
      </w:r>
      <w:r>
        <w:t>For retrospective evaluation in particular, temporal fidelity should be included as another important topic. The information provided to the device during testing should reconstruct the information state that would actually have been available at the intended clinical decision point. Later or additional investigations, diagnoses, treatment decisions, or outcome information may appropriately contribute to establishing the reference standard, but should not inadvertently be made available to the device being evaluated. Without this separation, retrospective testing may substantially overestimate performance. A related issue can arise during model development when training data contain proxy variables or information that would not be available at the intended decision point. In such cases, models may exploit shortcuts that link this additional information to the outcome. This can compromise the intended temporal and causal structure of the clinical decision problem, since model inputs should reflect information that would also be available for new cases.</w:t>
      </w:r>
    </w:p>
    <w:p>
      <w:r>
        <w:rPr>
          <w:color w:val="777777"/>
          <w:sz w:val="16"/>
        </w:rPr>
        <w:t xml:space="preserve">p087 · att1 p.8  </w:t>
      </w:r>
      <w:r>
        <w:t>Representativeness should also be treated as a multidimensional concept. A dataset that accurately reflects realworld prevalence may contain too few rare but high-consequence cases to establish safety with adequate precision. Conversely, a risk-enriched challenge set is intentionally not prevalence-representative. I therefore suggest distinguishing the evidence needed to estimate expected real-world performance from the evidence needed to establish coverage of clinically and risk-relevant situations. Ultimately, the evaluation design should reflect the risks of the GenAI-enabled device as it is applied in the actual clinical setting.</w:t>
      </w:r>
    </w:p>
    <w:p>
      <w:r>
        <w:rPr>
          <w:color w:val="777777"/>
          <w:sz w:val="16"/>
        </w:rPr>
        <w:t xml:space="preserve">p088 · att1 p.8  </w:t>
      </w:r>
      <w:r>
        <w:t>Statistical evaluation should correspondingly include overall performance together with prespecified subgroup, scenario, and failure-mode-specific analyses where these are relevant to safety. Sample-size requirements should be driven by the precision required for the relevant risk-based performance claims rather than by a uniform minimum number of test cases. Again, the required precision should be related to the risks in the actual clinical setting.</w:t>
      </w:r>
    </w:p>
    <w:p>
      <w:r>
        <w:rPr>
          <w:color w:val="777777"/>
          <w:sz w:val="16"/>
        </w:rPr>
        <w:t xml:space="preserve">p089 · att1 p.8  </w:t>
      </w:r>
      <w:r>
        <w:t>Synthetic data can be particularly valuable for rare conditions, counterfactual testing (what-if-scenarios), controlled variation of patient or environmental characteristics, and generation of difficult conversational trajectories. They should generally augment rather than replace real data, particularly where clinical data are limited. Additionally, their regulatory role should be explicit. Synthetic data used for stress testing or coverage expansion need not reproduce actual prevalences or risk profiles exactly. Instead, synthetic data used to estimate real-world performance require substantially stronger evidence of such types of representativeness. Results from these different purposes should generally not be pooled into a single overall performance estimate. Independence of the generator, clinical plausibility, and the risk that synthetic data reproduce the same biases as the device under evaluation should also be considered. The Discussion Paper already identified the latter concern in Question 13.</w:t>
      </w:r>
    </w:p>
    <w:p>
      <w:r>
        <w:rPr>
          <w:color w:val="777777"/>
          <w:sz w:val="16"/>
        </w:rPr>
        <w:t xml:space="preserve">p090 · att1 p.9  </w:t>
      </w:r>
      <w:r>
        <w:t>For devices whose safety materially depends on deployment-specific conditions, e.g., user expertise, local clinical pathways, availability of downstream safeguards, or technical integration, a proportionate form of local deployment qualification could be appropriate. This need not imply full revalidation at every institution. But the greater the regulatory reliance on local conditions, the stronger the evidence should be that those conditions actually exist and function as assumed.</w:t>
      </w:r>
    </w:p>
    <w:p>
      <w:r>
        <w:rPr>
          <w:color w:val="777777"/>
          <w:sz w:val="16"/>
        </w:rPr>
        <w:t xml:space="preserve">p091 · att1 p.9  </w:t>
      </w:r>
      <w:r>
        <w:t>Response to Discussion Questions 14–15 – Reference standards and clinically relevant comparators — Regarding performance comparators, I suggest more clearly separating the role of the reference standard from the role of the clinical comparator. Where a clinical comparator is used, it should reflect a relevant alternative to the device rather than being conflated with the reference standard. According to standard rules for medical devices, the GenAI device needs to be compared to the performance of the established standard-of-care to gain market access. This means, that it needs to be assessed how the GenAI system performs in relation to the standard-of-care when comparing both outcomes to an idealized reference standard or ground truth. The reference standard itself should establish, as reliably and accurately as possible, what diagnosis, assessment, or course of action is correct or clinically appropriate for the particular test case.</w:t>
      </w:r>
    </w:p>
    <w:p>
      <w:r>
        <w:rPr>
          <w:color w:val="777777"/>
          <w:sz w:val="16"/>
        </w:rPr>
        <w:t xml:space="preserve">p092 · att1 p.9  </w:t>
      </w:r>
      <w:r>
        <w:t>Instead, the comparator, i.e. standard-of-care, should represent the care that would realistically occur in the absence of the device, including the intended user group and clinical environment. The Discussion Paper already raises this possibility in Question 15, including unaided clinical judgment, delayed specialist review, or no intervention. Accordingly, the experts establishing the reference standard need not be the clinicians against whom the device is compared. For a device intended to support generalist physicians, for example, specialist adjudication may establish the reference standard while representative generalist physicians provide the clinically relevant comparator. Similarly, for patient-facing home-use devices, representative patients or lay users may be the relevant user comparator, while the reference standard may still rely on specialist adjudication or another high-quality clinical reference.</w:t>
      </w:r>
    </w:p>
    <w:p>
      <w:r>
        <w:rPr>
          <w:color w:val="777777"/>
          <w:sz w:val="16"/>
        </w:rPr>
        <w:t xml:space="preserve">p093 · att1 p.9  </w:t>
      </w:r>
      <w:r>
        <w:t>This approach shifts the focus from an absolute comparison of GenAI with an expert, who may not represent the intended user, toward a relative assessment in which the GenAI-enabled device and the intended user group are compared by reference to the same reference standard. Based on this, the demonstration of non-inferiority to the comparator as a relative criterion gets the main objective instead of determining an absolute level of deviation between the GenAI and the reference standard.</w:t>
      </w:r>
    </w:p>
    <w:p>
      <w:r>
        <w:rPr>
          <w:color w:val="777777"/>
          <w:sz w:val="16"/>
        </w:rPr>
        <w:t xml:space="preserve">p094 · att1 p.9  </w:t>
      </w:r>
      <w:r>
        <w:t>The evaluation should also generally focus on the combined human-AI system rather than comparing the standalone GenAI-enabled device with the intended user. More generally, the following clinical comparison may be appropriate:</w:t>
      </w:r>
    </w:p>
    <w:p>
      <w:r>
        <w:rPr>
          <w:color w:val="777777"/>
          <w:sz w:val="16"/>
        </w:rPr>
        <w:t xml:space="preserve">p095 · att1 p.9  </w:t>
      </w:r>
      <w:r>
        <w:t>• intended user + standard of care + GenAI device versus — • intended user + standard of care without the GenAI device, with both evaluated against the same independent reference standard. This provides a more direct assessment of whether the device improves or at least preserves decision quality within its intended context of use than a simple comparison of stand-alone GenAI output with expert opinion. Relative non-inferiority or superiority approaches may help avoid arbitrary absolute performance thresholds, although critical safety outcomes should still be subject to absolute risk-based acceptance criteria.</w:t>
      </w:r>
    </w:p>
    <w:p>
      <w:r>
        <w:rPr>
          <w:color w:val="777777"/>
          <w:sz w:val="16"/>
        </w:rPr>
        <w:t xml:space="preserve">p096 · att1 p.10  </w:t>
      </w:r>
      <w:r>
        <w:t>This approach also creates a clearer distinction between the information used to establish the reference standard and the information available to the evaluated users or device. While subsequent diagnostic findings or follow-up may strengthen the reference standard, the investigational and comparator conditions should only have access to information that would realistically have been available at the relevant decision point.</w:t>
      </w:r>
    </w:p>
    <w:p>
      <w:r>
        <w:rPr>
          <w:color w:val="777777"/>
          <w:sz w:val="16"/>
        </w:rPr>
        <w:t xml:space="preserve">p097 · att1 p.10  </w:t>
      </w:r>
      <w:r>
        <w:t>Overall conclusion for Section V — In summary, I support the proposed combination of competency-based benchmarking and clinical confirmation, but suggest strengthening the framework, in particular, in the following areas.</w:t>
      </w:r>
    </w:p>
    <w:p>
      <w:r>
        <w:rPr>
          <w:color w:val="777777"/>
          <w:sz w:val="16"/>
        </w:rPr>
        <w:t xml:space="preserve">p098 · att1 p.10  </w:t>
      </w:r>
      <w:r>
        <w:t>• better discriminate between evaluating errors in the output of the GenAI device and consequences that result from these errors;</w:t>
      </w:r>
    </w:p>
    <w:p>
      <w:r>
        <w:rPr>
          <w:color w:val="777777"/>
          <w:sz w:val="16"/>
        </w:rPr>
        <w:t xml:space="preserve">p099 · att1 p.10  </w:t>
      </w:r>
      <w:r>
        <w:t>• more explicitly link evidence intensity to criticality while using Product-Specific Risk Management to determine the specific content of evaluation;</w:t>
      </w:r>
    </w:p>
    <w:p>
      <w:r>
        <w:rPr>
          <w:color w:val="777777"/>
          <w:sz w:val="16"/>
        </w:rPr>
        <w:t xml:space="preserve">p100 · att1 p.10  </w:t>
      </w:r>
      <w:r>
        <w:t>• expand benchmarking from predominantly dataset-based assessment toward dynamic, risk-based evaluation suites;</w:t>
      </w:r>
    </w:p>
    <w:p>
      <w:r>
        <w:rPr>
          <w:color w:val="777777"/>
          <w:sz w:val="16"/>
        </w:rPr>
        <w:t xml:space="preserve">p101 · att1 p.10  </w:t>
      </w:r>
      <w:r>
        <w:t>• establish the use of an independent reference standard where the GenAI device can be compared to the established standard of care in a relative way;</w:t>
      </w:r>
    </w:p>
    <w:p>
      <w:r>
        <w:rPr>
          <w:color w:val="777777"/>
          <w:sz w:val="16"/>
        </w:rPr>
        <w:t xml:space="preserve">p102 · att1 p.10  </w:t>
      </w:r>
      <w:r>
        <w:t>• distinguish intrinsic device performance from performance of the device within the intended human and clinical system;</w:t>
      </w:r>
    </w:p>
    <w:p>
      <w:r>
        <w:rPr>
          <w:color w:val="777777"/>
          <w:sz w:val="16"/>
        </w:rPr>
        <w:t xml:space="preserve">p103 · att1 p.10  </w:t>
      </w:r>
      <w:r>
        <w:t>• treat evaluation as a lifecycle process in which critical assumptions, safeguards, and the authorized operating envelope can be progressively confirmed, expanded, and periodically reassessed.</w:t>
      </w:r>
    </w:p>
    <w:p>
      <w:r>
        <w:rPr>
          <w:color w:val="777777"/>
          <w:sz w:val="16"/>
        </w:rPr>
        <w:t xml:space="preserve">p104 · att1 p.10  </w:t>
      </w:r>
      <w:r>
        <w:t>Such an approach would preserve the scalability sought by a competency-based framework while providing a clearer link between device competence, risk-control effectiveness, clinical decision quality, and ultimately reasonable assurance of safety and effectiveness.</w:t>
      </w:r>
    </w:p>
    <w:p>
      <w:r>
        <w:rPr>
          <w:color w:val="777777"/>
          <w:sz w:val="16"/>
        </w:rPr>
        <w:t xml:space="preserve">p105 · att1 p.10  </w:t>
      </w:r>
      <w:r>
        <w:t>Section VI – Postmarket Monitoring for GenAI-Enabled Devices — General Considerations for Section VI</w:t>
      </w:r>
    </w:p>
    <w:p>
      <w:r>
        <w:rPr>
          <w:color w:val="777777"/>
          <w:sz w:val="16"/>
        </w:rPr>
        <w:t xml:space="preserve">p106 · att1 p.10  </w:t>
      </w:r>
      <w:r>
        <w:t>I generally support the Discussion Paper's view that robust postmarket monitoring will be particularly important for GenAI-enabled devices. Their open-ended outputs, potential non-determinism, dependence on evolving foundation models and deployment environments, and capacity for post-deployment modification make it difficult for premarket evaluation alone to provide a complete and durable characterization of safety and effectiveness. The Discussion Paper appropriately recognizes both the limitations of premarket testing and the potential role of periodic re-benchmarking, clinician review, and performance degradation monitoring.</w:t>
      </w:r>
    </w:p>
    <w:p>
      <w:r>
        <w:rPr>
          <w:color w:val="777777"/>
          <w:sz w:val="16"/>
        </w:rPr>
        <w:t xml:space="preserve">p107 · att1 p.10  </w:t>
      </w:r>
      <w:r>
        <w:t>From my perspective, postmarket monitoring should serve two complementary purposes. First, it should continuously assess the product-specific safety, performance, and benefit-risk profile. Second, it should verify that the assumptions and safeguards underlying the device's Criticality Stratification remain valid in real-world use. This reflects the purpose of Criticality Stratification described in the responses to the previous Discussion Questions. For example, where the acceptability of a device depends on effective human oversight, restricted scope of use, escalation mechanisms, or other downstream safeguards, postmarket monitoring should assess whether these safeguards remain effective in practice rather than merely whether the GenAI-enabled device continues to meet technical performance thresholds.</w:t>
      </w:r>
    </w:p>
    <w:p>
      <w:r>
        <w:rPr>
          <w:color w:val="777777"/>
          <w:sz w:val="16"/>
        </w:rPr>
        <w:t xml:space="preserve">p108 · att1 p.10  </w:t>
      </w:r>
      <w:r>
        <w:t>Postmarket evaluation should also extend beyond isolated model performance. Static benchmarking may identify errors in outputs but often does not capture user interaction, workflow effects, automation bias, human-AI team performance, or downstream clinical consequences. Depending on device criticality, postmarket evaluation should therefore progressively include dynamic interaction-based assessment, real-world use data, and clinically meaningful outcomes. This is consistent with recognition that benchmarking alone may not fully establish performance in real clinical use and that clinical confirmation may need to consider workflows, users, populations, and downstream outcomes – as addressed in the Discussion Paper.</w:t>
      </w:r>
    </w:p>
    <w:p>
      <w:r>
        <w:rPr>
          <w:color w:val="777777"/>
          <w:sz w:val="16"/>
        </w:rPr>
        <w:t xml:space="preserve">p109 · att1 p.11  </w:t>
      </w:r>
      <w:r>
        <w:t>An additional challenge is that both the device and its environment may evolve. GenAI-enabled devices may change through underlying data, model updates, guardrails, orchestration logic, or other components, while healthcare delivery, clinical guidelines, workflows, user competencies, and patient behavior may simultaneously change. This creates a form of co-evolution between the device and its clinical environment. Consequently, postmarket monitoring should periodically reassess not only the device, but also whether the benchmarks, reference standards, clinical assumptions, and deployment conditions underlying the original evaluation remain valid. In particular, this is important due to the rapid pace of AI technology development and the corresponding evolution of healthcare organizations.</w:t>
      </w:r>
    </w:p>
    <w:p>
      <w:r>
        <w:rPr>
          <w:color w:val="777777"/>
          <w:sz w:val="16"/>
        </w:rPr>
        <w:t xml:space="preserve">p110 · att1 p.11  </w:t>
      </w:r>
      <w:r>
        <w:t>Finally, postmarket monitoring should be linked to predefined actions. Monitoring is only effective where relevant changes can be detected sufficiently early and where the rate of system change remains compatible with the time required to understand and mitigate emerging risks. A monitoring strategy should therefore include defined metrics, thresholds, triggers, escalation pathways, and, where appropriate, rollback, restriction of use, increased human supervision, or renewed clinical confirmation. One challenge is ensuring that governance and monitoring feedback loops operate on a timescale commensurate with system change. Otherwise, detection and mitigation may lag behind changing conditions, and system behavior may evolve faster than it can be adequately assessed and controlled.</w:t>
      </w:r>
    </w:p>
    <w:p>
      <w:r>
        <w:rPr>
          <w:color w:val="777777"/>
          <w:sz w:val="16"/>
        </w:rPr>
        <w:t xml:space="preserve">p111 · att1 p.11  </w:t>
      </w:r>
      <w:r>
        <w:t>Discussion Question 18 – Premarket vs. Postmarket Activities — In principle, increased reliance on postmarket monitoring can be appropriate, but it should not create a general trade-off whereby stronger postmarket monitoring automatically permits less premarket evidence. The Discussion Paper specifically frames this question in terms of uncertainty regarding the device's benefit-risk profile, which ultimately remains a product-specific determination.</w:t>
      </w:r>
    </w:p>
    <w:p>
      <w:r>
        <w:rPr>
          <w:color w:val="777777"/>
          <w:sz w:val="16"/>
        </w:rPr>
        <w:t xml:space="preserve">p112 · att1 p.11  </w:t>
      </w:r>
      <w:r>
        <w:t>The acceptable degree of premarket uncertainty should primarily depend on the device's criticality (as introduced in the feedback to Sections IV and V) and on whether emerging risks can be detected and controlled before clinically significant harm occurs. Relevant considerations include:</w:t>
      </w:r>
    </w:p>
    <w:p>
      <w:r>
        <w:rPr>
          <w:color w:val="777777"/>
          <w:sz w:val="16"/>
        </w:rPr>
        <w:t xml:space="preserve">p113 · att1 p.11  </w:t>
      </w:r>
      <w:r>
        <w:t>• severity and reversibility of potential harm;</w:t>
      </w:r>
    </w:p>
    <w:p>
      <w:r>
        <w:rPr>
          <w:color w:val="777777"/>
          <w:sz w:val="16"/>
        </w:rPr>
        <w:t xml:space="preserve">p114 · att1 p.11  </w:t>
      </w:r>
      <w:r>
        <w:t>• detectability and latency of emerging failures;</w:t>
      </w:r>
    </w:p>
    <w:p>
      <w:r>
        <w:rPr>
          <w:color w:val="777777"/>
          <w:sz w:val="16"/>
        </w:rPr>
        <w:t xml:space="preserve">p115 · att1 p.11  </w:t>
      </w:r>
      <w:r>
        <w:t>• degree of autonomy and effectiveness of human or technical safeguards;</w:t>
      </w:r>
    </w:p>
    <w:p>
      <w:r>
        <w:rPr>
          <w:color w:val="777777"/>
          <w:sz w:val="16"/>
        </w:rPr>
        <w:t xml:space="preserve">p116 · att1 p.11  </w:t>
      </w:r>
      <w:r>
        <w:t>• number and rate of patients exposed;</w:t>
      </w:r>
    </w:p>
    <w:p>
      <w:r>
        <w:rPr>
          <w:color w:val="777777"/>
          <w:sz w:val="16"/>
        </w:rPr>
        <w:t xml:space="preserve">p117 · att1 p.11  </w:t>
      </w:r>
      <w:r>
        <w:t>• ability to restrict use, suspend operation, or rapidly roll back changes; and</w:t>
      </w:r>
    </w:p>
    <w:p>
      <w:r>
        <w:rPr>
          <w:color w:val="777777"/>
          <w:sz w:val="16"/>
        </w:rPr>
        <w:t xml:space="preserve">p118 · att1 p.11  </w:t>
      </w:r>
      <w:r>
        <w:t>• stability of the underlying model and deployment environment.</w:t>
      </w:r>
    </w:p>
    <w:p>
      <w:r>
        <w:rPr>
          <w:color w:val="777777"/>
          <w:sz w:val="16"/>
        </w:rPr>
        <w:t xml:space="preserve">p119 · att1 p.11  </w:t>
      </w:r>
      <w:r>
        <w:t>Higher-criticality devices should generally require greater premarket assurance and more intensive postmarket monitoring. Increased postmarket monitoring should be able to compensate for premarket uncertainty only where the residual uncertainty is sufficiently observable, reversible, and controllable.</w:t>
      </w:r>
    </w:p>
    <w:p>
      <w:r>
        <w:rPr>
          <w:color w:val="777777"/>
          <w:sz w:val="16"/>
        </w:rPr>
        <w:t xml:space="preserve">p120 · att1 p.11  </w:t>
      </w:r>
      <w:r>
        <w:t>Postmarket monitoring should additionally verify continued compliance with the assumptions used in the Criticality Stratification, including the actual effectiveness of human oversight, scope limitations, escalation procedures, and other safeguards.</w:t>
      </w:r>
    </w:p>
    <w:p>
      <w:r>
        <w:rPr>
          <w:color w:val="777777"/>
          <w:sz w:val="16"/>
        </w:rPr>
        <w:t xml:space="preserve">p121 · att1 p.11  </w:t>
      </w:r>
      <w:r>
        <w:t>Discussion Question 19 – Triggers for Postmarket Reassessment — I support periodic re-benchmarking, clinician review, and degradation monitoring, but consider them complementary rather than interchangeable approaches. Re-benchmarking alone should not be equated with postmarket clinical performance evaluation. Static benchmarks may detect changes in model performance but may fail to capture user-device interaction and the clinical consequences of device outputs. Depending on criticality, postmarket monitoring should therefore also evaluate aspects such as human-AI team performance, workflow effects, near misses, overrides, escalation behavior, and downstream clinical outcomes.</w:t>
      </w:r>
    </w:p>
    <w:p>
      <w:r>
        <w:rPr>
          <w:color w:val="777777"/>
          <w:sz w:val="16"/>
        </w:rPr>
        <w:t xml:space="preserve">p122 · att1 p.12  </w:t>
      </w:r>
      <w:r>
        <w:t>Dynamic evaluation approaches may be particularly useful for GenAI-enabled devices. These could include multiturn scenarios, evolving clinical information, simulated or real user interactions, and assessment under changing deployment conditions. The Discussion Paper already contemplates benchmarking methodologies that can support ongoing assessment over time and following modifications.</w:t>
      </w:r>
    </w:p>
    <w:p>
      <w:r>
        <w:rPr>
          <w:color w:val="777777"/>
          <w:sz w:val="16"/>
        </w:rPr>
        <w:t xml:space="preserve">p123 · att1 p.12  </w:t>
      </w:r>
      <w:r>
        <w:t>Reassessment should be both periodic and trigger-based. Relevant triggers may include: • predefined time intervals;</w:t>
      </w:r>
    </w:p>
    <w:p>
      <w:r>
        <w:rPr>
          <w:color w:val="777777"/>
          <w:sz w:val="16"/>
        </w:rPr>
        <w:t xml:space="preserve">p124 · att1 p.12  </w:t>
      </w:r>
      <w:r>
        <w:t>• adverse events, complaints, near misses, or deterioration of risk- or performance-related metrics;</w:t>
      </w:r>
    </w:p>
    <w:p>
      <w:r>
        <w:rPr>
          <w:color w:val="777777"/>
          <w:sz w:val="16"/>
        </w:rPr>
        <w:t xml:space="preserve">p125 · att1 p.12  </w:t>
      </w:r>
      <w:r>
        <w:t>• changes in input distributions, interaction patterns, subgroup performance, or other logging-based signals;</w:t>
      </w:r>
    </w:p>
    <w:p>
      <w:r>
        <w:rPr>
          <w:color w:val="777777"/>
          <w:sz w:val="16"/>
        </w:rPr>
        <w:t xml:space="preserve">p126 · att1 p.12  </w:t>
      </w:r>
      <w:r>
        <w:t>• indications that assumptions or safeguards underlying the Criticality Stratification are no longer valid;</w:t>
      </w:r>
    </w:p>
    <w:p>
      <w:r>
        <w:rPr>
          <w:color w:val="777777"/>
          <w:sz w:val="16"/>
        </w:rPr>
        <w:t xml:space="preserve">p127 · att1 p.12  </w:t>
      </w:r>
      <w:r>
        <w:t>• changes in clinical workflows, user populations, guidelines, standards of care, or other deploymentenvironment parameters;</w:t>
      </w:r>
    </w:p>
    <w:p>
      <w:r>
        <w:rPr>
          <w:color w:val="777777"/>
          <w:sz w:val="16"/>
        </w:rPr>
        <w:t xml:space="preserve">p128 · att1 p.12  </w:t>
      </w:r>
      <w:r>
        <w:t>• changes to foundation models or other components; and — • major technological advances or unexpected disagreement patterns between the device, clinicians, and supervisory systems.</w:t>
      </w:r>
    </w:p>
    <w:p>
      <w:r>
        <w:rPr>
          <w:color w:val="777777"/>
          <w:sz w:val="16"/>
        </w:rPr>
        <w:t xml:space="preserve">p129 · att1 p.12  </w:t>
      </w:r>
      <w:r>
        <w:t>Postmarket monitoring should address multiple forms of drift, including data drift, model/component drift, concept or clinical drift, workflow/use drift, and oversight drift. Importantly, reassessment should also determine whether the benchmark itself remains representative and clinically valid rather than merely whether the device continues to pass an unchanged benchmark.</w:t>
      </w:r>
    </w:p>
    <w:p>
      <w:r>
        <w:rPr>
          <w:color w:val="777777"/>
          <w:sz w:val="16"/>
        </w:rPr>
        <w:t xml:space="preserve">p130 · att1 p.12  </w:t>
      </w:r>
      <w:r>
        <w:t>Discussion Question 20 – Machine-Based Supervisory Agents — Machine-based supervisory agents could improve the scalability and responsiveness of postmarket monitoring and may be particularly useful for continuous or dynamic evaluation. However, any supervisory agent performing a safety-relevant monitoring function should itself be subject to fit-for-purpose validation and ongoing surveillance. The Discussion Paper appropriately identifies evaluation and reliability of the supervisory agent as a core consideration.</w:t>
      </w:r>
    </w:p>
    <w:p>
      <w:r>
        <w:rPr>
          <w:color w:val="777777"/>
          <w:sz w:val="16"/>
        </w:rPr>
        <w:t xml:space="preserve">p131 · att1 p.12  </w:t>
      </w:r>
      <w:r>
        <w:t>Relevant considerations for the use of machine-based supervisory agents may include sensitivity to relevant failure modes, robustness, reproducibility, and susceptibility to specific failure modes. They could also be used to detect relevant patterns in user behavior, identify potentially false assumptions, and analyze human-machine interaction as well as interactions between the AI system and its environment. Particular caution may be warranted where the device and supervisor rely on the same or closely related foundation models, training sources, or technical architectures.</w:t>
      </w:r>
    </w:p>
    <w:p>
      <w:r>
        <w:rPr>
          <w:color w:val="777777"/>
          <w:sz w:val="16"/>
        </w:rPr>
        <w:t xml:space="preserve">p132 · att1 p.12  </w:t>
      </w:r>
      <w:r>
        <w:t>Machine-based supervision should generally form one layer of a broader monitoring system rather than becoming a fully closed automated control loop. Periodic qualified human review should remain part of the monitoring architecture, particularly for higher-criticality devices and for detecting novel or unanticipated failure modes that an automated supervisor was not designed to identify.</w:t>
      </w:r>
    </w:p>
    <w:p>
      <w:r>
        <w:rPr>
          <w:color w:val="777777"/>
          <w:sz w:val="16"/>
        </w:rPr>
        <w:t xml:space="preserve">p133 · att1 p.12  </w:t>
      </w:r>
      <w:r>
        <w:t>Discussion Question 21 – Roles and Stakeholders — I agree that clinicians, healthcare institutions, professional societies, standards organizations, and other stakeholders may provide important information for postmarket monitoring, particularly regarding real-world workflows, emerging clinical practice, user behavior, and clinical outcomes. However, distributed data collection should not result in distributed accountability. The manufacturer should remain responsible for defining the monitoring strategy, integrating relevant information from the ecosystem, and implementing necessary corrective or preventive actions.</w:t>
      </w:r>
    </w:p>
    <w:p>
      <w:r>
        <w:rPr>
          <w:color w:val="777777"/>
          <w:sz w:val="16"/>
        </w:rPr>
        <w:t xml:space="preserve">p134 · att1 p.13  </w:t>
      </w:r>
      <w:r>
        <w:t>Healthcare institutions may have an especially important role in identifying changes in the deployment environment, including workflow modifications, local protocols, user qualifications, and changes in the extent or effectiveness of human oversight. The associated interfaces and responsibilities should be clearly defined, including through appropriate agreements where applicable. Professional societies may contribute to identifying changes in clinical standards, guidelines, and appropriate reference standards. For higher-criticality applications, structured mechanisms for information exchange between manufacturers and deploying institutions may therefore be appropriate.</w:t>
      </w:r>
    </w:p>
    <w:p>
      <w:r>
        <w:rPr>
          <w:color w:val="777777"/>
          <w:sz w:val="16"/>
        </w:rPr>
        <w:t xml:space="preserve">p135 · att1 p.13  </w:t>
      </w:r>
      <w:r>
        <w:t>Discussion Question 22 – Extent of Postmarket Monitoring Activities — In principle, the premarket competency-based assessment can serve as a baseline for evaluating post-deployment modifications, as proposed by the Discussion Paper. However, the scope of reassessment should depend not merely on the technical magnitude of a change, but on its potential impact on competencies, criticality, safeguards, clinical performance, and the validity of the original evaluation assumptions. A seemingly small technical modification may warrant substantial reassessment if it affects a safety-critical competency, humanoversight mechanism, boundary behavior, or clinical decision pathway. Conversely, some changes may reasonably remain within the quality management system if their potential impact is well characterized and bounded. Reassessment should also consider cumulative change. Multiple individually minor modifications may collectively produce a substantially different device or deployment configuration.</w:t>
      </w:r>
    </w:p>
    <w:p>
      <w:r>
        <w:rPr>
          <w:color w:val="777777"/>
          <w:sz w:val="16"/>
        </w:rPr>
        <w:t xml:space="preserve">p136 · att1 p.13  </w:t>
      </w:r>
      <w:r>
        <w:t>Where relevant, post-change evaluation should preserve temporal fidelity: clinical cases should be evaluated using only information that would have been available at the relevant decision point, while later information may appropriately contribute to establishing the reference standard. In particular, this is important when retrospectively assessing data from clinical cases.</w:t>
      </w:r>
    </w:p>
    <w:p>
      <w:r>
        <w:rPr>
          <w:color w:val="777777"/>
          <w:sz w:val="16"/>
        </w:rPr>
        <w:t xml:space="preserve">p137 · att1 p.13  </w:t>
      </w:r>
      <w:r>
        <w:t>Discussion Question 23 – PCCP Concepts and their Use for Postmarket Monitoring — PCCPs are an important approach for AI-enabled devices and it is reasonable to extend this concept to GenAI- enabled systems. However, it should be recognized that the exact nature of all future modifications may not be fully predictable. For GenAI, PCCPs may therefore need to rely more heavily on procedural and boundary-based prespecification rather than exhaustive technical prespecification of every future modification. For example, this applies to the assumptions about application environment, user interaction, or safeguards, as defined during Criticality Assessment or addressed during Product-Specific Risk Management.</w:t>
      </w:r>
    </w:p>
    <w:p>
      <w:r>
        <w:rPr>
          <w:color w:val="777777"/>
          <w:sz w:val="16"/>
        </w:rPr>
        <w:t xml:space="preserve">p138 · att1 p.13  </w:t>
      </w:r>
      <w:r>
        <w:t>The competency-based approach could provide a useful but extended structure for such PCCPs. In comparison to currently pursued PCCP approaches, the stages from restricted or closely supervised use toward greater operational independence may be integrated into this approach. Progression between these stages should occur only when predefined competency and real-world performance criteria have been met. Conversely, emerging postmarket signals may lead to a downgrading, such as reducing scope or autonomy or increasing required human supervision.</w:t>
      </w:r>
    </w:p>
    <w:p>
      <w:r>
        <w:rPr>
          <w:color w:val="777777"/>
          <w:sz w:val="16"/>
        </w:rPr>
        <w:t xml:space="preserve">p139 · att1 p.13  </w:t>
      </w:r>
      <w:r>
        <w:t>PCCPs should also account for changes in the environment and the continued validity of the evaluation framework. A device may remain technically unchanged while new clinical guidelines, workflows, user competencies, or other environmental factors invalidate assumptions underlying its prior assessment.</w:t>
      </w:r>
    </w:p>
    <w:p>
      <w:r>
        <w:rPr>
          <w:color w:val="777777"/>
          <w:sz w:val="16"/>
        </w:rPr>
        <w:t xml:space="preserve">p140 · att1 p.13  </w:t>
      </w:r>
      <w:r>
        <w:t>Discussion Question 24 – Changes of Third-Party Foundation Models — Third-party foundation models present a particularly significant challenge because safety-relevant changes may occur outside the direct control of the device manufacturer. An assessment of changes in the underlying foundation models should be included explicitly in the postmarket monitoring strategy. This may include specific benchmarking tests to assess the impact of changes in the foundation model on resulting clinical performance. Additionally, these steps should address effects on the interaction between the GenAI-enabled device and users as well as the deployment environment. This should be aligned with the competency-based approach already discussed. Major changes in foundation models or other components may necessitate a downgrading of the currently assumed competency level. The GenAI-enabled device may need to return to a stage with greater supervision. This would amount to a requalification period in a more controlled environment. A more independent use of the GenAI system can be re-established when defined evidence gates are successfully passed.</w:t>
      </w:r>
    </w:p>
    <w:p>
      <w:r>
        <w:rPr>
          <w:color w:val="777777"/>
          <w:sz w:val="16"/>
        </w:rPr>
        <w:t xml:space="preserve">p141 · att1 p.14  </w:t>
      </w:r>
      <w:r>
        <w:t>An additional requirement should be case-level reconstructability. For meaningful investigation of complaints, adverse events, or performance signals, the manufacturer should be able to reconstruct, to the extent technically feasible, the relevant device configuration at the time of use. This may include the foundation-model version, prompts, guardrails, retrieval sources or knowledge-base version, tools, orchestration logic, relevant runtime parameters, and applicable clinical-environment information. Exact reproduction of every stochastic output may not always be feasible. Nevertheless, the historical system configuration should remain sufficiently traceable to permit reliable investigation and reassessment of safety-critical behavior.</w:t>
      </w:r>
    </w:p>
    <w:p>
      <w:r>
        <w:rPr>
          <w:color w:val="777777"/>
          <w:sz w:val="16"/>
        </w:rPr>
        <w:t xml:space="preserve">p142 · att1 p.14  </w:t>
      </w:r>
      <w:r>
        <w:t>Concluding remarks to Section VI — Overall, postmarket monitoring for GenAI-enabled devices should be understood as an active lifecycle control system rather than a periodic performance check. Its purpose should be to maintain assurance of the productspecific benefit-risk profile, verify continued effectiveness of the safeguards underlying the device's criticality, detect changes in both the device and its clinical environment, and trigger proportionate corrective action. Importantly, the rate of permitted technological and operational change should remain compatible with the ability of the monitoring and regulatory system to detect, understand, and control its consequences.</w:t>
      </w:r>
    </w:p>
    <w:p>
      <w:r>
        <w:rPr>
          <w:color w:val="777777"/>
          <w:sz w:val="16"/>
        </w:rPr>
        <w:t xml:space="preserve">p143 · att1 p.14  </w:t>
      </w:r>
      <w:r>
        <w:t>Section VII – Other Topics — Discussion Question 26 – Agentic AI — Agentic GenAI-enabled devices introduce additional system-level risks that go beyond those associated with individual GenAI-enabled functions. In particular, their ability to autonomously plan and execute multi-step tasks, interact with external tools, and take actions across multiple system components can make both the attribution and control of safety-critical failures substantially more difficult. This is especially relevant when different components are developed, maintained, or controlled by different manufacturers or organizations. In such cases, technical and operational responsibilities as well as accountability may be distributed across different components and providers. Risk contributions may arise across components and interfaces and therefore need to be assessed and managed at the level of the overall system, including through Product-Specific Risk Management and Criticality Stratification.</w:t>
      </w:r>
    </w:p>
    <w:p>
      <w:r>
        <w:rPr>
          <w:color w:val="777777"/>
          <w:sz w:val="16"/>
        </w:rPr>
        <w:t xml:space="preserve">p144 · att1 p.14  </w:t>
      </w:r>
      <w:r>
        <w:t>Existing medical device regulatory frameworks rely on an identifiable manufacturer or sponsor being responsible for the safety and effectiveness of the device. In agentic architectures, however, the technical cause of a failure, operational control over the relevant component, and regulatory responsibility may become separated across the device manufacturers, foundation model providers, agent or orchestration providers, and healthcare institutions. Nevertheless, accountability should not simply be diffused across the ecosystem. Rather, there should be a clearly defined responsibility for the safety and effectiveness of the end-to-end system, supported by appropriate contractual, technical, and quality-management arrangements among the parties involved. This would be consistent with broader consideration of stakeholder involvement without diffusing manufacturer accountability, as addressed in the Discussion Paper.</w:t>
      </w:r>
    </w:p>
    <w:p>
      <w:r>
        <w:rPr>
          <w:color w:val="777777"/>
          <w:sz w:val="16"/>
        </w:rPr>
        <w:t xml:space="preserve">p145 · att1 p.14  </w:t>
      </w:r>
      <w:r>
        <w:t>A second consideration is failure propagation within multi-step workflows. An erroneous output in one step may become the input to subsequent steps, trigger additional tool calls, or result in actions that further amplify the original error. Premarket evaluation should therefore not only assess individual agents, models, or tools, but also representative end-to-end workflows, including safety-critical interaction pathways, foreseeable failure combinations, recovery behavior, and escalation to human oversight. This is particularly important for irreversible or high-consequence actions.</w:t>
      </w:r>
    </w:p>
    <w:p>
      <w:r>
        <w:rPr>
          <w:color w:val="777777"/>
          <w:sz w:val="16"/>
        </w:rPr>
        <w:t xml:space="preserve">p146 · att1 p.14  </w:t>
      </w:r>
      <w:r>
        <w:t>Accordingly, testing should address system-level behavior rather than primarily focusing on individual components. Such testing will, however, be particularly challenging because agentic systems may dynamically select tools, alter task sequences, and operate across a large number of possible system states. Comprehensive testing of all combinations is unlikely to be feasible. Evaluation should therefore focus on risk-based coverage of safety-relevant configurations and representative interaction trajectories, complemented by postmarket monitoring capable of identifying previously unobserved failure patterns. The emphasis on the final user-facing device in its intended deployment configuration, rather than isolated subcomponents, is particularly important for agentic systems. Responsibilities for integration testing should be clearly allocated. Component providers may supply evidence for their components, but the party responsible for the final user-facing device should ensure that end-to-end evidence is sufficient. Deploying healthcare organizations may need to address site-specific integration and workflow conditions. Where applicable, a dedicated system integrator may take responsibilities for key aspects of the integration tests.</w:t>
      </w:r>
    </w:p>
    <w:p>
      <w:r>
        <w:rPr>
          <w:color w:val="777777"/>
          <w:sz w:val="16"/>
        </w:rPr>
        <w:t xml:space="preserve">p147 · att1 p.15  </w:t>
      </w:r>
      <w:r>
        <w:t>In addition, agentic systems require interoperability at several levels. Technical interoperability is necessary to ensure reliable exchange of data and commands, but is not sufficient. Semantic interoperability is also critical: participating agents and tools need to interpret clinical concepts, units, timestamps, uncertainty, patient context, and workflow states consistently. Finally, appropriate governance and regulatory alignment are required to define responsibilities for risk management, change control, validation, monitoring, and corrective actions across organizational boundaries. These interoperability challenges already exist in conventional interconnected medical device environments but are likely to become substantially more complex where system composition and behavior can change dynamically.</w:t>
      </w:r>
    </w:p>
    <w:p>
      <w:r>
        <w:rPr>
          <w:color w:val="777777"/>
          <w:sz w:val="16"/>
        </w:rPr>
        <w:t xml:space="preserve">p148 · att1 p.15  </w:t>
      </w:r>
      <w:r>
        <w:t>Finally, the reduced opportunity for direct human review should be reflected in progressively stricter acceptance criteria as autonomy and potential severity of harm increase. Such criteria could include predefined humanoversight checkpoints for high-consequence actions, reliable detection and handling of erroneous or unavailable tools, traceability of relevant decisions and actions, effective containment of failures, and demonstrated ability to revert to a safe state or defer to human control. Postmarket oversight should similarly address not only performance of individual components, but also changes in interaction behavior across the overall agentic system.</w:t>
      </w:r>
    </w:p>
    <w:p>
      <w:r>
        <w:rPr>
          <w:color w:val="777777"/>
          <w:sz w:val="16"/>
        </w:rPr>
        <w:t xml:space="preserve">p149 · att1 p.15  </w:t>
      </w:r>
      <w:r>
        <w:t>Overall, agentic AI should not merely be treated as a more capable form of GenAI. Its autonomous orchestration of multiple decisions, components, conversational pathways, and actions creates additional system-level risks that require end-to-end accountability, pathway-based evaluation, effective interoperability, and riskproportionate controls on autonomy.</w:t>
      </w:r>
    </w:p>
    <w:p>
      <w:r>
        <w:rPr>
          <w:color w:val="777777"/>
          <w:sz w:val="16"/>
        </w:rPr>
        <w:t xml:space="preserve">p150 · att1 p.15  </w:t>
      </w:r>
      <w:r>
        <w:t>Concluding remarks — Taken together, these comments support a risk-proportionate and lifecycle-based regulatory approach that clearly distinguishes the initial regulatory stratification of a device from Product-Specific Risk Management. Criticality should help determine the level of oversight and evidence, while Product-Specific Risk Management and evaluation should establish whether the final user-facing device, in its intended use environment, provides reasonable assurance of safety and effectiveness.</w:t>
      </w:r>
    </w:p>
    <w:p>
      <w:r>
        <w:rPr>
          <w:color w:val="777777"/>
          <w:sz w:val="16"/>
        </w:rPr>
        <w:t xml:space="preserve">p151 · att1 p.15  </w:t>
      </w:r>
      <w:r>
        <w:t>At the same time, the framework should remain sufficiently adaptive to address open-ended behavior, evolving foundation models, human-AI interaction, and agentic functions without treating technological novelty itself as a proxy for risk. The key regulatory objective should be to define and verify the conditions under which a GenAI- enabled device can operate safely, to detect when those conditions no longer hold, and to ensure clear accountability and proportionate corrective action across the total product lifecycle. Such an approach could preserve FDA's least-burdensome objective by concentrating evidence and oversight where they are most relevant to safety and effectiveness.</w:t>
      </w:r>
    </w:p>
    <w:p>
      <w:r>
        <w:rPr>
          <w:color w:val="777777"/>
          <w:sz w:val="16"/>
        </w:rPr>
        <w:t xml:space="preserve">p152 · att1 p.15  </w:t>
      </w:r>
      <w:r>
        <w:t>Thank you again for the opportunity to provide feedback on this important topic. Please feel free to contact me if you have any questions or would like to discuss any of these comments further.</w:t>
      </w:r>
    </w:p>
    <w:p>
      <w:r>
        <w:rPr>
          <w:color w:val="777777"/>
          <w:sz w:val="16"/>
        </w:rPr>
        <w:t xml:space="preserve">p153 · att1 p.16  </w:t>
      </w:r>
      <w:r>
        <w:t>Martin Haimerl email: Martin.Haimerl@hs-furtwangen.de Furtwangen University Scientific Director Innovation and Research Center of Furtwangen University</w:t>
      </w:r>
    </w:p>
    <w:p>
      <w:r>
        <w:rPr>
          <w:color w:val="777777"/>
          <w:sz w:val="16"/>
        </w:rPr>
        <w:t xml:space="preserve">p154 · att1 p.16  </w:t>
      </w:r>
      <w:r>
        <w:t>Disclosure regarding the use of generative AI — Generative AI tools were used as assistive tools in developing, structuring, and editing this submission. The final content was critically reviewed, revised, and approved by the author, who assumes full responsibility for all statements and recommendations contained herein.</w:t>
      </w:r>
    </w:p>
    <w:p>
      <w:pPr>
        <w:pStyle w:val="Heading1"/>
        <w:pageBreakBefore/>
      </w:pPr>
      <w:r>
        <w:t>FDA-2026-N-7874-0053</w:t>
      </w:r>
    </w:p>
    <w:p>
      <w:r>
        <w:t>Comment from Krishna Koka</w:t>
      </w:r>
    </w:p>
    <w:p>
      <w:r>
        <w:rPr>
          <w:color w:val="777777"/>
          <w:sz w:val="18"/>
        </w:rPr>
        <w:t>received 2026-09-01 · attachments: attachment_1.pdf (3 pp)</w:t>
      </w:r>
    </w:p>
    <w:p>
      <w:r>
        <w:rPr>
          <w:color w:val="777777"/>
          <w:sz w:val="16"/>
        </w:rPr>
        <w:t xml:space="preserve">p001 · body  </w:t>
      </w:r>
      <w:r>
        <w:t>See attached files</w:t>
      </w:r>
    </w:p>
    <w:p>
      <w:r>
        <w:rPr>
          <w:color w:val="777777"/>
          <w:sz w:val="16"/>
        </w:rPr>
        <w:t xml:space="preserve">p002 · att1 p.1  </w:t>
      </w:r>
      <w:r>
        <w:t>September 1st, 2026 — Dockets Management Staff (HFA-305)​ Food and Drug Administration​ 5630 Fishers Lane, Rm. 1061​ Rockville, MD 20852​ Submitted electronically via www.regulations.gov</w:t>
      </w:r>
    </w:p>
    <w:p>
      <w:r>
        <w:rPr>
          <w:color w:val="777777"/>
          <w:sz w:val="16"/>
        </w:rPr>
        <w:t xml:space="preserve">p003 · att1 p.1  </w:t>
      </w:r>
      <w:r>
        <w:t>Re: Docket No. FDA-2026-N-7874 — Considerations for the Regulation of Generative AI-Enabled Medical Devices: Discussion Paper and Request for Feedback</w:t>
      </w:r>
    </w:p>
    <w:p>
      <w:r>
        <w:rPr>
          <w:color w:val="777777"/>
          <w:sz w:val="16"/>
        </w:rPr>
        <w:t xml:space="preserve">p004 · att1 p.1  </w:t>
      </w:r>
      <w:r>
        <w:t>Dear Dockets Management Staff: Thank you for the opportunity to comment on the Center for Devices and Radiological Health (CDRH) discussion paper. I am a medical student at New York Medical College with a background in biomedical engineering and prior work in craniofacial device development, including three-dimensionally printed, patient-specific devices for cleft care. I submit this comment in my individual capacity; the views expressed are my own and do not represent my institution.</w:t>
      </w:r>
    </w:p>
    <w:p>
      <w:r>
        <w:rPr>
          <w:color w:val="777777"/>
          <w:sz w:val="16"/>
        </w:rPr>
        <w:t xml:space="preserve">p005 · att1 p.1  </w:t>
      </w:r>
      <w:r>
        <w:t>Summary — This comment concerns a category the discussion paper does not yet name: generative AI (GenAI)-enabled functions whose output is not information but a physical, patient-specific, implantable device manufactured at or near the point of care. Section III of the paper states that it addresses the GenAI-enabled component of a device and not the entire device. For most products, scoping is reasonable. For an implant it sets aside the interface where the risk concentrates: the handoff from generated geometry into build preparation, additive manufacturing, postprocessing, sterilization, and release. My recommendations, in brief, are that CDRH (1) add physical output and reversibility as an explicit dimension of the risk framework; (2) treat the validated production system, not the design function alone, as the unit of evaluation for these products; (3) couple change control across the digital-physical boundary; (4) structure clinical approval and manufacturing release as separate, mutually necessary gates; and (5) specify a proportionate manufacturing record that makes later investigation possible.</w:t>
      </w:r>
    </w:p>
    <w:p>
      <w:r>
        <w:rPr>
          <w:color w:val="777777"/>
          <w:sz w:val="16"/>
        </w:rPr>
        <w:t xml:space="preserve">p006 · att1 p.1  </w:t>
      </w:r>
      <w:r>
        <w:t>Why this category warrants attention now — The category is foreseeable rather than hypothetical. On June 18, 2026, CDRH cleared K253116, a patient-specific titanium cranial plate system produced by the 3D Medical Applications Center at Walter Reed National Military Medical Center, reported as the first such clearance held by a point-of-care institution. I make no claim that AI is used in that system; its public summary identifies none. Separately, peer-reviewed deep-learning pipelines already generate cranial implant geometry from CT data. CDRH’s 2021 discussion paper on 3D printing at the point of care already describes a medical device production system—scanner, design software, coded limits, materials, printers, and processing—that may itself be a device. The present paper and that concept should be connected before a GenAI-enabled design function is placed at the head of such a system.</w:t>
      </w:r>
    </w:p>
    <w:p>
      <w:r>
        <w:rPr>
          <w:color w:val="777777"/>
          <w:sz w:val="16"/>
        </w:rPr>
        <w:t xml:space="preserve">p007 · att1 p.1  </w:t>
      </w:r>
      <w:r>
        <w:t>Responses to specific discussion questions — Question 1 (additional risk dimensions). An implant proposed by a GenAI function sits beyond the top of the activity axis: the output is an object, not advice, and remediation after implantation means revision surgery. Both reversibility and traceability, which Question 1 raises, should be represented. I suggest a physical-output modifier that presumptively places any function generating implant geometry at the high-consequence end regardless of how the output is worded. The paper’s reasoning for measurement functions applies with equal force here: a surgeon can judge anatomic fit visually but cannot see internal porosity, a stress concentration, or an inadequate fatigue margin, so the user cannot independently evaluate the properties that matter most.</w:t>
      </w:r>
    </w:p>
    <w:p>
      <w:r>
        <w:rPr>
          <w:color w:val="777777"/>
          <w:sz w:val="16"/>
        </w:rPr>
        <w:t xml:space="preserve">p008 · att1 p.2  </w:t>
      </w:r>
      <w:r>
        <w:t>Questions 7 and 11 (competency-based evaluation and clinical confirmation). I support evaluating the final configured device rather than the foundation model. For physical-output functions, the final configured device should be understood as the validated production system: imaging inputs, segmentation, the design function, build preparation, printer and material, postprocessing, sterilization, and release. This is consistent with the design or performance envelope and worst-case testing described in CDRH’s 2017 additive manufacturing guidance. Benchmarking should therefore include what might be called a generative design envelope—prospectively defined limits on image quality, modifiable dimensions, feature size, fixation and load assumptions, build orientation, and postprocessing—with any generated geometry outside those limits flagged as requiring engineering validation rather than released as a routine patient match. Clinical confirmation for these functions should include physical evidence (dimensional verification, mechanical and worst-case testing, nondestructive evaluation where appropriate), not only clinician adjudication of outputs. Retrospective evaluation on real patient imaging is a natural first step.</w:t>
      </w:r>
    </w:p>
    <w:p>
      <w:r>
        <w:rPr>
          <w:color w:val="777777"/>
          <w:sz w:val="16"/>
        </w:rPr>
        <w:t xml:space="preserve">p009 · att1 p.2  </w:t>
      </w:r>
      <w:r>
        <w:t>Question 18 (reliance on postmarket monitoring). Accepting greater premarket uncertainty in exchange for postmarket monitoring is not appropriate for functions that produce permanent implants. Monitoring can detect a problem in this setting; it cannot remediate one without surgery. Where the harm is irreversible, premarket assurance of the manufacturing route should not be traded against surveillance.</w:t>
      </w:r>
    </w:p>
    <w:p>
      <w:r>
        <w:rPr>
          <w:color w:val="777777"/>
          <w:sz w:val="16"/>
        </w:rPr>
        <w:t xml:space="preserve">p010 · att1 p.2  </w:t>
      </w:r>
      <w:r>
        <w:t>Questions 22–24 (scaling evidence to modifications, PCCPs, third-party model changes). Re-benchmarking triggers for these systems should include changes to printer firmware, build parameters, material specification or lot, and postprocessing—not only changes to the model—and should specifically address combinations. A workable tiering: interface-only changes managed within the quality management system; a model change that alters which geometries can be generated triggers re-benchmarking against the design envelope; a model change coupled with a manufacturing-parameter change triggers worst-case physical testing before release. Predetermined change control plan (PCCP) concepts can accommodate this if the plan enumerates interaction triggers across the digital-physical boundary. For third-party foundation models (Question 24), production systems should pin model versions so that an upstream update cannot alter geometry entering the manufacturing route without passing a release gate.</w:t>
      </w:r>
    </w:p>
    <w:p>
      <w:r>
        <w:rPr>
          <w:color w:val="777777"/>
          <w:sz w:val="16"/>
        </w:rPr>
        <w:t xml:space="preserve">p011 · att1 p.2  </w:t>
      </w:r>
      <w:r>
        <w:t>Question 21 (stakeholder roles without diffusing accountability). I recommend a two-signature release. The surgeon confirms anatomy, indication, and clinical intent; a qualified release authority within the manufacturer of record confirms conformance using design checks, process data, and inspection results. Neither signature substitutes for the other. This keeps accountability with the manufacturer—which, for point-of-care systems, is the institution holding the clearance—while making the clinician’s responsibility explicit and bounded rather than treating visual review as proof of properties it cannot reveal. Institutions and registries can then support surveillance that links revisions, imaging follow-up, and adverse events to the model, design, and manufacturing configuration in use.</w:t>
      </w:r>
    </w:p>
    <w:p>
      <w:r>
        <w:rPr>
          <w:color w:val="777777"/>
          <w:sz w:val="16"/>
        </w:rPr>
        <w:t xml:space="preserve">p012 · att1 p.3  </w:t>
      </w:r>
      <w:r>
        <w:t>Question 26 (agentic systems). Section VII.B notes that an action sequence resulting in control of another device may itself meet the device definition. A design function that writes a build file to a printer inside a production system is such a function: it takes an irreversible, high-consequence action. The human-oversight checkpoints described for agentic competencies (Appendix A, A.1) map directly onto the release gates recommended above and should be required, not optional, for physical outputs.</w:t>
      </w:r>
    </w:p>
    <w:p>
      <w:r>
        <w:rPr>
          <w:color w:val="777777"/>
          <w:sz w:val="16"/>
        </w:rPr>
        <w:t xml:space="preserve">p013 · att1 p.3  </w:t>
      </w:r>
      <w:r>
        <w:t>Traceability — Each implant should carry a proportionate digital manufacturing record: source imaging identifiers; software and model versions and clinically material configuration; generated versus edited geometry; final design-file identifier; printer, firmware, build parameters, and material lot; postprocessing and sterilization records; release signatures; and outcome linkage. The device history record requirements already incorporated through the Quality Management System Regulation provide the base; the GenAI-specific additions are model and configuration identity and generated-versus-edited provenance.</w:t>
      </w:r>
    </w:p>
    <w:p>
      <w:r>
        <w:rPr>
          <w:color w:val="777777"/>
          <w:sz w:val="16"/>
        </w:rPr>
        <w:t xml:space="preserve">p014 · att1 p.3  </w:t>
      </w:r>
      <w:r>
        <w:t>Summary of recommendations — • Add physical output and reversibility as an explicit dimension of the risk framework, with a presumptive high-consequence placement for functions that generate implant geometry.</w:t>
      </w:r>
    </w:p>
    <w:p>
      <w:r>
        <w:rPr>
          <w:color w:val="777777"/>
          <w:sz w:val="16"/>
        </w:rPr>
        <w:t xml:space="preserve">p015 · att1 p.3  </w:t>
      </w:r>
      <w:r>
        <w:t>• For physical-output functions, define the unit of premarket evaluation as the validated production system, using a prospectively defined generative design envelope and physical confirmation evidence.</w:t>
      </w:r>
    </w:p>
    <w:p>
      <w:r>
        <w:rPr>
          <w:color w:val="777777"/>
          <w:sz w:val="16"/>
        </w:rPr>
        <w:t xml:space="preserve">p016 · att1 p.3  </w:t>
      </w:r>
      <w:r>
        <w:t>• Do not extend the postmarket-reliance approach to functions whose outputs are permanent implants.</w:t>
      </w:r>
    </w:p>
    <w:p>
      <w:r>
        <w:rPr>
          <w:color w:val="777777"/>
          <w:sz w:val="16"/>
        </w:rPr>
        <w:t xml:space="preserve">p017 · att1 p.3  </w:t>
      </w:r>
      <w:r>
        <w:t>• Couple change control across model, firmware, build-parameter, material, and postprocessing changes, with tiered triggers and pinned model versions.</w:t>
      </w:r>
    </w:p>
    <w:p>
      <w:r>
        <w:rPr>
          <w:color w:val="777777"/>
          <w:sz w:val="16"/>
        </w:rPr>
        <w:t xml:space="preserve">p018 · att1 p.3  </w:t>
      </w:r>
      <w:r>
        <w:t>• Require separate surgeon approval and manufacturing release, and a proportionate digital manufacturing record linking configuration to outcome.</w:t>
      </w:r>
    </w:p>
    <w:p>
      <w:r>
        <w:rPr>
          <w:color w:val="777777"/>
          <w:sz w:val="16"/>
        </w:rPr>
        <w:t xml:space="preserve">p019 · att1 p.3  </w:t>
      </w:r>
      <w:r>
        <w:t>I appreciate CDRH’s attention to these considerations and would welcome the opportunity to discuss them further.</w:t>
      </w:r>
    </w:p>
    <w:p>
      <w:r>
        <w:rPr>
          <w:color w:val="777777"/>
          <w:sz w:val="16"/>
        </w:rPr>
        <w:t xml:space="preserve">p020 · att1 p.3  </w:t>
      </w:r>
      <w:r>
        <w:t>Respectfully submitted,</w:t>
      </w:r>
    </w:p>
    <w:p>
      <w:r>
        <w:rPr>
          <w:color w:val="777777"/>
          <w:sz w:val="16"/>
        </w:rPr>
        <w:t xml:space="preserve">p021 · att1 p.3  </w:t>
      </w:r>
      <w:r>
        <w:t>Krishna Sai Koka, M.S., B.S.E.​ Medical Student, New York Medical College (submitted in an individual capacity)​ kkoka@student.nymc.edu</w:t>
      </w:r>
    </w:p>
    <w:p>
      <w:pPr>
        <w:pStyle w:val="Heading1"/>
        <w:pageBreakBefore/>
      </w:pPr>
      <w:r>
        <w:t>FDA-2026-N-7874-0054</w:t>
      </w:r>
    </w:p>
    <w:p>
      <w:r>
        <w:t>Comment from Sitora Healthcare Digital</w:t>
      </w:r>
    </w:p>
    <w:p>
      <w:r>
        <w:rPr>
          <w:color w:val="777777"/>
          <w:sz w:val="18"/>
        </w:rPr>
        <w:t>International Industry - I0022 · received 2026-09-03 · attachments: attachment_1.pdf (16 pp)</w:t>
      </w:r>
    </w:p>
    <w:p>
      <w:r>
        <w:rPr>
          <w:color w:val="777777"/>
          <w:sz w:val="16"/>
        </w:rPr>
        <w:t xml:space="preserve">p001 · body  </w:t>
      </w:r>
      <w:r>
        <w:t>Sitora Healthcare Digital welcomes the FDA's discussion paper and the opportunity to contribute to the development of a proportionate regulatory approach for generative AI-enabled medical devices.</w:t>
      </w:r>
    </w:p>
    <w:p>
      <w:r>
        <w:rPr>
          <w:color w:val="777777"/>
          <w:sz w:val="16"/>
        </w:rPr>
        <w:t xml:space="preserve">p002 · body  </w:t>
      </w:r>
      <w:r>
        <w:t>Our attached response addresses FDA Questions 1, 3, 6, 7, 9, 14, 18, 19, 25 and 26. Its central recommendation is that the unit of regulatory assessment should be the complete sociotechnical system, rather than the foundation model in isolation. This includes source evidence, deterministic safety controls, generative reasoning, retrieval and tools, verification and provenance, escalation logic, the user interface, human clinical authority and lifecycle monitoring.</w:t>
      </w:r>
    </w:p>
    <w:p>
      <w:r>
        <w:rPr>
          <w:color w:val="777777"/>
          <w:sz w:val="16"/>
        </w:rPr>
        <w:t xml:space="preserve">p003 · body  </w:t>
      </w:r>
      <w:r>
        <w:t>Sitora recommends that: 1. The proposed activity-and-consequence risk framework should explicitly account for evidence traceability, independent reviewability, reversibility and time to harm.</w:t>
      </w:r>
    </w:p>
    <w:p>
      <w:r>
        <w:rPr>
          <w:color w:val="777777"/>
          <w:sz w:val="16"/>
        </w:rPr>
        <w:t xml:space="preserve">p004 · body  </w:t>
      </w:r>
      <w:r>
        <w:t>2. Omission, contradiction, under-escalation and over-escalation should be measured separately rather than hidden within a single aggregate accuracy score.</w:t>
      </w:r>
    </w:p>
    <w:p>
      <w:r>
        <w:rPr>
          <w:color w:val="777777"/>
          <w:sz w:val="16"/>
        </w:rPr>
        <w:t xml:space="preserve">p005 · body  </w:t>
      </w:r>
      <w:r>
        <w:t>3. Premarket competency assessment should include evidence fidelity and provenance, with clinical confirmation performed in the intended deployed configuration.</w:t>
      </w:r>
    </w:p>
    <w:p>
      <w:r>
        <w:rPr>
          <w:color w:val="777777"/>
          <w:sz w:val="16"/>
        </w:rPr>
        <w:t xml:space="preserve">p006 · body  </w:t>
      </w:r>
      <w:r>
        <w:t>4. Evaluation should measure the performance of the human-AI team, including automation bias, usability, comprehension and the effectiveness of escalation pathways.</w:t>
      </w:r>
    </w:p>
    <w:p>
      <w:r>
        <w:rPr>
          <w:color w:val="777777"/>
          <w:sz w:val="16"/>
        </w:rPr>
        <w:t xml:space="preserve">p007 · body  </w:t>
      </w:r>
      <w:r>
        <w:t>5. Postmarket monitoring and change control should be triggered by material changes across the full system, including foundation-model versions, prompts, retrieval sources, tools, population and intended use.</w:t>
      </w:r>
    </w:p>
    <w:p>
      <w:r>
        <w:rPr>
          <w:color w:val="777777"/>
          <w:sz w:val="16"/>
        </w:rPr>
        <w:t xml:space="preserve">p008 · body  </w:t>
      </w:r>
      <w:r>
        <w:t>6. Voluntary Foundation Model Device Master Files could improve downstream transparency while protecting confidential information.</w:t>
      </w:r>
    </w:p>
    <w:p>
      <w:r>
        <w:rPr>
          <w:color w:val="777777"/>
          <w:sz w:val="16"/>
        </w:rPr>
        <w:t xml:space="preserve">p009 · body  </w:t>
      </w:r>
      <w:r>
        <w:t>7. Agentic systems should be regulated according to the authority they exercise, the reversibility of their actions, available safeguards and the opportunity for timely human intervention.</w:t>
      </w:r>
    </w:p>
    <w:p>
      <w:r>
        <w:rPr>
          <w:color w:val="777777"/>
          <w:sz w:val="16"/>
        </w:rPr>
        <w:t xml:space="preserve">p010 · body  </w:t>
      </w:r>
      <w:r>
        <w:t>The attached policy paper develops these recommendations and proposes a seven-layer clinical AI safety architecture. It is submitted as a stakeholder contribution and does not claim that Sitora currently operates an FDA-authorized medical device or that any Sitora product has FDA endorsement.</w:t>
      </w:r>
    </w:p>
    <w:p>
      <w:r>
        <w:rPr>
          <w:color w:val="777777"/>
          <w:sz w:val="16"/>
        </w:rPr>
        <w:t xml:space="preserve">p011 · att1 p.1  </w:t>
      </w:r>
      <w:r>
        <w:t>BUILDING CLINICAL AI THAT CAN BE INSPECTED, CONTROLLED AND — TRUSTED — A Harvard-style policy and technical response to the FDA discussion paper on generative AI-enabled medical devices</w:t>
      </w:r>
    </w:p>
    <w:p>
      <w:r>
        <w:rPr>
          <w:color w:val="777777"/>
          <w:sz w:val="16"/>
        </w:rPr>
        <w:t xml:space="preserve">p012 · att1 p.1  </w:t>
      </w:r>
      <w:r>
        <w:t>Sitora Healthcare Digital — United Kingdom — Docket: FDA-2026-N-7874 — Version 1.0 | 25 August 2026</w:t>
      </w:r>
    </w:p>
    <w:p>
      <w:r>
        <w:rPr>
          <w:color w:val="777777"/>
          <w:sz w:val="16"/>
        </w:rPr>
        <w:t xml:space="preserve">p013 · att1 p.1  </w:t>
      </w:r>
      <w:r>
        <w:t>Prepared as a stakeholder contribution to the U.S. Food and Drug Administration Center for Devices and</w:t>
      </w:r>
    </w:p>
    <w:p>
      <w:r>
        <w:rPr>
          <w:color w:val="777777"/>
          <w:sz w:val="16"/>
        </w:rPr>
        <w:t xml:space="preserve">p014 · att1 p.1  </w:t>
      </w:r>
      <w:r>
        <w:t>Radiological Health consultation.</w:t>
      </w:r>
    </w:p>
    <w:p>
      <w:r>
        <w:rPr>
          <w:color w:val="777777"/>
          <w:sz w:val="16"/>
        </w:rPr>
        <w:t xml:space="preserve">p015 · att1 p.1  </w:t>
      </w:r>
      <w:r>
        <w:t>Status note: The FDA publication considered in this report is a discussion paper and request for feedback. It is not draft or final guidance and does not itself establish regulatory expectations (FDA, 2026a).</w:t>
      </w:r>
    </w:p>
    <w:p>
      <w:r>
        <w:rPr>
          <w:color w:val="777777"/>
          <w:sz w:val="16"/>
        </w:rPr>
        <w:t xml:space="preserve">p016 · att1 p.2  </w:t>
      </w:r>
      <w:r>
        <w:t>Executive summary — The U.S. Food and Drug Administration (FDA) opened a public discussion on 18 August 2026 concerning possible regulatory approaches for generative artificial intelligence (GenAI)-enabled medical devices. The discussion paper explores risk assessment, competency-based premarket evaluation, postmarket monitoring, foundation models and agentic AI, and invites stakeholder responses under docket FDA-2026-N-7874 by 19</w:t>
      </w:r>
    </w:p>
    <w:p>
      <w:r>
        <w:rPr>
          <w:color w:val="777777"/>
          <w:sz w:val="16"/>
        </w:rPr>
        <w:t xml:space="preserve">p017 · att1 p.2  </w:t>
      </w:r>
      <w:r>
        <w:t>October 2026 (FDA, 2026a; FDA, 2026b).</w:t>
      </w:r>
    </w:p>
    <w:p>
      <w:r>
        <w:rPr>
          <w:color w:val="777777"/>
          <w:sz w:val="16"/>
        </w:rPr>
        <w:t xml:space="preserve">p018 · att1 p.2  </w:t>
      </w:r>
      <w:r>
        <w:t>This report develops a Sitora Healthcare Digital response centred on a core proposition: the safety of clinical</w:t>
      </w:r>
    </w:p>
    <w:p>
      <w:r>
        <w:rPr>
          <w:color w:val="777777"/>
          <w:sz w:val="16"/>
        </w:rPr>
        <w:t xml:space="preserve">p019 · att1 p.2  </w:t>
      </w:r>
      <w:r>
        <w:t>GenAI depends not only on the quality of the underlying foundation model, but on the architecture of the complete clinical system. Source evidence, deterministic safety controls, generative reasoning, verification, escalation, human authority and lifecycle monitoring should be deliberately separated so that clinically significant outputs remain traceable, reviewable and controllable.</w:t>
      </w:r>
    </w:p>
    <w:p>
      <w:r>
        <w:rPr>
          <w:color w:val="777777"/>
          <w:sz w:val="16"/>
        </w:rPr>
        <w:t xml:space="preserve">p020 · att1 p.2  </w:t>
      </w:r>
      <w:r>
        <w:t>The report supports the FDA’s emerging competency-based and total-product-lifecycle direction while proposing four additions. First, Evidence Fidelity and Provenance should be treated as an explicit competency distinct from general clinical knowledge. Second, under-escalation and over-escalation should be measured separately using risk-weighted metrics. Third, the practical effectiveness of human oversight should be assessed rather than relying on the mere presence of a “human in the loop”. Fourth, agentic systems should be evaluated according to their authority to act, with progressively stronger evidence and control requirements as autonomy increases.</w:t>
      </w:r>
    </w:p>
    <w:p>
      <w:r>
        <w:rPr>
          <w:color w:val="777777"/>
          <w:sz w:val="16"/>
        </w:rPr>
        <w:t xml:space="preserve">p021 · att1 p.2  </w:t>
      </w:r>
      <w:r>
        <w:t>The analysis is intended as a policy and technical contribution. It does not claim that Sitora currently operates an FDA-authorised medical device, and it does not treat the FDA discussion paper as binding guidance. The objective is to contribute a defensible framework that could inform future regulatory thinking while also providing a design blueprint for safer clinical AI systems.</w:t>
      </w:r>
    </w:p>
    <w:p>
      <w:r>
        <w:rPr>
          <w:color w:val="777777"/>
          <w:sz w:val="16"/>
        </w:rPr>
        <w:t xml:space="preserve">p022 · att1 p.2  </w:t>
      </w:r>
      <w:r>
        <w:t>Key recommendations — • Adopt a layered clinical AI safety architecture that keeps source evidence distinguishable from modelgenerated inference.</w:t>
      </w:r>
    </w:p>
    <w:p>
      <w:r>
        <w:rPr>
          <w:color w:val="777777"/>
          <w:sz w:val="16"/>
        </w:rPr>
        <w:t xml:space="preserve">p023 · att1 p.2  </w:t>
      </w:r>
      <w:r>
        <w:t>• Add evidence fidelity and provenance to the explicit competency set for GenAI-enabled devices.</w:t>
      </w:r>
    </w:p>
    <w:p>
      <w:r>
        <w:rPr>
          <w:color w:val="777777"/>
          <w:sz w:val="16"/>
        </w:rPr>
        <w:t xml:space="preserve">p024 · att1 p.2  </w:t>
      </w:r>
      <w:r>
        <w:t>• Evaluate the complete deployed system, not only the foundation model or benchmark score.</w:t>
      </w:r>
    </w:p>
    <w:p>
      <w:r>
        <w:rPr>
          <w:color w:val="777777"/>
          <w:sz w:val="16"/>
        </w:rPr>
        <w:t xml:space="preserve">p025 · att1 p.2  </w:t>
      </w:r>
      <w:r>
        <w:t>• Measure under-escalation and over-escalation separately, with severity-sensitive weighting.</w:t>
      </w:r>
    </w:p>
    <w:p>
      <w:r>
        <w:rPr>
          <w:color w:val="777777"/>
          <w:sz w:val="16"/>
        </w:rPr>
        <w:t xml:space="preserve">p026 · att1 p.2  </w:t>
      </w:r>
      <w:r>
        <w:t>• Assess the quality, timing and usability of human oversight and guard against automation bias.</w:t>
      </w:r>
    </w:p>
    <w:p>
      <w:r>
        <w:rPr>
          <w:color w:val="777777"/>
          <w:sz w:val="16"/>
        </w:rPr>
        <w:t xml:space="preserve">p027 · att1 p.2  </w:t>
      </w:r>
      <w:r>
        <w:t>• Use event-triggered revalidation for material changes in model behaviour, orchestration, tools, knowledge sources or intended use.</w:t>
      </w:r>
    </w:p>
    <w:p>
      <w:r>
        <w:rPr>
          <w:color w:val="777777"/>
          <w:sz w:val="16"/>
        </w:rPr>
        <w:t xml:space="preserve">p028 · att1 p.2  </w:t>
      </w:r>
      <w:r>
        <w:t>• Support Foundation Model Device Master Files while retaining downstream manufacturer responsibility.</w:t>
      </w:r>
    </w:p>
    <w:p>
      <w:r>
        <w:rPr>
          <w:color w:val="777777"/>
          <w:sz w:val="16"/>
        </w:rPr>
        <w:t xml:space="preserve">p029 · att1 p.2  </w:t>
      </w:r>
      <w:r>
        <w:t>• Regulate agentic AI by authority to act, with graduated controls and audit requirements.</w:t>
      </w:r>
    </w:p>
    <w:p>
      <w:r>
        <w:rPr>
          <w:color w:val="777777"/>
          <w:sz w:val="16"/>
        </w:rPr>
        <w:t xml:space="preserve">p030 · att1 p.3  </w:t>
      </w:r>
      <w:r>
        <w:t>1. Introduction and regulatory context — Generative AI is moving from general-purpose conversational tools into clinical workflows, patient-facing applications, documentation systems, decision support and increasingly agentic systems capable of executing multi-step tasks. This creates a regulatory problem that differs in important respects from conventional deterministic software and earlier generations of machine learning. GenAI systems can accept open-ended inputs, create variable outputs, combine multiple tasks, use external tools and change behaviour as foundation models, prompts, orchestration and knowledge sources evolve (FDA, 2026a).</w:t>
      </w:r>
    </w:p>
    <w:p>
      <w:r>
        <w:rPr>
          <w:color w:val="777777"/>
          <w:sz w:val="16"/>
        </w:rPr>
        <w:t xml:space="preserve">p031 · att1 p.3  </w:t>
      </w:r>
      <w:r>
        <w:t>The FDA’s August 2026 discussion paper is therefore significant even though it is not guidance. It signals the questions the regulator believes must be resolved before a durable framework for GenAI-enabled medical devices can mature. The FDA identifies four broad areas: risk assessment; premarket evaluation; postmarket monitoring; and other issues including foundation models and agentic AI. The agency expressly invites manufacturers, clinicians, researchers, consumers and other stakeholders to respond, and states that respondents may address only those questions relevant to their expertise or organisational capacity (FDA, 2026a).</w:t>
      </w:r>
    </w:p>
    <w:p>
      <w:r>
        <w:rPr>
          <w:color w:val="777777"/>
          <w:sz w:val="16"/>
        </w:rPr>
        <w:t xml:space="preserve">p032 · att1 p.3  </w:t>
      </w:r>
      <w:r>
        <w:t>This direction is consistent with the FDA’s wider movement toward total product lifecycle governance for AI- enabled devices. The January 2025 draft guidance on AI-enabled device software functions emphasises lifecycle risk management, while the final guidance on predetermined change control plans (PCCPs) seeks to enable controlled iterative change without losing reasonable assurance of safety and effectiveness (FDA,</w:t>
      </w:r>
    </w:p>
    <w:p>
      <w:r>
        <w:rPr>
          <w:color w:val="777777"/>
          <w:sz w:val="16"/>
        </w:rPr>
        <w:t xml:space="preserve">p033 · att1 p.3  </w:t>
      </w:r>
      <w:r>
        <w:t>2025a; FDA, 2025b). The International Medical Device Regulators Forum’s 2025 Good Machine Learning</w:t>
      </w:r>
    </w:p>
    <w:p>
      <w:r>
        <w:rPr>
          <w:color w:val="777777"/>
          <w:sz w:val="16"/>
        </w:rPr>
        <w:t xml:space="preserve">p034 · att1 p.3  </w:t>
      </w:r>
      <w:r>
        <w:t>Practice principles similarly emphasise representative data, clinically relevant testing, human-AI team performance and ongoing monitoring (IMDRF, 2025).</w:t>
      </w:r>
    </w:p>
    <w:p>
      <w:r>
        <w:rPr>
          <w:color w:val="777777"/>
          <w:sz w:val="16"/>
        </w:rPr>
        <w:t xml:space="preserve">p035 · att1 p.3  </w:t>
      </w:r>
      <w:r>
        <w:t>The broader governance environment points in the same direction. WHO guidance stresses human autonomy, safety, transparency, accountability, inclusiveness and responsiveness across the AI lifecycle, while the NIST</w:t>
      </w:r>
    </w:p>
    <w:p>
      <w:r>
        <w:rPr>
          <w:color w:val="777777"/>
          <w:sz w:val="16"/>
        </w:rPr>
        <w:t xml:space="preserve">p036 · att1 p.3  </w:t>
      </w:r>
      <w:r>
        <w:t>GenAI profile treats generative AI risk management as an ongoing organisational process rather than a single validation event (WHO, 2021; Autio et al., 2024).</w:t>
      </w:r>
    </w:p>
    <w:p>
      <w:r>
        <w:rPr>
          <w:color w:val="777777"/>
          <w:sz w:val="16"/>
        </w:rPr>
        <w:t xml:space="preserve">p037 · att1 p.3  </w:t>
      </w:r>
      <w:r>
        <w:t>1.1 Purpose and scope — This report converts the earlier Sitora analysis into a structured Harvard-style policy paper. It focuses on ten</w:t>
      </w:r>
    </w:p>
    <w:p>
      <w:r>
        <w:rPr>
          <w:color w:val="777777"/>
          <w:sz w:val="16"/>
        </w:rPr>
        <w:t xml:space="preserve">p038 · att1 p.3  </w:t>
      </w:r>
      <w:r>
        <w:t>FDA discussion questions where Sitora can offer a coherent technical position: risk assessment, patient-facing systems, escalation errors, competency-based evaluation, benchmarking, human-AI teams, postmarket evidence, lifecycle monitoring, Foundation Model Device Master Files and agentic AI. It also develops three cross-cutting recommendations: separation of evidence from inference, deterministic safety alongside generative intelligence, and behaviour-based change control.</w:t>
      </w:r>
    </w:p>
    <w:p>
      <w:r>
        <w:rPr>
          <w:color w:val="777777"/>
          <w:sz w:val="16"/>
        </w:rPr>
        <w:t xml:space="preserve">p039 · att1 p.3  </w:t>
      </w:r>
      <w:r>
        <w:t>1.2 Method — The report uses a policy-analysis method based primarily on official regulatory and standards sources. The principal source is the FDA’s 2026 discussion paper and associated announcement. It is read alongside the</w:t>
      </w:r>
    </w:p>
    <w:p>
      <w:r>
        <w:rPr>
          <w:color w:val="777777"/>
          <w:sz w:val="16"/>
        </w:rPr>
        <w:t xml:space="preserve">p040 · att1 p.4  </w:t>
      </w:r>
      <w:r>
        <w:t>FDA’s AI lifecycle and PCCP materials, IMDRF Good Machine Learning Practice principles, FDA/Health</w:t>
      </w:r>
    </w:p>
    <w:p>
      <w:r>
        <w:rPr>
          <w:color w:val="777777"/>
          <w:sz w:val="16"/>
        </w:rPr>
        <w:t xml:space="preserve">p041 · att1 p.4  </w:t>
      </w:r>
      <w:r>
        <w:t>Canada/MHRA transparency principles, WHO AI-for-health governance guidance and the NIST GenAI Risk — Management Framework profile. Recommendations are then derived by applying these regulatory themes to clinical GenAI system design and the practical failure modes created by open-ended generation, third-party model dependence and increasing autonomy.</w:t>
      </w:r>
    </w:p>
    <w:p>
      <w:r>
        <w:rPr>
          <w:color w:val="777777"/>
          <w:sz w:val="16"/>
        </w:rPr>
        <w:t xml:space="preserve">p042 · att1 p.4  </w:t>
      </w:r>
      <w:r>
        <w:t>2. Proposed clinical AI safety architecture — The central recommendation is that a clinical GenAI system should not be treated as a single model. The unit of regulatory and safety analysis should be the complete socio-technical system: data sources, deterministic controls, the generative model, retrieval and tools, verification mechanisms, escalation logic, user interface, human oversight and post-deployment monitoring. This reflects the FDA’s emphasis on evaluating GenAI- enabled devices in representative deployed configurations and the GMLP principle that testing should demonstrate performance in clinically relevant conditions (FDA, 2026a; IMDRF, 2025).</w:t>
      </w:r>
    </w:p>
    <w:p>
      <w:r>
        <w:rPr>
          <w:color w:val="777777"/>
          <w:sz w:val="16"/>
        </w:rPr>
        <w:t xml:space="preserve">p043 · att1 p.5  </w:t>
      </w:r>
      <w:r>
        <w:t>Figure 1. Sitora Clinical AI Safety Architecture. Source: author-developed framework based on FDA (2026a), FDA (2025a), IMDRF (2025) and WHO (2021).</w:t>
      </w:r>
    </w:p>
    <w:p>
      <w:r>
        <w:rPr>
          <w:color w:val="777777"/>
          <w:sz w:val="16"/>
        </w:rPr>
        <w:t xml:space="preserve">p044 · att1 p.5  </w:t>
      </w:r>
      <w:r>
        <w:t>2.1 Layer 1 - Source evidence — Symptoms, observations, laboratory values, biomarkers, device measurements, medical records and other primary inputs should retain their original status and provenance. A generated summary should not silently convert an uncertain observation into an established fact. The system should preserve who or what supplied the information, when it was supplied and, where relevant, the measurement or document from which it originated.</w:t>
      </w:r>
    </w:p>
    <w:p>
      <w:r>
        <w:rPr>
          <w:color w:val="777777"/>
          <w:sz w:val="16"/>
        </w:rPr>
        <w:t xml:space="preserve">p045 · att1 p.6  </w:t>
      </w:r>
      <w:r>
        <w:t>2.2 Layer 2 - Deterministic safety controls — Where validated thresholds, contraindications, hard exclusions or established red-flag logic exist, developers should consider implementing them independently from the generative model. This is a defence-in-depth principle: a probabilistic model can contribute flexible reasoning without becoming the sole mechanism responsible for predictable safety-critical checks.</w:t>
      </w:r>
    </w:p>
    <w:p>
      <w:r>
        <w:rPr>
          <w:color w:val="777777"/>
          <w:sz w:val="16"/>
        </w:rPr>
        <w:t xml:space="preserve">p046 · att1 p.6  </w:t>
      </w:r>
      <w:r>
        <w:t>2.3 Layer 3 - Generative intelligence — GenAI is particularly valuable for summarisation, longitudinal organisation, natural-language interaction, contextual synthesis and communication. Its flexibility is the reason to use it, but that flexibility also creates non-determinism and confabulation risk. The generative layer should therefore operate within clearly bounded functions and should not automatically absorb every safety-critical task merely because it is technically capable of doing so.</w:t>
      </w:r>
    </w:p>
    <w:p>
      <w:r>
        <w:rPr>
          <w:color w:val="777777"/>
          <w:sz w:val="16"/>
        </w:rPr>
        <w:t xml:space="preserve">p047 · att1 p.6  </w:t>
      </w:r>
      <w:r>
        <w:t>2.4 Layer 4 - Verification and provenance — Clinically material outputs should be checked for unsupported claims, contradictions, missing evidence and improper conversion of inference into fact. The goal is not to suggest that every generated sentence can always be mathematically “proven”, but to create sufficient traceability that clinicians, patients and auditors can determine the evidence basis for important claims.</w:t>
      </w:r>
    </w:p>
    <w:p>
      <w:r>
        <w:rPr>
          <w:color w:val="777777"/>
          <w:sz w:val="16"/>
        </w:rPr>
        <w:t xml:space="preserve">p048 · att1 p.6  </w:t>
      </w:r>
      <w:r>
        <w:t>2.5 Layer 5 - Risk-weighted escalation — Escalation should be designed as a safety function rather than a generic classification score. False reassurance and unnecessary escalation can both cause harm, but their consequences differ. A serious under-escalation may warrant substantially greater weight than a low-consequence over-escalation.</w:t>
      </w:r>
    </w:p>
    <w:p>
      <w:r>
        <w:rPr>
          <w:color w:val="777777"/>
          <w:sz w:val="16"/>
        </w:rPr>
        <w:t xml:space="preserve">p049 · att1 p.6  </w:t>
      </w:r>
      <w:r>
        <w:t>2.6 Layer 6 - Human clinical authority — Human oversight must be operational rather than nominal. The reviewer must have the information, time and interface necessary to challenge or override the system. This aligns with international GMLP and transparency principles that focus on the performance of the human-AI team and clear information for users (FDA, Health</w:t>
      </w:r>
    </w:p>
    <w:p>
      <w:r>
        <w:rPr>
          <w:color w:val="777777"/>
          <w:sz w:val="16"/>
        </w:rPr>
        <w:t xml:space="preserve">p050 · att1 p.6  </w:t>
      </w:r>
      <w:r>
        <w:t>Canada and MHRA, 2024; IMDRF, 2025).</w:t>
      </w:r>
    </w:p>
    <w:p>
      <w:r>
        <w:rPr>
          <w:color w:val="777777"/>
          <w:sz w:val="16"/>
        </w:rPr>
        <w:t xml:space="preserve">p051 · att1 p.6  </w:t>
      </w:r>
      <w:r>
        <w:t>2.7 Layer 7 - Lifecycle monitoring — A validated GenAI system can still change after deployment because of model updates, prompt changes, retrieval changes, new tools, data drift or altered patient populations. Monitoring and revalidation are therefore part of the safety architecture rather than after-market administrative tasks. The FDA’s lifecycle and PCCP work already moves in this direction (FDA, 2025a; FDA, 2025b).</w:t>
      </w:r>
    </w:p>
    <w:p>
      <w:r>
        <w:rPr>
          <w:color w:val="777777"/>
          <w:sz w:val="16"/>
        </w:rPr>
        <w:t xml:space="preserve">p052 · att1 p.7  </w:t>
      </w:r>
      <w:r>
        <w:t>3. Response to selected FDA discussion questions — 3.1 Question 1 - Risk assessment</w:t>
      </w:r>
    </w:p>
    <w:p>
      <w:r>
        <w:rPr>
          <w:color w:val="777777"/>
          <w:sz w:val="16"/>
        </w:rPr>
        <w:t xml:space="preserve">p053 · att1 p.7  </w:t>
      </w:r>
      <w:r>
        <w:t>The FDA asks whether a possible two-axis framework based on device activity and the consequence of relying on an incorrect output captures the principal dimensions of GenAI risk, while also raising factors such as reversibility, safeguards, time pressure and traceability (FDA, 2026a).</w:t>
      </w:r>
    </w:p>
    <w:p>
      <w:r>
        <w:rPr>
          <w:color w:val="777777"/>
          <w:sz w:val="16"/>
        </w:rPr>
        <w:t xml:space="preserve">p054 · att1 p.7  </w:t>
      </w:r>
      <w:r>
        <w:t>Sitora supports the two-axis concept as a strong foundation but recommends explicit treatment of four additional modifiers: evidence traceability, independent reviewability, reversibility and time to harm. Two systems may provide the same recommendation while presenting different risks if one gives the user a transparent evidence chain and the other provides only an opaque conclusion.</w:t>
      </w:r>
    </w:p>
    <w:p>
      <w:r>
        <w:rPr>
          <w:color w:val="777777"/>
          <w:sz w:val="16"/>
        </w:rPr>
        <w:t xml:space="preserve">p055 · att1 p.7  </w:t>
      </w:r>
      <w:r>
        <w:t>Risk modifier — Evidence traceability — Independent reviewability — Reversibility — Time to harm</w:t>
      </w:r>
    </w:p>
    <w:p>
      <w:r>
        <w:rPr>
          <w:color w:val="777777"/>
          <w:sz w:val="16"/>
        </w:rPr>
        <w:t xml:space="preserve">p056 · att1 p.7  </w:t>
      </w:r>
      <w:r>
        <w:t>Table 1. Proposed modifiers to the FDA risk framework. Source: Sitora analysis based on FDA (2026a).</w:t>
      </w:r>
    </w:p>
    <w:p>
      <w:r>
        <w:rPr>
          <w:color w:val="777777"/>
          <w:sz w:val="16"/>
        </w:rPr>
        <w:t xml:space="preserve">p057 · att1 p.7  </w:t>
      </w:r>
      <w:r>
        <w:t>3.2 Question 3 - Patient-facing GenAI — Patient-facing systems should not automatically be placed into a high-risk category solely because the user is not a clinician. The relevant regulatory question is what the output is capable of causing the patient to do and whether effective safeguards exist. Responsible patient-facing AI could improve symptom organisation, explanation of existing results, preparation for consultations and communication of longitudinal changes.</w:t>
      </w:r>
    </w:p>
    <w:p>
      <w:r>
        <w:rPr>
          <w:color w:val="777777"/>
          <w:sz w:val="16"/>
        </w:rPr>
        <w:t xml:space="preserve">p058 · att1 p.7  </w:t>
      </w:r>
      <w:r>
        <w:t>Category — A - Organisation — B - Explanation — C - Decision support</w:t>
      </w:r>
    </w:p>
    <w:p>
      <w:r>
        <w:rPr>
          <w:color w:val="777777"/>
          <w:sz w:val="16"/>
        </w:rPr>
        <w:t xml:space="preserve">p059 · att1 p.7  </w:t>
      </w:r>
      <w:r>
        <w:t>D - Action direction — Table 2. Proposed functional categories for patient-facing GenAI. Source: Sitora analysis.</w:t>
      </w:r>
    </w:p>
    <w:p>
      <w:r>
        <w:rPr>
          <w:color w:val="777777"/>
          <w:sz w:val="16"/>
        </w:rPr>
        <w:t xml:space="preserve">p060 · att1 p.7  </w:t>
      </w:r>
      <w:r>
        <w:t>This approach preserves patient empowerment while recognising that direct action guidance can create materially different risks from information organisation. WHO’s emphasis on human autonomy and transparent information provides a complementary ethical basis for this distinction (WHO, 2021).</w:t>
      </w:r>
    </w:p>
    <w:p>
      <w:r>
        <w:rPr>
          <w:color w:val="777777"/>
          <w:sz w:val="16"/>
        </w:rPr>
        <w:t xml:space="preserve">p061 · att1 p.8  </w:t>
      </w:r>
      <w:r>
        <w:t>3.3 Question 6 - Under-escalation and over-escalation — The FDA recognises both under-escalation and over-escalation as clinically important failure modes (FDA,</w:t>
      </w:r>
    </w:p>
    <w:p>
      <w:r>
        <w:rPr>
          <w:color w:val="777777"/>
          <w:sz w:val="16"/>
        </w:rPr>
        <w:t xml:space="preserve">p062 · att1 p.8  </w:t>
      </w:r>
      <w:r>
        <w:t>2026a). Sitora recommends that they should never be hidden inside a single aggregate “accuracy” score. An AI that misses an urgent presentation and an AI that unnecessarily recommends a routine consultation have both erred, but the clinical consequences are not comparable.</w:t>
      </w:r>
    </w:p>
    <w:p>
      <w:r>
        <w:rPr>
          <w:color w:val="777777"/>
          <w:sz w:val="16"/>
        </w:rPr>
        <w:t xml:space="preserve">p063 · att1 p.8  </w:t>
      </w:r>
      <w:r>
        <w:t>Dimension — Clinical severity — Probability — Urgency — Reversibility — Safeguards — Resource burden</w:t>
      </w:r>
    </w:p>
    <w:p>
      <w:r>
        <w:rPr>
          <w:color w:val="777777"/>
          <w:sz w:val="16"/>
        </w:rPr>
        <w:t xml:space="preserve">p064 · att1 p.8  </w:t>
      </w:r>
      <w:r>
        <w:t>Table 3. Risk-weighted escalation matrix. Source: Sitora analysis based on FDA (2026a).</w:t>
      </w:r>
    </w:p>
    <w:p>
      <w:r>
        <w:rPr>
          <w:color w:val="777777"/>
          <w:sz w:val="16"/>
        </w:rPr>
        <w:t xml:space="preserve">p065 · att1 p.8  </w:t>
      </w:r>
      <w:r>
        <w:t>Performance reporting should therefore distinguish at least critical under-escalation, non-critical under- escalation, critical over-escalation and non-critical over-escalation. In safety-critical use cases, sensitivity to serious red flags should be evaluated separately from overall system accuracy.</w:t>
      </w:r>
    </w:p>
    <w:p>
      <w:r>
        <w:rPr>
          <w:color w:val="777777"/>
          <w:sz w:val="16"/>
        </w:rPr>
        <w:t xml:space="preserve">p066 · att1 p.8  </w:t>
      </w:r>
      <w:r>
        <w:t>3.4 Question 7 - Competency-based premarket evaluation — The FDA explores a competency-based approach that combines non-clinical device benchmarking with clinical confirmation (FDA, 2026a). Sitora supports this direction because exhaustive testing of every possible open- ended interaction is unrealistic. However, competency must attach to the complete deployed system, not merely the foundation model.</w:t>
      </w:r>
    </w:p>
    <w:p>
      <w:r>
        <w:rPr>
          <w:color w:val="777777"/>
          <w:sz w:val="16"/>
        </w:rPr>
        <w:t xml:space="preserve">p067 · att1 p.8  </w:t>
      </w:r>
      <w:r>
        <w:t>The same underlying model can perform differently when combined with different prompts, retrieval architectures, tool permissions, clinical rules, interfaces, memories and escalation policies. Strong performance by a foundation model on a medical benchmark therefore cannot, by itself, demonstrate the safety of a downstream medical device. The regulatory question should be whether the configured system can safely and effectively perform its claimed clinical function in representative conditions. This is consistent with total product lifecycle principles and clinically relevant testing in GMLP (FDA, 2025a; IMDRF, 2025).</w:t>
      </w:r>
    </w:p>
    <w:p>
      <w:r>
        <w:rPr>
          <w:color w:val="777777"/>
          <w:sz w:val="16"/>
        </w:rPr>
        <w:t xml:space="preserve">p068 · att1 p.8  </w:t>
      </w:r>
      <w:r>
        <w:t>3.5 Question 9 - Benchmarking: Evidence Fidelity and Provenance — Sitora proposes a specific additional competency: Evidence Fidelity and Provenance. A model can possess correct medical knowledge while fabricating or misrepresenting a patient-specific fact. This is not the same failure as deficient clinical knowledge and should not be measured as though it were.</w:t>
      </w:r>
    </w:p>
    <w:p>
      <w:r>
        <w:rPr>
          <w:color w:val="777777"/>
          <w:sz w:val="16"/>
        </w:rPr>
        <w:t xml:space="preserve">p069 · att1 p.8  </w:t>
      </w:r>
      <w:r>
        <w:t>• faithfully representing patient-supplied information;</w:t>
      </w:r>
    </w:p>
    <w:p>
      <w:r>
        <w:rPr>
          <w:color w:val="777777"/>
          <w:sz w:val="16"/>
        </w:rPr>
        <w:t xml:space="preserve">p070 · att1 p.8  </w:t>
      </w:r>
      <w:r>
        <w:t>• accurately representing laboratory and measurement data;</w:t>
      </w:r>
    </w:p>
    <w:p>
      <w:r>
        <w:rPr>
          <w:color w:val="777777"/>
          <w:sz w:val="16"/>
        </w:rPr>
        <w:t xml:space="preserve">p071 · att1 p.9  </w:t>
      </w:r>
      <w:r>
        <w:t>• preserving the source and temporal context of clinically important facts;</w:t>
      </w:r>
    </w:p>
    <w:p>
      <w:r>
        <w:rPr>
          <w:color w:val="777777"/>
          <w:sz w:val="16"/>
        </w:rPr>
        <w:t xml:space="preserve">p072 · att1 p.9  </w:t>
      </w:r>
      <w:r>
        <w:t>• separating objective evidence from model inference;</w:t>
      </w:r>
    </w:p>
    <w:p>
      <w:r>
        <w:rPr>
          <w:color w:val="777777"/>
          <w:sz w:val="16"/>
        </w:rPr>
        <w:t xml:space="preserve">p073 · att1 p.9  </w:t>
      </w:r>
      <w:r>
        <w:t>• avoiding invention of patient-specific facts;</w:t>
      </w:r>
    </w:p>
    <w:p>
      <w:r>
        <w:rPr>
          <w:color w:val="777777"/>
          <w:sz w:val="16"/>
        </w:rPr>
        <w:t xml:space="preserve">p074 · att1 p.9  </w:t>
      </w:r>
      <w:r>
        <w:t>• identifying material contradictions or missing evidence; and — • communicating uncertainty where evidence is incomplete.</w:t>
      </w:r>
    </w:p>
    <w:p>
      <w:r>
        <w:rPr>
          <w:color w:val="777777"/>
          <w:sz w:val="16"/>
        </w:rPr>
        <w:t xml:space="preserve">p075 · att1 p.9  </w:t>
      </w:r>
      <w:r>
        <w:t>A system might correctly know that gastrointestinal bleeding can be clinically significant while incorrectly asserting that a particular patient reported bleeding. Its general clinical knowledge would be correct while its representation of that patient’s evidence would be false. Patient-specific factual integrity should therefore be separately measured.</w:t>
      </w:r>
    </w:p>
    <w:p>
      <w:r>
        <w:rPr>
          <w:color w:val="777777"/>
          <w:sz w:val="16"/>
        </w:rPr>
        <w:t xml:space="preserve">p076 · att1 p.9  </w:t>
      </w:r>
      <w:r>
        <w:t>3.6 Question 14 - Human comparators and human-AI teams — Where clinician supervision forms part of the intended use, the human-AI configuration may be the appropriate unit of clinical performance evaluation. However, “human in the loop” is not a sufficient safety claim.</w:t>
      </w:r>
    </w:p>
    <w:p>
      <w:r>
        <w:rPr>
          <w:color w:val="777777"/>
          <w:sz w:val="16"/>
        </w:rPr>
        <w:t xml:space="preserve">p077 · att1 p.9  </w:t>
      </w:r>
      <w:r>
        <w:t>Oversight is meaningful only if the human has sufficient source information, sees relevant uncertainty, has a realistic opportunity to review the output, can override it and is not pushed into automation bias by interface design or workflow pressure.</w:t>
      </w:r>
    </w:p>
    <w:p>
      <w:r>
        <w:rPr>
          <w:color w:val="777777"/>
          <w:sz w:val="16"/>
        </w:rPr>
        <w:t xml:space="preserve">p078 · att1 p.9  </w:t>
      </w:r>
      <w:r>
        <w:t>This position aligns with the international GMLP principle that attention should be paid to human-AI team performance and the transparency principle that users need clear, essential information to make informed decisions (FDA, Health Canada and MHRA, 2024; IMDRF, 2025).</w:t>
      </w:r>
    </w:p>
    <w:p>
      <w:r>
        <w:rPr>
          <w:color w:val="777777"/>
          <w:sz w:val="16"/>
        </w:rPr>
        <w:t xml:space="preserve">p079 · att1 p.9  </w:t>
      </w:r>
      <w:r>
        <w:t>3.7 Question 18 - Premarket uncertainty and postmarket evidence — The FDA asks whether some additional premarket uncertainty might be acceptable where strong postmarket monitoring exists (FDA, 2026a). Sitora considers this potentially appropriate for selected lower-risk functions where outputs are reversible, human review is effective, the system can be rapidly rolled back, audit logging is comprehensive and autonomy is limited.</w:t>
      </w:r>
    </w:p>
    <w:p>
      <w:r>
        <w:rPr>
          <w:color w:val="777777"/>
          <w:sz w:val="16"/>
        </w:rPr>
        <w:t xml:space="preserve">p080 · att1 p.9  </w:t>
      </w:r>
      <w:r>
        <w:t>A progressive deployment model could move through controlled technical validation, shadow-mode clinical evaluation, supervised deployment, broader monitored deployment and, only where separately justified, defined autonomous permissions. Greater flexibility should not be presumed for functions that are irreversible, immediately life-critical or otherwise high consequence.</w:t>
      </w:r>
    </w:p>
    <w:p>
      <w:r>
        <w:rPr>
          <w:color w:val="777777"/>
          <w:sz w:val="16"/>
        </w:rPr>
        <w:t xml:space="preserve">p081 · att1 p.9  </w:t>
      </w:r>
      <w:r>
        <w:t>3.8 Question 19 - Postmarket monitoring — Postmarket monitoring should combine periodic review with event-triggered reassessment. The FDA’s earlier public consultation on real-world performance specifically highlighted performance drift and changes in inputs and outputs, while its PCCP guidance provides a regulatory pathway for planned AI changes (FDA, 2025b;</w:t>
      </w:r>
    </w:p>
    <w:p>
      <w:r>
        <w:rPr>
          <w:color w:val="777777"/>
          <w:sz w:val="16"/>
        </w:rPr>
        <w:t xml:space="preserve">p082 · att1 p.9  </w:t>
      </w:r>
      <w:r>
        <w:t>FDA, 2025c).</w:t>
      </w:r>
    </w:p>
    <w:p>
      <w:r>
        <w:rPr>
          <w:color w:val="777777"/>
          <w:sz w:val="16"/>
        </w:rPr>
        <w:t xml:space="preserve">p083 · att1 p.9  </w:t>
      </w:r>
      <w:r>
        <w:t>• hallucination or unsupported factual claims;</w:t>
      </w:r>
    </w:p>
    <w:p>
      <w:r>
        <w:rPr>
          <w:color w:val="777777"/>
          <w:sz w:val="16"/>
        </w:rPr>
        <w:t xml:space="preserve">p084 · att1 p.9  </w:t>
      </w:r>
      <w:r>
        <w:t>• clinically significant omissions;</w:t>
      </w:r>
    </w:p>
    <w:p>
      <w:r>
        <w:rPr>
          <w:color w:val="777777"/>
          <w:sz w:val="16"/>
        </w:rPr>
        <w:t xml:space="preserve">p085 · att1 p.9  </w:t>
      </w:r>
      <w:r>
        <w:t>• under-escalation and over-escalation; Sitora Healthcare Digital | FDA GenAI Medical Devices Response | 9</w:t>
      </w:r>
    </w:p>
    <w:p>
      <w:r>
        <w:rPr>
          <w:color w:val="777777"/>
          <w:sz w:val="16"/>
        </w:rPr>
        <w:t xml:space="preserve">p086 · att1 p.10  </w:t>
      </w:r>
      <w:r>
        <w:t>• inappropriate refusals or failure to refuse;</w:t>
      </w:r>
    </w:p>
    <w:p>
      <w:r>
        <w:rPr>
          <w:color w:val="777777"/>
          <w:sz w:val="16"/>
        </w:rPr>
        <w:t xml:space="preserve">p087 · att1 p.10  </w:t>
      </w:r>
      <w:r>
        <w:t>• contradictions with objective evidence;</w:t>
      </w:r>
    </w:p>
    <w:p>
      <w:r>
        <w:rPr>
          <w:color w:val="777777"/>
          <w:sz w:val="16"/>
        </w:rPr>
        <w:t xml:space="preserve">p088 · att1 p.10  </w:t>
      </w:r>
      <w:r>
        <w:t>• subgroup performance and longitudinal drift;</w:t>
      </w:r>
    </w:p>
    <w:p>
      <w:r>
        <w:rPr>
          <w:color w:val="777777"/>
          <w:sz w:val="16"/>
        </w:rPr>
        <w:t xml:space="preserve">p089 · att1 p.10  </w:t>
      </w:r>
      <w:r>
        <w:t>• foundation-model, retrieval, prompt and orchestration changes;</w:t>
      </w:r>
    </w:p>
    <w:p>
      <w:r>
        <w:rPr>
          <w:color w:val="777777"/>
          <w:sz w:val="16"/>
        </w:rPr>
        <w:t xml:space="preserve">p090 · att1 p.10  </w:t>
      </w:r>
      <w:r>
        <w:t>• tool-use failures and agent failures;</w:t>
      </w:r>
    </w:p>
    <w:p>
      <w:r>
        <w:rPr>
          <w:color w:val="777777"/>
          <w:sz w:val="16"/>
        </w:rPr>
        <w:t xml:space="preserve">p091 · att1 p.10  </w:t>
      </w:r>
      <w:r>
        <w:t>• clinician overrides, near misses and confirmed incidents; and — • signals of automation bias or workflow misuse.</w:t>
      </w:r>
    </w:p>
    <w:p>
      <w:r>
        <w:rPr>
          <w:color w:val="777777"/>
          <w:sz w:val="16"/>
        </w:rPr>
        <w:t xml:space="preserve">p092 · att1 p.10  </w:t>
      </w:r>
      <w:r>
        <w:t>Event triggers for reassessment should include a foundation-model update, a material prompt or orchestration change, addition of an external tool, change to a clinical knowledge source, expansion to a new patient population or intended use, statistically significant performance deterioration or discovery of a new failure mode.</w:t>
      </w:r>
    </w:p>
    <w:p>
      <w:r>
        <w:rPr>
          <w:color w:val="777777"/>
          <w:sz w:val="16"/>
        </w:rPr>
        <w:t xml:space="preserve">p093 · att1 p.10  </w:t>
      </w:r>
      <w:r>
        <w:t>The lifecycle should therefore be treated as: Validate → Deploy → Observe → Detect → Investigate →</w:t>
      </w:r>
    </w:p>
    <w:p>
      <w:r>
        <w:rPr>
          <w:color w:val="777777"/>
          <w:sz w:val="16"/>
        </w:rPr>
        <w:t xml:space="preserve">p094 · att1 p.10  </w:t>
      </w:r>
      <w:r>
        <w:t>Correct → Revalidate.</w:t>
      </w:r>
    </w:p>
    <w:p>
      <w:r>
        <w:rPr>
          <w:color w:val="777777"/>
          <w:sz w:val="16"/>
        </w:rPr>
        <w:t xml:space="preserve">p095 · att1 p.10  </w:t>
      </w:r>
      <w:r>
        <w:t>3.9 Question 25 - Foundation Model Device Master Files — The FDA considers whether voluntary Foundation Model Device Master Files could allow confidential information about underlying models to support downstream regulatory submissions (FDA, 2026a). Sitora supports the principle because downstream developers may retain responsibility for a regulated product while lacking complete information about the model on which that product depends.</w:t>
      </w:r>
    </w:p>
    <w:p>
      <w:r>
        <w:rPr>
          <w:color w:val="777777"/>
          <w:sz w:val="16"/>
        </w:rPr>
        <w:t xml:space="preserve">p096 · att1 p.10  </w:t>
      </w:r>
      <w:r>
        <w:t>A useful master file could include a stable model and version identifier, architecture description, relevant data provenance, known limitations, healthcare-relevant failure modes, benchmark and subgroup results, safety controls, material update history, expected update cadence, deprecation policy and audit capabilities. The existence of such a file should not constitute general FDA approval of a model for medical use; responsibility for the specific device and intended use should remain with the downstream manufacturer.</w:t>
      </w:r>
    </w:p>
    <w:p>
      <w:r>
        <w:rPr>
          <w:color w:val="777777"/>
          <w:sz w:val="16"/>
        </w:rPr>
        <w:t xml:space="preserve">p097 · att1 p.10  </w:t>
      </w:r>
      <w:r>
        <w:t>3.10 Question 26 - Agentic AI — Agentic AI introduces additional risk because systems can plan, invoke tools and execute multi-step actions with fewer opportunities for human review. Sitora recommends regulating these systems partly according to their authority to act rather than relying only on a technical definition of “agent” (FDA, 2026a).</w:t>
      </w:r>
    </w:p>
    <w:p>
      <w:r>
        <w:rPr>
          <w:color w:val="777777"/>
          <w:sz w:val="16"/>
        </w:rPr>
        <w:t xml:space="preserve">p098 · att1 p.11  </w:t>
      </w:r>
      <w:r>
        <w:t>Figure 2. Graduated authority model for agentic clinical AI. Source: Sitora analysis based on FDA (2026a).</w:t>
      </w:r>
    </w:p>
    <w:p>
      <w:r>
        <w:rPr>
          <w:color w:val="777777"/>
          <w:sz w:val="16"/>
        </w:rPr>
        <w:t xml:space="preserve">p099 · att1 p.11  </w:t>
      </w:r>
      <w:r>
        <w:t>For systems operating at higher authority levels, audit records should capture the objective, planned sequence, tools invoked, relevant inputs and outputs, validation checks, approval points, actions executed and resulting state changes. High-consequence or irreversible actions should ordinarily retain mandatory human checkpoints unless evidence demonstrates an acceptable benefit-risk profile for autonomous execution.</w:t>
      </w:r>
    </w:p>
    <w:p>
      <w:r>
        <w:rPr>
          <w:color w:val="777777"/>
          <w:sz w:val="16"/>
        </w:rPr>
        <w:t xml:space="preserve">p100 · att1 p.12  </w:t>
      </w:r>
      <w:r>
        <w:t>4. Cross-cutting policy recommendations — 4.1 Separate evidence from inference — Clinical source evidence and generated interpretation should remain distinguishable throughout the product lifecycle. This principle improves auditability, clinician review, patient understanding and incident investigation. A safe interface should be able to distinguish patient report, objective measurement, deterministic rule, AI interpretation and final clinical decision.</w:t>
      </w:r>
    </w:p>
    <w:p>
      <w:r>
        <w:rPr>
          <w:color w:val="777777"/>
          <w:sz w:val="16"/>
        </w:rPr>
        <w:t xml:space="preserve">p101 · att1 p.12  </w:t>
      </w:r>
      <w:r>
        <w:t>Information type — Patient report — Objective result — Established rule — AI interpretation</w:t>
      </w:r>
    </w:p>
    <w:p>
      <w:r>
        <w:rPr>
          <w:color w:val="777777"/>
          <w:sz w:val="16"/>
        </w:rPr>
        <w:t xml:space="preserve">p102 · att1 p.12  </w:t>
      </w:r>
      <w:r>
        <w:t>Clinical decision — Table 4. Recommended separation of clinical information types. Source: Sitora analysis.</w:t>
      </w:r>
    </w:p>
    <w:p>
      <w:r>
        <w:rPr>
          <w:color w:val="777777"/>
          <w:sz w:val="16"/>
        </w:rPr>
        <w:t xml:space="preserve">p103 · att1 p.12  </w:t>
      </w:r>
      <w:r>
        <w:t>4.2 Deterministic safety should coexist with generative intelligence — GenAI should not be forced into safety-critical tasks for which deterministic logic is more appropriate. Equally, deterministic rules should not be used where flexible contextual reasoning provides genuine value. The architecture should use each approach for the problem it is best suited to solve. This is consistent with defence- in-depth and lifecycle risk management, and it helps prevent a single probabilistic component from becoming the only line of protection against foreseeable harm.</w:t>
      </w:r>
    </w:p>
    <w:p>
      <w:r>
        <w:rPr>
          <w:color w:val="777777"/>
          <w:sz w:val="16"/>
        </w:rPr>
        <w:t xml:space="preserve">p104 · att1 p.12  </w:t>
      </w:r>
      <w:r>
        <w:t>4.3 Regulate behaviour change, not only code change — Third-party foundation models create a distinctive regulatory issue: an application’s behaviour can materially change even when the downstream developer has changed no application code. Model-provider updates, safety tuning, refusal policies or inference infrastructure can alter outputs. A clinically relevant behavioural change should therefore be capable of triggering evaluation even where the application repository is unchanged.</w:t>
      </w:r>
    </w:p>
    <w:p>
      <w:r>
        <w:rPr>
          <w:color w:val="777777"/>
          <w:sz w:val="16"/>
        </w:rPr>
        <w:t xml:space="preserve">p105 · att1 p.12  </w:t>
      </w:r>
      <w:r>
        <w:t>Sitora recommends that regulated systems maintain a controlled model registry recording provider, model identifier, validated version, validation date, validation dataset or protocol, approved clinical functions, known limitations, deployment date and retirement date. A material model change should pass through detection, quarantine, evaluation, validation, approval and controlled deployment. This complements the intent of PCCPs, which seek to make planned AI modifications transparent and controlled (FDA, 2025b).</w:t>
      </w:r>
    </w:p>
    <w:p>
      <w:r>
        <w:rPr>
          <w:color w:val="777777"/>
          <w:sz w:val="16"/>
        </w:rPr>
        <w:t xml:space="preserve">p106 · att1 p.13  </w:t>
      </w:r>
      <w:r>
        <w:t>5. Implications for Sitora system design — The policy analysis has direct architectural implications for Sitora’s healthcare concepts. Sitora should continue to position AI as an early-detection, evidence-organisation and decision-support layer rather than the final diagnostic authority. The practical objective is to combine symptoms, duration, bowel-pattern changes, biomarker trends, diet and lifestyle changes, weight, wearable information, prior results and red-flag features into a clear longitudinal clinical summary while preserving the clinician’s authority over diagnosis and consequential intervention.</w:t>
      </w:r>
    </w:p>
    <w:p>
      <w:r>
        <w:rPr>
          <w:color w:val="777777"/>
          <w:sz w:val="16"/>
        </w:rPr>
        <w:t xml:space="preserve">p107 · att1 p.13  </w:t>
      </w:r>
      <w:r>
        <w:t>For a future Sitora GI implementation, the following design controls should be treated as first-order requirements rather than later compliance additions:</w:t>
      </w:r>
    </w:p>
    <w:p>
      <w:r>
        <w:rPr>
          <w:color w:val="777777"/>
          <w:sz w:val="16"/>
        </w:rPr>
        <w:t xml:space="preserve">p108 · att1 p.13  </w:t>
      </w:r>
      <w:r>
        <w:t>• Immutable or auditable storage of primary observations and biomarker results with provenance.</w:t>
      </w:r>
    </w:p>
    <w:p>
      <w:r>
        <w:rPr>
          <w:color w:val="777777"/>
          <w:sz w:val="16"/>
        </w:rPr>
        <w:t xml:space="preserve">p109 · att1 p.13  </w:t>
      </w:r>
      <w:r>
        <w:t>• Separate presentation of Gut Function, Gut Biology and Gut Change information so that wellness-style summaries cannot obscure clinical alerts.</w:t>
      </w:r>
    </w:p>
    <w:p>
      <w:r>
        <w:rPr>
          <w:color w:val="777777"/>
          <w:sz w:val="16"/>
        </w:rPr>
        <w:t xml:space="preserve">p110 · att1 p.13  </w:t>
      </w:r>
      <w:r>
        <w:t>• Deterministic red-flag and threshold logic for safety-critical features where clinically defensible rules exist.</w:t>
      </w:r>
    </w:p>
    <w:p>
      <w:r>
        <w:rPr>
          <w:color w:val="777777"/>
          <w:sz w:val="16"/>
        </w:rPr>
        <w:t xml:space="preserve">p111 · att1 p.13  </w:t>
      </w:r>
      <w:r>
        <w:t>• Explicit labelling of generated interpretation and uncertainty.</w:t>
      </w:r>
    </w:p>
    <w:p>
      <w:r>
        <w:rPr>
          <w:color w:val="777777"/>
          <w:sz w:val="16"/>
        </w:rPr>
        <w:t xml:space="preserve">p112 · att1 p.13  </w:t>
      </w:r>
      <w:r>
        <w:t>• Evidence-linked clinical summaries that allow a reviewer to inspect the basis of a claim.</w:t>
      </w:r>
    </w:p>
    <w:p>
      <w:r>
        <w:rPr>
          <w:color w:val="777777"/>
          <w:sz w:val="16"/>
        </w:rPr>
        <w:t xml:space="preserve">p113 · att1 p.13  </w:t>
      </w:r>
      <w:r>
        <w:t>• Independent testing for hallucination, contradiction, omission, under-escalation and over-escalation.</w:t>
      </w:r>
    </w:p>
    <w:p>
      <w:r>
        <w:rPr>
          <w:color w:val="777777"/>
          <w:sz w:val="16"/>
        </w:rPr>
        <w:t xml:space="preserve">p114 · att1 p.13  </w:t>
      </w:r>
      <w:r>
        <w:t>• A model registry and controlled promotion process for foundation-model updates.</w:t>
      </w:r>
    </w:p>
    <w:p>
      <w:r>
        <w:rPr>
          <w:color w:val="777777"/>
          <w:sz w:val="16"/>
        </w:rPr>
        <w:t xml:space="preserve">p115 · att1 p.13  </w:t>
      </w:r>
      <w:r>
        <w:t>• Human approval before clinically consequential actions during early deployment stages.</w:t>
      </w:r>
    </w:p>
    <w:p>
      <w:r>
        <w:rPr>
          <w:color w:val="777777"/>
          <w:sz w:val="16"/>
        </w:rPr>
        <w:t xml:space="preserve">p116 · att1 p.13  </w:t>
      </w:r>
      <w:r>
        <w:t>• Post-deployment logging that supports incident investigation, clinician override analysis and revalidation.</w:t>
      </w:r>
    </w:p>
    <w:p>
      <w:r>
        <w:rPr>
          <w:color w:val="777777"/>
          <w:sz w:val="16"/>
        </w:rPr>
        <w:t xml:space="preserve">p117 · att1 p.13  </w:t>
      </w:r>
      <w:r>
        <w:t>These controls should not be represented as evidence of current regulatory compliance. They are design principles derived from the emerging regulatory direction and should be validated against the final intended use, jurisdiction and applicable medical-device classification before deployment.</w:t>
      </w:r>
    </w:p>
    <w:p>
      <w:r>
        <w:rPr>
          <w:color w:val="777777"/>
          <w:sz w:val="16"/>
        </w:rPr>
        <w:t xml:space="preserve">p118 · att1 p.13  </w:t>
      </w:r>
      <w:r>
        <w:t>6. Proposed validation framework — A regulatory submission for a future GenAI-enabled medical device will need measurable evidence. Sitora should therefore design validation around failure modes rather than relying on a single accuracy metric.</w:t>
      </w:r>
    </w:p>
    <w:p>
      <w:r>
        <w:rPr>
          <w:color w:val="777777"/>
          <w:sz w:val="16"/>
        </w:rPr>
        <w:t xml:space="preserve">p119 · att1 p.13  </w:t>
      </w:r>
      <w:r>
        <w:t>Domain — Evidence fidelity — Omission — Contradiction — Escalation — Over-escalation — Calibration</w:t>
      </w:r>
    </w:p>
    <w:p>
      <w:r>
        <w:rPr>
          <w:color w:val="777777"/>
          <w:sz w:val="16"/>
        </w:rPr>
        <w:t xml:space="preserve">p120 · att1 p.13  </w:t>
      </w:r>
      <w:r>
        <w:t>Robustness — Subgroups — Model change — Human-AI team — Table 5. Proposed validation domains for clinical GenAI. Source: Sitora analysis informed by FDA (2026a), FDA (2025a), IMDRF (2025) and NIST (Autio et al., 2024).</w:t>
      </w:r>
    </w:p>
    <w:p>
      <w:r>
        <w:rPr>
          <w:color w:val="777777"/>
          <w:sz w:val="16"/>
        </w:rPr>
        <w:t xml:space="preserve">p121 · att1 p.14  </w:t>
      </w:r>
      <w:r>
        <w:t>7. Governance and postmarket operating model — A credible GenAI medical-device programme requires governance that can react quickly to change. Technical validation alone is insufficient if the organisation cannot identify model changes, triage incidents, control deployments and preserve audit trails. The operating model should therefore include named responsibility for model approval, safety monitoring, incident review, clinical governance and rollback authority.</w:t>
      </w:r>
    </w:p>
    <w:p>
      <w:r>
        <w:rPr>
          <w:color w:val="777777"/>
          <w:sz w:val="16"/>
        </w:rPr>
        <w:t xml:space="preserve">p122 · att1 p.14  </w:t>
      </w:r>
      <w:r>
        <w:t>Trigger — Foundation model version change — New external tool or retrieval source</w:t>
      </w:r>
    </w:p>
    <w:p>
      <w:r>
        <w:rPr>
          <w:color w:val="777777"/>
          <w:sz w:val="16"/>
        </w:rPr>
        <w:t xml:space="preserve">p123 · att1 p.14  </w:t>
      </w:r>
      <w:r>
        <w:t>Prompt/orchestration change — New patient population or intended use — Safety signal / incident</w:t>
      </w:r>
    </w:p>
    <w:p>
      <w:r>
        <w:rPr>
          <w:color w:val="777777"/>
          <w:sz w:val="16"/>
        </w:rPr>
        <w:t xml:space="preserve">p124 · att1 p.14  </w:t>
      </w:r>
      <w:r>
        <w:t>Performance drift — Table 6. Event-triggered change-control model. Source: Sitora analysis based on total-product-lifecycle and PCCP principles (FDA,</w:t>
      </w:r>
    </w:p>
    <w:p>
      <w:r>
        <w:rPr>
          <w:color w:val="777777"/>
          <w:sz w:val="16"/>
        </w:rPr>
        <w:t xml:space="preserve">p125 · att1 p.14  </w:t>
      </w:r>
      <w:r>
        <w:t>2025a; FDA, 2025b).</w:t>
      </w:r>
    </w:p>
    <w:p>
      <w:r>
        <w:rPr>
          <w:color w:val="777777"/>
          <w:sz w:val="16"/>
        </w:rPr>
        <w:t xml:space="preserve">p126 · att1 p.14  </w:t>
      </w:r>
      <w:r>
        <w:t>8. Discussion — The FDA’s 2026 paper is notable because it treats GenAI regulation as a systems problem. The central challenge is not simply hallucination in isolation, but the combination of non-deterministic outputs, open-ended tasks, limited visibility into upstream models, human reliance and systems that can increasingly take action. A framework that evaluates only model-level benchmark accuracy would therefore miss important sources of risk.</w:t>
      </w:r>
    </w:p>
    <w:p>
      <w:r>
        <w:rPr>
          <w:color w:val="777777"/>
          <w:sz w:val="16"/>
        </w:rPr>
        <w:t xml:space="preserve">p127 · att1 p.14  </w:t>
      </w:r>
      <w:r>
        <w:t>The Sitora architecture attempts to make those risks governable by separating functions that are often collapsed together. Evidence provenance addresses factual integrity. Deterministic controls provide a predictable safety backstop. Generative reasoning contributes flexible synthesis. Verification tests the relationship between output and evidence. Risk-weighted escalation recognises that not all errors are equally harmful. Human authority provides accountability at consequential decision points. Lifecycle monitoring recognises that validated behaviour can change after deployment.</w:t>
      </w:r>
    </w:p>
    <w:p>
      <w:r>
        <w:rPr>
          <w:color w:val="777777"/>
          <w:sz w:val="16"/>
        </w:rPr>
        <w:t xml:space="preserve">p128 · att1 p.14  </w:t>
      </w:r>
      <w:r>
        <w:t>There are limitations. A layered architecture does not itself prove clinical safety. Deterministic rules can be wrong or incomplete; provenance systems can give false reassurance; clinicians can over-rely on AI even when evidence is visible; postmarket monitoring can fail to detect rare harms; and a third-party foundation-model provider may not provide sufficient technical transparency. These issues reinforce the need for empirical validation rather than weakening the case for architectural controls.</w:t>
      </w:r>
    </w:p>
    <w:p>
      <w:r>
        <w:rPr>
          <w:color w:val="777777"/>
          <w:sz w:val="16"/>
        </w:rPr>
        <w:t xml:space="preserve">p129 · att1 p.15  </w:t>
      </w:r>
      <w:r>
        <w:t>A further challenge is proportionality. Regulation that treats all patient-facing or generative functions as equally high risk could suppress useful low-risk tools, while under-regulation could expose patients to confident but unreviewable errors. The FDA’s activity/consequence approach, enhanced with traceability, reversibility, reviewability and time-to-harm, offers a plausible route to proportional control.</w:t>
      </w:r>
    </w:p>
    <w:p>
      <w:r>
        <w:rPr>
          <w:color w:val="777777"/>
          <w:sz w:val="16"/>
        </w:rPr>
        <w:t xml:space="preserve">p130 · att1 p.15  </w:t>
      </w:r>
      <w:r>
        <w:t>9. Conclusion — Generative AI can become a valuable component of healthcare infrastructure, but trust will depend on whether clinically important outputs can be inspected, challenged and controlled. The central regulatory objective should not be to eliminate probabilistic behaviour, which is intrinsic to GenAI, but to make its risks observable, measurable, bounded and accountable.</w:t>
      </w:r>
    </w:p>
    <w:p>
      <w:r>
        <w:rPr>
          <w:color w:val="777777"/>
          <w:sz w:val="16"/>
        </w:rPr>
        <w:t xml:space="preserve">p131 · att1 p.15  </w:t>
      </w:r>
      <w:r>
        <w:t>Sitora therefore recommends a regulatory and design framework built around seven layers: source evidence, deterministic safety controls, generative intelligence, verification and provenance, risk-weighted escalation, human clinical authority and lifecycle monitoring. Within that framework, Evidence Fidelity and Provenance should become an explicit GenAI competency, risk metrics should reflect the clinical severity of errors, human oversight should be assessed for practical effectiveness, model behaviour changes should trigger controlled revalidation, and agentic systems should face progressively stronger requirements as their authority to act increases.</w:t>
      </w:r>
    </w:p>
    <w:p>
      <w:r>
        <w:rPr>
          <w:color w:val="777777"/>
          <w:sz w:val="16"/>
        </w:rPr>
        <w:t xml:space="preserve">p132 · att1 p.15  </w:t>
      </w:r>
      <w:r>
        <w:t>These proposals are intended to support the FDA’s consultation rather than predict the content of future guidance. They also provide a practical design direction for Sitora: build clinical AI as an evidence and decision-support infrastructure in which objective information, safety rules, generative inference and clinical authority remain distinct. If that separation is designed from the outset, future regulatory evidence can be generated around a system whose safety properties are visible rather than retrofitted after deployment.</w:t>
      </w:r>
    </w:p>
    <w:p>
      <w:r>
        <w:rPr>
          <w:color w:val="777777"/>
          <w:sz w:val="16"/>
        </w:rPr>
        <w:t xml:space="preserve">p133 · att1 p.16  </w:t>
      </w:r>
      <w:r>
        <w:t>References — Autio, C., Schwartz, R., Dunietz, J., Jain, S., Stanley, M., Tabassi, E., Hall, P. and Roberts, K. (2024) Artificial Intelligence</w:t>
      </w:r>
    </w:p>
    <w:p>
      <w:r>
        <w:rPr>
          <w:color w:val="777777"/>
          <w:sz w:val="16"/>
        </w:rPr>
        <w:t xml:space="preserve">p134 · att1 p.16  </w:t>
      </w:r>
      <w:r>
        <w:t>Risk Management Framework: Generative Artificial Intelligence Profile. NIST AI 600-1. Gaithersburg, MD: National Institute of Standards and Technology. Available at: https://doi.org/10.6028/NIST.AI.600-1 (Accessed: 25 August 2026).</w:t>
      </w:r>
    </w:p>
    <w:p>
      <w:r>
        <w:rPr>
          <w:color w:val="777777"/>
          <w:sz w:val="16"/>
        </w:rPr>
        <w:t xml:space="preserve">p135 · att1 p.16  </w:t>
      </w:r>
      <w:r>
        <w:t>FDA (2025a) Artificial Intelligence-Enabled Device Software Functions: Lifecycle Management and Marketing — Submission Recommendations. Draft Guidance for Industry and Food and Drug Administration Staff, January 2025. Silver Spring, MD: U.S. Food and Drug Administration. Available at: https://www.fda.gov/regulatory-information/search-fda-guidance-documents/artificial-intelligence-enabled-devicesoftware-functions-lifecycle-management-and-marketing (Accessed: 25 August 2026).</w:t>
      </w:r>
    </w:p>
    <w:p>
      <w:r>
        <w:rPr>
          <w:color w:val="777777"/>
          <w:sz w:val="16"/>
        </w:rPr>
        <w:t xml:space="preserve">p136 · att1 p.16  </w:t>
      </w:r>
      <w:r>
        <w:t>FDA (2025b) Marketing Submission Recommendations for a Predetermined Change Control Plan for Artificial</w:t>
      </w:r>
    </w:p>
    <w:p>
      <w:r>
        <w:rPr>
          <w:color w:val="777777"/>
          <w:sz w:val="16"/>
        </w:rPr>
        <w:t xml:space="preserve">p137 · att1 p.16  </w:t>
      </w:r>
      <w:r>
        <w:t>Intelligence-Enabled Device Software Functions. Guidance for Industry and Food and Drug Administration Staff, August 2025. Silver Spring, MD: U.S. Food and Drug Administration. Available at: https://www.fda.gov/regulatoryinformation/search-fda-guidance-documents/marketing-submission-recommendations-predetermined-change-controlplan-artificial-intelligence (Accessed: 25 August 2026).</w:t>
      </w:r>
    </w:p>
    <w:p>
      <w:r>
        <w:rPr>
          <w:color w:val="777777"/>
          <w:sz w:val="16"/>
        </w:rPr>
        <w:t xml:space="preserve">p138 · att1 p.16  </w:t>
      </w:r>
      <w:r>
        <w:t>FDA (2025c) Request for Public Comment: Measuring and Evaluating Artificial Intelligence-enabled Medical Device</w:t>
      </w:r>
    </w:p>
    <w:p>
      <w:r>
        <w:rPr>
          <w:color w:val="777777"/>
          <w:sz w:val="16"/>
        </w:rPr>
        <w:t xml:space="preserve">p139 · att1 p.16  </w:t>
      </w:r>
      <w:r>
        <w:t>Performance in the Real-World. Silver Spring, MD: U.S. Food and Drug Administration. Available at: https://www.fda.gov/medical-devices/digital-health-center-excellence/request-public-comment-measuring-andevaluating-artificial-intelligence-enabled-medical-device (Accessed: 25 August 2026).</w:t>
      </w:r>
    </w:p>
    <w:p>
      <w:r>
        <w:rPr>
          <w:color w:val="777777"/>
          <w:sz w:val="16"/>
        </w:rPr>
        <w:t xml:space="preserve">p140 · att1 p.16  </w:t>
      </w:r>
      <w:r>
        <w:t>FDA (2026a) Considerations for the Regulation of Generative AI-Enabled Medical Devices: Discussion Paper and Request for Feedback. Silver Spring, MD: U.S. Food and Drug Administration, Center for Devices and Radiological Health. Available at: https://www.fda.gov/medical-devices/digital-health-center-excellence/considerations-regulationgenerative-ai-enabled-medical-devices-discussion-paper-and-request (Accessed: 25 August 2026).</w:t>
      </w:r>
    </w:p>
    <w:p>
      <w:r>
        <w:rPr>
          <w:color w:val="777777"/>
          <w:sz w:val="16"/>
        </w:rPr>
        <w:t xml:space="preserve">p141 · att1 p.16  </w:t>
      </w:r>
      <w:r>
        <w:t>FDA (2026b) ‘FDA Seeks Public Feedback to Inform Regulatory Approach for Generative AI-Enabled Medical Devices’,</w:t>
      </w:r>
    </w:p>
    <w:p>
      <w:r>
        <w:rPr>
          <w:color w:val="777777"/>
          <w:sz w:val="16"/>
        </w:rPr>
        <w:t xml:space="preserve">p142 · att1 p.16  </w:t>
      </w:r>
      <w:r>
        <w:t>18 August. Silver Spring, MD: U.S. Food and Drug Administration. Available at: https://www.fda.gov/news-events/press-announcements/fda-seeks-public-feedback-inform-regulatory-approachgenerative-ai-enabled-medical-devices (Accessed: 25 August 2026).</w:t>
      </w:r>
    </w:p>
    <w:p>
      <w:r>
        <w:rPr>
          <w:color w:val="777777"/>
          <w:sz w:val="16"/>
        </w:rPr>
        <w:t xml:space="preserve">p143 · att1 p.16  </w:t>
      </w:r>
      <w:r>
        <w:t>FDA, Health Canada and MHRA (2024) Transparency for Machine Learning-Enabled Medical Devices: Guiding</w:t>
      </w:r>
    </w:p>
    <w:p>
      <w:r>
        <w:rPr>
          <w:color w:val="777777"/>
          <w:sz w:val="16"/>
        </w:rPr>
        <w:t xml:space="preserve">p144 · att1 p.16  </w:t>
      </w:r>
      <w:r>
        <w:t>Principles. Available at: https://www.fda.gov/medical-devices/software-medical-device-samd/transparency-machinelearning-enabled-medical-devices-guiding-principles (Accessed: 25 August 2026).</w:t>
      </w:r>
    </w:p>
    <w:p>
      <w:r>
        <w:rPr>
          <w:color w:val="777777"/>
          <w:sz w:val="16"/>
        </w:rPr>
        <w:t xml:space="preserve">p145 · att1 p.16  </w:t>
      </w:r>
      <w:r>
        <w:t>IMDRF (2025) Good Machine Learning Practice for Medical Device Development: Guiding Principles. IMDRF/AIML</w:t>
      </w:r>
    </w:p>
    <w:p>
      <w:r>
        <w:rPr>
          <w:color w:val="777777"/>
          <w:sz w:val="16"/>
        </w:rPr>
        <w:t xml:space="preserve">p146 · att1 p.16  </w:t>
      </w:r>
      <w:r>
        <w:t>WG/N88 FINAL:2025. International Medical Device Regulators Forum, 29 January. Available at: https://www.imdrf.org/documents/good-machine-learning-practice-medical-device-development-guiding-principles (Accessed: 25 August 2026).</w:t>
      </w:r>
    </w:p>
    <w:p>
      <w:r>
        <w:rPr>
          <w:color w:val="777777"/>
          <w:sz w:val="16"/>
        </w:rPr>
        <w:t xml:space="preserve">p147 · att1 p.16  </w:t>
      </w:r>
      <w:r>
        <w:t>WHO (2021) Ethics and Governance of Artificial Intelligence for Health: WHO Guidance. Geneva: World Health</w:t>
      </w:r>
    </w:p>
    <w:p>
      <w:r>
        <w:rPr>
          <w:color w:val="777777"/>
          <w:sz w:val="16"/>
        </w:rPr>
        <w:t xml:space="preserve">p148 · att1 p.16  </w:t>
      </w:r>
      <w:r>
        <w:t>Organization. Available at: https://www.who.int/publications/i/item/9789240029200 (Accessed: 25 August 2026).</w:t>
      </w:r>
    </w:p>
    <w:p>
      <w:pPr>
        <w:pStyle w:val="Heading1"/>
        <w:pageBreakBefore/>
      </w:pPr>
      <w:r>
        <w:t>FDA-2026-N-7874-0055</w:t>
      </w:r>
    </w:p>
    <w:p>
      <w:r>
        <w:t>Comment from Newton's Tree Inc</w:t>
      </w:r>
    </w:p>
    <w:p>
      <w:r>
        <w:rPr>
          <w:color w:val="777777"/>
          <w:sz w:val="18"/>
        </w:rPr>
        <w:t>Private Industry - C0003 · received 2026-09-03 · attachments: attachment_1.pdf (16 pp)</w:t>
      </w:r>
    </w:p>
    <w:p>
      <w:r>
        <w:rPr>
          <w:color w:val="777777"/>
          <w:sz w:val="16"/>
        </w:rPr>
        <w:t xml:space="preserve">p001 · body  </w:t>
      </w:r>
      <w:r>
        <w:t>Newton’s Tree submits these comments in response to CDRH’s discussion paper on GenAI-enabled medical devices. Our comments come from our work to evaluate, deploy, govern, and monitor clinical AI in healthcare systems. We recommend three separate assurance layers: competency testing, clinical confirmation, and operational assurance. We also include anonymized examples from real deployments. These examples show why benchmark results alone cannot give sufficient assurance of safety and effectiveness.</w:t>
      </w:r>
    </w:p>
    <w:p>
      <w:r>
        <w:rPr>
          <w:color w:val="777777"/>
          <w:sz w:val="16"/>
        </w:rPr>
        <w:t xml:space="preserve">p002 · att1 p.1  </w:t>
      </w:r>
      <w:r>
        <w:t>Response of Newton’s Tree Ltd. to FDA Docket No. FDA-2026-N-7874 — Considerations for the Regulation of Generative AI-Enabled Medical Devices</w:t>
      </w:r>
    </w:p>
    <w:p>
      <w:r>
        <w:rPr>
          <w:color w:val="777777"/>
          <w:sz w:val="16"/>
        </w:rPr>
        <w:t xml:space="preserve">p003 · att1 p.1  </w:t>
      </w:r>
      <w:r>
        <w:t>About Newton’s Tree — Newton’s Tree is a global healthcare AI company that enables healthcare providers to select, test, deploy, and monitor in-house and third-party AI products through its enterprise AI platform.</w:t>
      </w:r>
    </w:p>
    <w:p>
      <w:r>
        <w:rPr>
          <w:color w:val="777777"/>
          <w:sz w:val="16"/>
        </w:rPr>
        <w:t xml:space="preserve">p004 · att1 p.1  </w:t>
      </w:r>
      <w:r>
        <w:t>The company is led by a senior leadership team with globally unique experience at the nexus of healthcare, AI technology, and cutting edge research. We work with the leading health systems that are bending the adoption curve for AI. We do this through the development and deployment of the very best technology within our vendor- neutral ecosystem.</w:t>
      </w:r>
    </w:p>
    <w:p>
      <w:r>
        <w:rPr>
          <w:color w:val="777777"/>
          <w:sz w:val="16"/>
        </w:rPr>
        <w:t xml:space="preserve">p005 · att1 p.1  </w:t>
      </w:r>
      <w:r>
        <w:t>Main recommendation — CDRH should use three separate assurance layers.</w:t>
      </w:r>
    </w:p>
    <w:p>
      <w:r>
        <w:rPr>
          <w:color w:val="777777"/>
          <w:sz w:val="16"/>
        </w:rPr>
        <w:t xml:space="preserve">p006 · att1 p.1  </w:t>
      </w:r>
      <w:r>
        <w:t>Layer 1 — Layer 2 — Layer 3 — Competency — Clinical confirmation</w:t>
      </w:r>
    </w:p>
    <w:p>
      <w:r>
        <w:rPr>
          <w:color w:val="777777"/>
          <w:sz w:val="16"/>
        </w:rPr>
        <w:t xml:space="preserve">p007 · att1 p.1  </w:t>
      </w:r>
      <w:r>
        <w:t>Operational assurance — The final device must do — The device must work in its its intended task. It must also remain within its approved scope.</w:t>
      </w:r>
    </w:p>
    <w:p>
      <w:r>
        <w:rPr>
          <w:color w:val="777777"/>
          <w:sz w:val="16"/>
        </w:rPr>
        <w:t xml:space="preserve">p008 · att1 p.1  </w:t>
      </w:r>
      <w:r>
        <w:t>intended population, workflow, and technical environment.</w:t>
      </w:r>
    </w:p>
    <w:p>
      <w:r>
        <w:rPr>
          <w:color w:val="777777"/>
          <w:sz w:val="16"/>
        </w:rPr>
        <w:t xml:space="preserve">p009 · att1 p.1  </w:t>
      </w:r>
      <w:r>
        <w:t>The device must continue to work after deployment. The manufacturer must detect and control changes in performance.</w:t>
      </w:r>
    </w:p>
    <w:p>
      <w:r>
        <w:rPr>
          <w:color w:val="777777"/>
          <w:sz w:val="16"/>
        </w:rPr>
        <w:t xml:space="preserve">p010 · att1 p.1  </w:t>
      </w:r>
      <w:r>
        <w:t>No layer can replace another.</w:t>
      </w:r>
    </w:p>
    <w:p>
      <w:r>
        <w:rPr>
          <w:color w:val="777777"/>
          <w:sz w:val="16"/>
        </w:rPr>
        <w:t xml:space="preserve">p011 · att1 p.1  </w:t>
      </w:r>
      <w:r>
        <w:t>A benchmark cannot prove clinical effectiveness. A clinical study cannot prove that performance will remain stable. Postmarket monitoring cannot correct an unsafe premarket decision.</w:t>
      </w:r>
    </w:p>
    <w:p>
      <w:r>
        <w:rPr>
          <w:color w:val="777777"/>
          <w:sz w:val="16"/>
        </w:rPr>
        <w:t xml:space="preserve">p012 · att1 p.2  </w:t>
      </w:r>
      <w:r>
        <w:t>Risk assessment — Question 1: The two-axis framework — The two-axis framework is not sufficient for risk assessment.</w:t>
      </w:r>
    </w:p>
    <w:p>
      <w:r>
        <w:rPr>
          <w:color w:val="777777"/>
          <w:sz w:val="16"/>
        </w:rPr>
        <w:t xml:space="preserve">p013 · att1 p.2  </w:t>
      </w:r>
      <w:r>
        <w:t>Device activity does not equal the probability of harm. A highly automated device can have narrow limits and strong controls. An advisory device can cause harm through automation bias.</w:t>
      </w:r>
    </w:p>
    <w:p>
      <w:r>
        <w:rPr>
          <w:color w:val="777777"/>
          <w:sz w:val="16"/>
        </w:rPr>
        <w:t xml:space="preserve">p014 · att1 p.2  </w:t>
      </w:r>
      <w:r>
        <w:t>CDRH should continue to use the standard concepts of probability and severity.</w:t>
      </w:r>
    </w:p>
    <w:p>
      <w:r>
        <w:rPr>
          <w:color w:val="777777"/>
          <w:sz w:val="16"/>
        </w:rPr>
        <w:t xml:space="preserve">p015 · att1 p.2  </w:t>
      </w:r>
      <w:r>
        <w:t>The risk analysis should include: The unsafe device behavior.</w:t>
      </w:r>
    </w:p>
    <w:p>
      <w:r>
        <w:rPr>
          <w:color w:val="777777"/>
          <w:sz w:val="16"/>
        </w:rPr>
        <w:t xml:space="preserve">p016 · att1 p.2  </w:t>
      </w:r>
      <w:r>
        <w:t>The possible harm.</w:t>
      </w:r>
    </w:p>
    <w:p>
      <w:r>
        <w:rPr>
          <w:color w:val="777777"/>
          <w:sz w:val="16"/>
        </w:rPr>
        <w:t xml:space="preserve">p017 · att1 p.2  </w:t>
      </w:r>
      <w:r>
        <w:t>The probability of the harm.</w:t>
      </w:r>
    </w:p>
    <w:p>
      <w:r>
        <w:rPr>
          <w:color w:val="777777"/>
          <w:sz w:val="16"/>
        </w:rPr>
        <w:t xml:space="preserve">p018 · att1 p.2  </w:t>
      </w:r>
      <w:r>
        <w:t>The available risk controls.</w:t>
      </w:r>
    </w:p>
    <w:p>
      <w:r>
        <w:rPr>
          <w:color w:val="777777"/>
          <w:sz w:val="16"/>
        </w:rPr>
        <w:t xml:space="preserve">p019 · att1 p.2  </w:t>
      </w:r>
      <w:r>
        <w:t>The remaining risk after the controls operate.</w:t>
      </w:r>
    </w:p>
    <w:p>
      <w:r>
        <w:rPr>
          <w:color w:val="777777"/>
          <w:sz w:val="16"/>
        </w:rPr>
        <w:t xml:space="preserve">p020 · att1 p.2  </w:t>
      </w:r>
      <w:r>
        <w:t>The analysis must include more than an incorrect output. A GenAI device can also fail through omission, harmful agreement, delayed escalation, or an unauthorized action.</w:t>
      </w:r>
    </w:p>
    <w:p>
      <w:r>
        <w:rPr>
          <w:color w:val="777777"/>
          <w:sz w:val="16"/>
        </w:rPr>
        <w:t xml:space="preserve">p021 · att1 p.2  </w:t>
      </w:r>
      <w:r>
        <w:t>Reversibility, time pressure, traceability, and available safeguards should modify the risk analysis. CDRH does not need more graphical axes.</w:t>
      </w:r>
    </w:p>
    <w:p>
      <w:r>
        <w:rPr>
          <w:color w:val="777777"/>
          <w:sz w:val="16"/>
        </w:rPr>
        <w:t xml:space="preserve">p022 · att1 p.2  </w:t>
      </w:r>
      <w:r>
        <w:t>Question 2: General and patient-specific output — CDRH should use one clear division:</w:t>
      </w:r>
    </w:p>
    <w:p>
      <w:r>
        <w:rPr>
          <w:color w:val="777777"/>
          <w:sz w:val="16"/>
        </w:rPr>
        <w:t xml:space="preserve">p023 · att1 p.2  </w:t>
      </w:r>
      <w:r>
        <w:t>General output.</w:t>
      </w:r>
    </w:p>
    <w:p>
      <w:r>
        <w:rPr>
          <w:color w:val="777777"/>
          <w:sz w:val="16"/>
        </w:rPr>
        <w:t xml:space="preserve">p024 · att1 p.2  </w:t>
      </w:r>
      <w:r>
        <w:t>Patient-specific output.</w:t>
      </w:r>
    </w:p>
    <w:p>
      <w:r>
        <w:rPr>
          <w:color w:val="777777"/>
          <w:sz w:val="16"/>
        </w:rPr>
        <w:t xml:space="preserve">p025 · att1 p.2  </w:t>
      </w:r>
      <w:r>
        <w:t>General output does not use information about one patient.</w:t>
      </w:r>
    </w:p>
    <w:p>
      <w:r>
        <w:rPr>
          <w:color w:val="777777"/>
          <w:sz w:val="16"/>
        </w:rPr>
        <w:t xml:space="preserve">p026 · att1 p.2  </w:t>
      </w:r>
      <w:r>
        <w:t>Patient-specific output uses or applies to one patient’s symptoms, history, images, measurements, records, or conversation.</w:t>
      </w:r>
    </w:p>
    <w:p>
      <w:r>
        <w:rPr>
          <w:color w:val="777777"/>
          <w:sz w:val="16"/>
        </w:rPr>
        <w:t xml:space="preserve">p027 · att1 p.2  </w:t>
      </w:r>
      <w:r>
        <w:t>CDRH should not classify risk by wording, tone, specificity, or degree of recommendation.</w:t>
      </w:r>
    </w:p>
    <w:p>
      <w:r>
        <w:rPr>
          <w:color w:val="777777"/>
          <w:sz w:val="16"/>
        </w:rPr>
        <w:t xml:space="preserve">p028 · att1 p.2  </w:t>
      </w:r>
      <w:r>
        <w:t>These features are difficult to define. Manufacturers can also change the wording without changing the function.</w:t>
      </w:r>
    </w:p>
    <w:p>
      <w:r>
        <w:rPr>
          <w:color w:val="777777"/>
          <w:sz w:val="16"/>
        </w:rPr>
        <w:t xml:space="preserve">p029 · att1 p.2  </w:t>
      </w:r>
      <w:r>
        <w:t>CDRH should treat patient-specific output as potentially action-directing. The possible consequence of the output should then determine the risk category.</w:t>
      </w:r>
    </w:p>
    <w:p>
      <w:r>
        <w:rPr>
          <w:color w:val="777777"/>
          <w:sz w:val="16"/>
        </w:rPr>
        <w:t xml:space="preserve">p030 · att1 p.3  </w:t>
      </w:r>
      <w:r>
        <w:t>A statement that says “consider increasing the dose” can have the same effect as a direct instruction. A warning or disclaimer does not remove this risk.</w:t>
      </w:r>
    </w:p>
    <w:p>
      <w:r>
        <w:rPr>
          <w:color w:val="777777"/>
          <w:sz w:val="16"/>
        </w:rPr>
        <w:t xml:space="preserve">p031 · att1 p.3  </w:t>
      </w:r>
      <w:r>
        <w:t>Healthcare professional review can reduce the remaining risk. However, the manufacturer must prove that this control is effective. The manufacturer must include automation bias in this evaluation.</w:t>
      </w:r>
    </w:p>
    <w:p>
      <w:r>
        <w:rPr>
          <w:color w:val="777777"/>
          <w:sz w:val="16"/>
        </w:rPr>
        <w:t xml:space="preserve">p032 · att1 p.3  </w:t>
      </w:r>
      <w:r>
        <w:t>Question 3: Patient-facing devices — A patient-facing device can have more risk when the patient cannot independently assess the output.</w:t>
      </w:r>
    </w:p>
    <w:p>
      <w:r>
        <w:rPr>
          <w:color w:val="777777"/>
          <w:sz w:val="16"/>
        </w:rPr>
        <w:t xml:space="preserve">p033 · att1 p.3  </w:t>
      </w:r>
      <w:r>
        <w:t>However, CDRH should not assume that patients lack useful knowledge or capability. A well-designed device can improve access and patient control.</w:t>
      </w:r>
    </w:p>
    <w:p>
      <w:r>
        <w:rPr>
          <w:color w:val="777777"/>
          <w:sz w:val="16"/>
        </w:rPr>
        <w:t xml:space="preserve">p034 · att1 p.3  </w:t>
      </w:r>
      <w:r>
        <w:t>The manufacturer should use the following controls: A clear and limited scope.</w:t>
      </w:r>
    </w:p>
    <w:p>
      <w:r>
        <w:rPr>
          <w:color w:val="777777"/>
          <w:sz w:val="16"/>
        </w:rPr>
        <w:t xml:space="preserve">p035 · att1 p.3  </w:t>
      </w:r>
      <w:r>
        <w:t>Clear sources for clinical information.</w:t>
      </w:r>
    </w:p>
    <w:p>
      <w:r>
        <w:rPr>
          <w:color w:val="777777"/>
          <w:sz w:val="16"/>
        </w:rPr>
        <w:t xml:space="preserve">p036 · att1 p.3  </w:t>
      </w:r>
      <w:r>
        <w:t>Clear information about uncertainty.</w:t>
      </w:r>
    </w:p>
    <w:p>
      <w:r>
        <w:rPr>
          <w:color w:val="777777"/>
          <w:sz w:val="16"/>
        </w:rPr>
        <w:t xml:space="preserve">p037 · att1 p.3  </w:t>
      </w:r>
      <w:r>
        <w:t>Human review before a high-consequence action.</w:t>
      </w:r>
    </w:p>
    <w:p>
      <w:r>
        <w:rPr>
          <w:color w:val="777777"/>
          <w:sz w:val="16"/>
        </w:rPr>
        <w:t xml:space="preserve">p038 · att1 p.3  </w:t>
      </w:r>
      <w:r>
        <w:t>A working clinical escalation process.</w:t>
      </w:r>
    </w:p>
    <w:p>
      <w:r>
        <w:rPr>
          <w:color w:val="777777"/>
          <w:sz w:val="16"/>
        </w:rPr>
        <w:t xml:space="preserve">p039 · att1 p.3  </w:t>
      </w:r>
      <w:r>
        <w:t>Tests for different ages, languages, and levels of health knowledge.</w:t>
      </w:r>
    </w:p>
    <w:p>
      <w:r>
        <w:rPr>
          <w:color w:val="777777"/>
          <w:sz w:val="16"/>
        </w:rPr>
        <w:t xml:space="preserve">p040 · att1 p.3  </w:t>
      </w:r>
      <w:r>
        <w:t>Tests of long and repeated conversations.</w:t>
      </w:r>
    </w:p>
    <w:p>
      <w:r>
        <w:rPr>
          <w:color w:val="777777"/>
          <w:sz w:val="16"/>
        </w:rPr>
        <w:t xml:space="preserve">p041 · att1 p.3  </w:t>
      </w:r>
      <w:r>
        <w:t>Users can also give false information or try to bypass safety controls. The manufacturer must include this foreseeable use in the risk analysis.</w:t>
      </w:r>
    </w:p>
    <w:p>
      <w:r>
        <w:rPr>
          <w:color w:val="777777"/>
          <w:sz w:val="16"/>
        </w:rPr>
        <w:t xml:space="preserve">p042 · att1 p.3  </w:t>
      </w:r>
      <w:r>
        <w:t>The manufacturer can monitor user and device interactions. The monitoring system can identify a high-risk conversation and start a human review.</w:t>
      </w:r>
    </w:p>
    <w:p>
      <w:r>
        <w:rPr>
          <w:color w:val="777777"/>
          <w:sz w:val="16"/>
        </w:rPr>
        <w:t xml:space="preserve">p043 · att1 p.3  </w:t>
      </w:r>
      <w:r>
        <w:t>A second AI system can help with this task. However, the manufacturer must also test and monitor the second system.</w:t>
      </w:r>
    </w:p>
    <w:p>
      <w:r>
        <w:rPr>
          <w:color w:val="777777"/>
          <w:sz w:val="16"/>
        </w:rPr>
        <w:t xml:space="preserve">p044 · att1 p.3  </w:t>
      </w:r>
      <w:r>
        <w:t>Question 4: Generalist and specialist users — Risk increases when safe use needs specialist knowledge and the user does not have that knowledge.</w:t>
      </w:r>
    </w:p>
    <w:p>
      <w:r>
        <w:rPr>
          <w:color w:val="777777"/>
          <w:sz w:val="16"/>
        </w:rPr>
        <w:t xml:space="preserve">p045 · att1 p.3  </w:t>
      </w:r>
      <w:r>
        <w:t>The intended user must form part of the intended use.</w:t>
      </w:r>
    </w:p>
    <w:p>
      <w:r>
        <w:rPr>
          <w:color w:val="777777"/>
          <w:sz w:val="16"/>
        </w:rPr>
        <w:t xml:space="preserve">p046 · att1 p.3  </w:t>
      </w:r>
      <w:r>
        <w:t>A device for specialist use and a device for generalist use are different devices for evaluation purposes. The manufacturer must confirm each intended use.</w:t>
      </w:r>
    </w:p>
    <w:p>
      <w:r>
        <w:rPr>
          <w:color w:val="777777"/>
          <w:sz w:val="16"/>
        </w:rPr>
        <w:t xml:space="preserve">p047 · att1 p.3  </w:t>
      </w:r>
      <w:r>
        <w:t>Controls can include: Verified user roles.</w:t>
      </w:r>
    </w:p>
    <w:p>
      <w:r>
        <w:rPr>
          <w:color w:val="777777"/>
          <w:sz w:val="16"/>
        </w:rPr>
        <w:t xml:space="preserve">p048 · att1 p.4  </w:t>
      </w:r>
      <w:r>
        <w:t>Role-based access.</w:t>
      </w:r>
    </w:p>
    <w:p>
      <w:r>
        <w:rPr>
          <w:color w:val="777777"/>
          <w:sz w:val="16"/>
        </w:rPr>
        <w:t xml:space="preserve">p049 · att1 p.4  </w:t>
      </w:r>
      <w:r>
        <w:t>Specialist confirmation for specified actions.</w:t>
      </w:r>
    </w:p>
    <w:p>
      <w:r>
        <w:rPr>
          <w:color w:val="777777"/>
          <w:sz w:val="16"/>
        </w:rPr>
        <w:t xml:space="preserve">p050 · att1 p.4  </w:t>
      </w:r>
      <w:r>
        <w:t>Automatic deferral for complex cases.</w:t>
      </w:r>
    </w:p>
    <w:p>
      <w:r>
        <w:rPr>
          <w:color w:val="777777"/>
          <w:sz w:val="16"/>
        </w:rPr>
        <w:t xml:space="preserve">p051 · att1 p.4  </w:t>
      </w:r>
      <w:r>
        <w:t>Monitoring of agreement, rejection, and override by user type.</w:t>
      </w:r>
    </w:p>
    <w:p>
      <w:r>
        <w:rPr>
          <w:color w:val="777777"/>
          <w:sz w:val="16"/>
        </w:rPr>
        <w:t xml:space="preserve">p052 · att1 p.4  </w:t>
      </w:r>
      <w:r>
        <w:t>The device should use verified role information. It should not estimate a user’s specialty from the conversation.</w:t>
      </w:r>
    </w:p>
    <w:p>
      <w:r>
        <w:rPr>
          <w:color w:val="777777"/>
          <w:sz w:val="16"/>
        </w:rPr>
        <w:t xml:space="preserve">p053 · att1 p.4  </w:t>
      </w:r>
      <w:r>
        <w:t>Question 5: Multi-turn conversations and scope — The manufacturer must assess complete conversations. Tests of single outputs are not sufficient.</w:t>
      </w:r>
    </w:p>
    <w:p>
      <w:r>
        <w:rPr>
          <w:color w:val="777777"/>
          <w:sz w:val="16"/>
        </w:rPr>
        <w:t xml:space="preserve">p054 · att1 p.4  </w:t>
      </w:r>
      <w:r>
        <w:t>The tests should include: Long conversations.</w:t>
      </w:r>
    </w:p>
    <w:p>
      <w:r>
        <w:rPr>
          <w:color w:val="777777"/>
          <w:sz w:val="16"/>
        </w:rPr>
        <w:t xml:space="preserve">p055 · att1 p.4  </w:t>
      </w:r>
      <w:r>
        <w:t>Repeated attempts to cross a scope boundary.</w:t>
      </w:r>
    </w:p>
    <w:p>
      <w:r>
        <w:rPr>
          <w:color w:val="777777"/>
          <w:sz w:val="16"/>
        </w:rPr>
        <w:t xml:space="preserve">p056 · att1 p.4  </w:t>
      </w:r>
      <w:r>
        <w:t>Indirect or fictional questions.</w:t>
      </w:r>
    </w:p>
    <w:p>
      <w:r>
        <w:rPr>
          <w:color w:val="777777"/>
          <w:sz w:val="16"/>
        </w:rPr>
        <w:t xml:space="preserve">p057 · att1 p.4  </w:t>
      </w:r>
      <w:r>
        <w:t>Missing or conflicting information.</w:t>
      </w:r>
    </w:p>
    <w:p>
      <w:r>
        <w:rPr>
          <w:color w:val="777777"/>
          <w:sz w:val="16"/>
        </w:rPr>
        <w:t xml:space="preserve">p058 · att1 p.4  </w:t>
      </w:r>
      <w:r>
        <w:t>New conversation sessions.</w:t>
      </w:r>
    </w:p>
    <w:p>
      <w:r>
        <w:rPr>
          <w:color w:val="777777"/>
          <w:sz w:val="16"/>
        </w:rPr>
        <w:t xml:space="preserve">p059 · att1 p.4  </w:t>
      </w:r>
      <w:r>
        <w:t>Stored memory.</w:t>
      </w:r>
    </w:p>
    <w:p>
      <w:r>
        <w:rPr>
          <w:color w:val="777777"/>
          <w:sz w:val="16"/>
        </w:rPr>
        <w:t xml:space="preserve">p060 · att1 p.4  </w:t>
      </w:r>
      <w:r>
        <w:t>Repeated tests of the same clinical case.</w:t>
      </w:r>
    </w:p>
    <w:p>
      <w:r>
        <w:rPr>
          <w:color w:val="777777"/>
          <w:sz w:val="16"/>
        </w:rPr>
        <w:t xml:space="preserve">p061 · att1 p.4  </w:t>
      </w:r>
      <w:r>
        <w:t>The manufacturer should use deterministic filters when the device can measure the scope boundary.</w:t>
      </w:r>
    </w:p>
    <w:p>
      <w:r>
        <w:rPr>
          <w:color w:val="777777"/>
          <w:sz w:val="16"/>
        </w:rPr>
        <w:t xml:space="preserve">p062 · att1 p.4  </w:t>
      </w:r>
      <w:r>
        <w:t>Current machine-learning devices already use this method. For example, an adult fracture device can reject pediatric X-rays from DICOM age data.</w:t>
      </w:r>
    </w:p>
    <w:p>
      <w:r>
        <w:rPr>
          <w:color w:val="777777"/>
          <w:sz w:val="16"/>
        </w:rPr>
        <w:t xml:space="preserve">p063 · att1 p.4  </w:t>
      </w:r>
      <w:r>
        <w:t>A GenAI device can use deterministic controls for: Patient age.</w:t>
      </w:r>
    </w:p>
    <w:p>
      <w:r>
        <w:rPr>
          <w:color w:val="777777"/>
          <w:sz w:val="16"/>
        </w:rPr>
        <w:t xml:space="preserve">p064 · att1 p.4  </w:t>
      </w:r>
      <w:r>
        <w:t>User role.</w:t>
      </w:r>
    </w:p>
    <w:p>
      <w:r>
        <w:rPr>
          <w:color w:val="777777"/>
          <w:sz w:val="16"/>
        </w:rPr>
        <w:t xml:space="preserve">p065 · att1 p.4  </w:t>
      </w:r>
      <w:r>
        <w:t>Input type.</w:t>
      </w:r>
    </w:p>
    <w:p>
      <w:r>
        <w:rPr>
          <w:color w:val="777777"/>
          <w:sz w:val="16"/>
        </w:rPr>
        <w:t xml:space="preserve">p066 · att1 p.4  </w:t>
      </w:r>
      <w:r>
        <w:t>Clinical domain.</w:t>
      </w:r>
    </w:p>
    <w:p>
      <w:r>
        <w:rPr>
          <w:color w:val="777777"/>
          <w:sz w:val="16"/>
        </w:rPr>
        <w:t xml:space="preserve">p067 · att1 p.4  </w:t>
      </w:r>
      <w:r>
        <w:t>Medication class.</w:t>
      </w:r>
    </w:p>
    <w:p>
      <w:r>
        <w:rPr>
          <w:color w:val="777777"/>
          <w:sz w:val="16"/>
        </w:rPr>
        <w:t xml:space="preserve">p068 · att1 p.4  </w:t>
      </w:r>
      <w:r>
        <w:t>Permitted tools.</w:t>
      </w:r>
    </w:p>
    <w:p>
      <w:r>
        <w:rPr>
          <w:color w:val="777777"/>
          <w:sz w:val="16"/>
        </w:rPr>
        <w:t xml:space="preserve">p069 · att1 p.4  </w:t>
      </w:r>
      <w:r>
        <w:t>Permitted actions.</w:t>
      </w:r>
    </w:p>
    <w:p>
      <w:r>
        <w:rPr>
          <w:color w:val="777777"/>
          <w:sz w:val="16"/>
        </w:rPr>
        <w:t xml:space="preserve">p070 · att1 p.4  </w:t>
      </w:r>
      <w:r>
        <w:t>The control should operate outside the generative model where possible.</w:t>
      </w:r>
    </w:p>
    <w:p>
      <w:r>
        <w:rPr>
          <w:color w:val="777777"/>
          <w:sz w:val="16"/>
        </w:rPr>
        <w:t xml:space="preserve">p071 · att1 p.5  </w:t>
      </w:r>
      <w:r>
        <w:t>When no control stops out-of-scope behavior, the manufacturer must treat that behavior as foreseeable. The manufacturer must include it in the safety evaluation.</w:t>
      </w:r>
    </w:p>
    <w:p>
      <w:r>
        <w:rPr>
          <w:color w:val="777777"/>
          <w:sz w:val="16"/>
        </w:rPr>
        <w:t xml:space="preserve">p072 · att1 p.5  </w:t>
      </w:r>
      <w:r>
        <w:t>Question 6: Care escalation — The manufacturer must measure three types of error:</w:t>
      </w:r>
    </w:p>
    <w:p>
      <w:r>
        <w:rPr>
          <w:color w:val="777777"/>
          <w:sz w:val="16"/>
        </w:rPr>
        <w:t xml:space="preserve">p073 · att1 p.5  </w:t>
      </w:r>
      <w:r>
        <w:t>Under-escalation.</w:t>
      </w:r>
    </w:p>
    <w:p>
      <w:r>
        <w:rPr>
          <w:color w:val="777777"/>
          <w:sz w:val="16"/>
        </w:rPr>
        <w:t xml:space="preserve">p074 · att1 p.5  </w:t>
      </w:r>
      <w:r>
        <w:t>Over-escalation.</w:t>
      </w:r>
    </w:p>
    <w:p>
      <w:r>
        <w:rPr>
          <w:color w:val="777777"/>
          <w:sz w:val="16"/>
        </w:rPr>
        <w:t xml:space="preserve">p075 · att1 p.5  </w:t>
      </w:r>
      <w:r>
        <w:t>Failed escalation.</w:t>
      </w:r>
    </w:p>
    <w:p>
      <w:r>
        <w:rPr>
          <w:color w:val="777777"/>
          <w:sz w:val="16"/>
        </w:rPr>
        <w:t xml:space="preserve">p076 · att1 p.5  </w:t>
      </w:r>
      <w:r>
        <w:t>Failed escalation occurs when the device starts an escalation but the handoff does not work. The device can select the wrong service. The alert can arrive too late. The responsible person can fail to act.</w:t>
      </w:r>
    </w:p>
    <w:p>
      <w:r>
        <w:rPr>
          <w:color w:val="777777"/>
          <w:sz w:val="16"/>
        </w:rPr>
        <w:t xml:space="preserve">p077 · att1 p.5  </w:t>
      </w:r>
      <w:r>
        <w:t>The manufacturer should measure: Sensitivity for required escalation.</w:t>
      </w:r>
    </w:p>
    <w:p>
      <w:r>
        <w:rPr>
          <w:color w:val="777777"/>
          <w:sz w:val="16"/>
        </w:rPr>
        <w:t xml:space="preserve">p078 · att1 p.5  </w:t>
      </w:r>
      <w:r>
        <w:t>False-positive and false-negative rates.</w:t>
      </w:r>
    </w:p>
    <w:p>
      <w:r>
        <w:rPr>
          <w:color w:val="777777"/>
          <w:sz w:val="16"/>
        </w:rPr>
        <w:t xml:space="preserve">p079 · att1 p.5  </w:t>
      </w:r>
      <w:r>
        <w:t>Time to escalation.</w:t>
      </w:r>
    </w:p>
    <w:p>
      <w:r>
        <w:rPr>
          <w:color w:val="777777"/>
          <w:sz w:val="16"/>
        </w:rPr>
        <w:t xml:space="preserve">p080 · att1 p.5  </w:t>
      </w:r>
      <w:r>
        <w:t>The selected care destination.</w:t>
      </w:r>
    </w:p>
    <w:p>
      <w:r>
        <w:rPr>
          <w:color w:val="777777"/>
          <w:sz w:val="16"/>
        </w:rPr>
        <w:t xml:space="preserve">p081 · att1 p.5  </w:t>
      </w:r>
      <w:r>
        <w:t>Completion of the handoff.</w:t>
      </w:r>
    </w:p>
    <w:p>
      <w:r>
        <w:rPr>
          <w:color w:val="777777"/>
          <w:sz w:val="16"/>
        </w:rPr>
        <w:t xml:space="preserve">p082 · att1 p.5  </w:t>
      </w:r>
      <w:r>
        <w:t>The clinical and operational result.</w:t>
      </w:r>
    </w:p>
    <w:p>
      <w:r>
        <w:rPr>
          <w:color w:val="777777"/>
          <w:sz w:val="16"/>
        </w:rPr>
        <w:t xml:space="preserve">p083 · att1 p.5  </w:t>
      </w:r>
      <w:r>
        <w:t>A severe under-escalation error needs its own pass or fail limit. Good performance on common cases must not compensate for a severe failure.</w:t>
      </w:r>
    </w:p>
    <w:p>
      <w:r>
        <w:rPr>
          <w:color w:val="777777"/>
          <w:sz w:val="16"/>
        </w:rPr>
        <w:t xml:space="preserve">p084 · att1 p.6  </w:t>
      </w:r>
      <w:r>
        <w:t>Layer 1: Competency — Questions 7 to 10: Device benchmarking — The competency approach is useful and necessary.</w:t>
      </w:r>
    </w:p>
    <w:p>
      <w:r>
        <w:rPr>
          <w:color w:val="777777"/>
          <w:sz w:val="16"/>
        </w:rPr>
        <w:t xml:space="preserve">p085 · att1 p.6  </w:t>
      </w:r>
      <w:r>
        <w:t>The manufacturer must test the final device configuration. The test must include the model, prompts, retrieval system, controls, tools, and user interface.</w:t>
      </w:r>
    </w:p>
    <w:p>
      <w:r>
        <w:rPr>
          <w:color w:val="777777"/>
          <w:sz w:val="16"/>
        </w:rPr>
        <w:t xml:space="preserve">p086 · att1 p.6  </w:t>
      </w:r>
      <w:r>
        <w:t>Benchmarking should act as a gate to clinical confirmation. It should not provide the full assurance of safety and effectiveness.</w:t>
      </w:r>
    </w:p>
    <w:p>
      <w:r>
        <w:rPr>
          <w:color w:val="777777"/>
          <w:sz w:val="16"/>
        </w:rPr>
        <w:t xml:space="preserve">p087 · att1 p.6  </w:t>
      </w:r>
      <w:r>
        <w:t>Each high-consequence failure must have a separate acceptance limit. An average score can hide an important failure.</w:t>
      </w:r>
    </w:p>
    <w:p>
      <w:r>
        <w:rPr>
          <w:color w:val="777777"/>
          <w:sz w:val="16"/>
        </w:rPr>
        <w:t xml:space="preserve">p088 · att1 p.6  </w:t>
      </w:r>
      <w:r>
        <w:t>Competency tests should include: Clinical knowledge.</w:t>
      </w:r>
    </w:p>
    <w:p>
      <w:r>
        <w:rPr>
          <w:color w:val="777777"/>
          <w:sz w:val="16"/>
        </w:rPr>
        <w:t xml:space="preserve">p089 · att1 p.6  </w:t>
      </w:r>
      <w:r>
        <w:t>Important omissions.</w:t>
      </w:r>
    </w:p>
    <w:p>
      <w:r>
        <w:rPr>
          <w:color w:val="777777"/>
          <w:sz w:val="16"/>
        </w:rPr>
        <w:t xml:space="preserve">p090 · att1 p.6  </w:t>
      </w:r>
      <w:r>
        <w:t>Scope control.</w:t>
      </w:r>
    </w:p>
    <w:p>
      <w:r>
        <w:rPr>
          <w:color w:val="777777"/>
          <w:sz w:val="16"/>
        </w:rPr>
        <w:t xml:space="preserve">p091 · att1 p.6  </w:t>
      </w:r>
      <w:r>
        <w:t>Refusal and deferral.</w:t>
      </w:r>
    </w:p>
    <w:p>
      <w:r>
        <w:rPr>
          <w:color w:val="777777"/>
          <w:sz w:val="16"/>
        </w:rPr>
        <w:t xml:space="preserve">p092 · att1 p.6  </w:t>
      </w:r>
      <w:r>
        <w:t>Long conversations.</w:t>
      </w:r>
    </w:p>
    <w:p>
      <w:r>
        <w:rPr>
          <w:color w:val="777777"/>
          <w:sz w:val="16"/>
        </w:rPr>
        <w:t xml:space="preserve">p093 · att1 p.6  </w:t>
      </w:r>
      <w:r>
        <w:t>Escalation.</w:t>
      </w:r>
    </w:p>
    <w:p>
      <w:r>
        <w:rPr>
          <w:color w:val="777777"/>
          <w:sz w:val="16"/>
        </w:rPr>
        <w:t xml:space="preserve">p094 · att1 p.6  </w:t>
      </w:r>
      <w:r>
        <w:t>Repeated output variation.</w:t>
      </w:r>
    </w:p>
    <w:p>
      <w:r>
        <w:rPr>
          <w:color w:val="777777"/>
          <w:sz w:val="16"/>
        </w:rPr>
        <w:t xml:space="preserve">p095 · att1 p.6  </w:t>
      </w:r>
      <w:r>
        <w:t>Input data errors.</w:t>
      </w:r>
    </w:p>
    <w:p>
      <w:r>
        <w:rPr>
          <w:color w:val="777777"/>
          <w:sz w:val="16"/>
        </w:rPr>
        <w:t xml:space="preserve">p096 · att1 p.6  </w:t>
      </w:r>
      <w:r>
        <w:t>Tool use.</w:t>
      </w:r>
    </w:p>
    <w:p>
      <w:r>
        <w:rPr>
          <w:color w:val="777777"/>
          <w:sz w:val="16"/>
        </w:rPr>
        <w:t xml:space="preserve">p097 · att1 p.6  </w:t>
      </w:r>
      <w:r>
        <w:t>Unauthorized actions.</w:t>
      </w:r>
    </w:p>
    <w:p>
      <w:r>
        <w:rPr>
          <w:color w:val="777777"/>
          <w:sz w:val="16"/>
        </w:rPr>
        <w:t xml:space="preserve">p098 · att1 p.6  </w:t>
      </w:r>
      <w:r>
        <w:t>Behavior after a system change.</w:t>
      </w:r>
    </w:p>
    <w:p>
      <w:r>
        <w:rPr>
          <w:color w:val="777777"/>
          <w:sz w:val="16"/>
        </w:rPr>
        <w:t xml:space="preserve">p099 · att1 p.6  </w:t>
      </w:r>
      <w:r>
        <w:t>The manufacturer must map each test to the intended use or to a specified hazard.</w:t>
      </w:r>
    </w:p>
    <w:p>
      <w:r>
        <w:rPr>
          <w:color w:val="777777"/>
          <w:sz w:val="16"/>
        </w:rPr>
        <w:t xml:space="preserve">p100 · att1 p.6  </w:t>
      </w:r>
      <w:r>
        <w:t>The manufacturer should also show that: The test population represents the intended population.</w:t>
      </w:r>
    </w:p>
    <w:p>
      <w:r>
        <w:rPr>
          <w:color w:val="777777"/>
          <w:sz w:val="16"/>
        </w:rPr>
        <w:t xml:space="preserve">p101 · att1 p.6  </w:t>
      </w:r>
      <w:r>
        <w:t>The test includes rare and severe cases.</w:t>
      </w:r>
    </w:p>
    <w:p>
      <w:r>
        <w:rPr>
          <w:color w:val="777777"/>
          <w:sz w:val="16"/>
        </w:rPr>
        <w:t xml:space="preserve">p102 · att1 p.6  </w:t>
      </w:r>
      <w:r>
        <w:t>The acceptance limits were specified before the test.</w:t>
      </w:r>
    </w:p>
    <w:p>
      <w:r>
        <w:rPr>
          <w:color w:val="777777"/>
          <w:sz w:val="16"/>
        </w:rPr>
        <w:t xml:space="preserve">p103 · att1 p.6  </w:t>
      </w:r>
      <w:r>
        <w:t>The test data were separate from development data.</w:t>
      </w:r>
    </w:p>
    <w:p>
      <w:r>
        <w:rPr>
          <w:color w:val="777777"/>
          <w:sz w:val="16"/>
        </w:rPr>
        <w:t xml:space="preserve">p104 · att1 p.6  </w:t>
      </w:r>
      <w:r>
        <w:t>Qualified independent reviewers assessed open outputs.</w:t>
      </w:r>
    </w:p>
    <w:p>
      <w:r>
        <w:rPr>
          <w:color w:val="777777"/>
          <w:sz w:val="16"/>
        </w:rPr>
        <w:t xml:space="preserve">p105 · att1 p.6  </w:t>
      </w:r>
      <w:r>
        <w:t>Repeated tests gave stable safety results.</w:t>
      </w:r>
    </w:p>
    <w:p>
      <w:r>
        <w:rPr>
          <w:color w:val="777777"/>
          <w:sz w:val="16"/>
        </w:rPr>
        <w:t xml:space="preserve">p106 · att1 p.6  </w:t>
      </w:r>
      <w:r>
        <w:t>Clinical confirmation supports the benchmark results.</w:t>
      </w:r>
    </w:p>
    <w:p>
      <w:r>
        <w:rPr>
          <w:color w:val="777777"/>
          <w:sz w:val="16"/>
        </w:rPr>
        <w:t xml:space="preserve">p107 · att1 p.7  </w:t>
      </w:r>
      <w:r>
        <w:t>The two-axis framework should not directly set the amount of evidence. The hazard analysis and the effectiveness of the risk controls should set the evidence requirements.</w:t>
      </w:r>
    </w:p>
    <w:p>
      <w:r>
        <w:rPr>
          <w:color w:val="777777"/>
          <w:sz w:val="16"/>
        </w:rPr>
        <w:t xml:space="preserve">p108 · att1 p.7  </w:t>
      </w:r>
      <w:r>
        <w:t>Question 17: Other model types — The three-layer approach can apply to different model types.</w:t>
      </w:r>
    </w:p>
    <w:p>
      <w:r>
        <w:rPr>
          <w:color w:val="777777"/>
          <w:sz w:val="16"/>
        </w:rPr>
        <w:t xml:space="preserve">p109 · att1 p.7  </w:t>
      </w:r>
      <w:r>
        <w:t>A multimodal device needs tests for: Incorrect links between text, images, and other data.</w:t>
      </w:r>
    </w:p>
    <w:p>
      <w:r>
        <w:rPr>
          <w:color w:val="777777"/>
          <w:sz w:val="16"/>
        </w:rPr>
        <w:t xml:space="preserve">p110 · att1 p.7  </w:t>
      </w:r>
      <w:r>
        <w:t>Missing or conflicting inputs.</w:t>
      </w:r>
    </w:p>
    <w:p>
      <w:r>
        <w:rPr>
          <w:color w:val="777777"/>
          <w:sz w:val="16"/>
        </w:rPr>
        <w:t xml:space="preserve">p111 · att1 p.7  </w:t>
      </w:r>
      <w:r>
        <w:t>Incorrect patient or time-point matching.</w:t>
      </w:r>
    </w:p>
    <w:p>
      <w:r>
        <w:rPr>
          <w:color w:val="777777"/>
          <w:sz w:val="16"/>
        </w:rPr>
        <w:t xml:space="preserve">p112 · att1 p.7  </w:t>
      </w:r>
      <w:r>
        <w:t>Unsupported statements about an image or signal.</w:t>
      </w:r>
    </w:p>
    <w:p>
      <w:r>
        <w:rPr>
          <w:color w:val="777777"/>
          <w:sz w:val="16"/>
        </w:rPr>
        <w:t xml:space="preserve">p113 · att1 p.7  </w:t>
      </w:r>
      <w:r>
        <w:t>Changes in imaging equipment or acquisition method.</w:t>
      </w:r>
    </w:p>
    <w:p>
      <w:r>
        <w:rPr>
          <w:color w:val="777777"/>
          <w:sz w:val="16"/>
        </w:rPr>
        <w:t xml:space="preserve">p114 · att1 p.7  </w:t>
      </w:r>
      <w:r>
        <w:t>A predictive world model needs tests for: Error across multiple predicted steps.</w:t>
      </w:r>
    </w:p>
    <w:p>
      <w:r>
        <w:rPr>
          <w:color w:val="777777"/>
          <w:sz w:val="16"/>
        </w:rPr>
        <w:t xml:space="preserve">p115 · att1 p.7  </w:t>
      </w:r>
      <w:r>
        <w:t>Incorrect counterfactual results.</w:t>
      </w:r>
    </w:p>
    <w:p>
      <w:r>
        <w:rPr>
          <w:color w:val="777777"/>
          <w:sz w:val="16"/>
        </w:rPr>
        <w:t xml:space="preserve">p116 · att1 p.7  </w:t>
      </w:r>
      <w:r>
        <w:t>Uncertainty in future states.</w:t>
      </w:r>
    </w:p>
    <w:p>
      <w:r>
        <w:rPr>
          <w:color w:val="777777"/>
          <w:sz w:val="16"/>
        </w:rPr>
        <w:t xml:space="preserve">p117 · att1 p.7  </w:t>
      </w:r>
      <w:r>
        <w:t>Failure when real events differ from predicted events.</w:t>
      </w:r>
    </w:p>
    <w:p>
      <w:r>
        <w:rPr>
          <w:color w:val="777777"/>
          <w:sz w:val="16"/>
        </w:rPr>
        <w:t xml:space="preserve">p118 · att1 p.7  </w:t>
      </w:r>
      <w:r>
        <w:t>The final device remains the main unit of evaluation.</w:t>
      </w:r>
    </w:p>
    <w:p>
      <w:r>
        <w:rPr>
          <w:color w:val="777777"/>
          <w:sz w:val="16"/>
        </w:rPr>
        <w:t xml:space="preserve">p119 · att1 p.7  </w:t>
      </w:r>
      <w:r>
        <w:t>Question 25: Foundation Model MAFs — A Foundation Model MAF can provide useful dependency information. It cannot prove that a final device is safe or effective.</w:t>
      </w:r>
    </w:p>
    <w:p>
      <w:r>
        <w:rPr>
          <w:color w:val="777777"/>
          <w:sz w:val="16"/>
        </w:rPr>
        <w:t xml:space="preserve">p120 · att1 p.7  </w:t>
      </w:r>
      <w:r>
        <w:t>Useful MAF content includes: The model and version identifier.</w:t>
      </w:r>
    </w:p>
    <w:p>
      <w:r>
        <w:rPr>
          <w:color w:val="777777"/>
          <w:sz w:val="16"/>
        </w:rPr>
        <w:t xml:space="preserve">p121 · att1 p.7  </w:t>
      </w:r>
      <w:r>
        <w:t>The supported data types.</w:t>
      </w:r>
    </w:p>
    <w:p>
      <w:r>
        <w:rPr>
          <w:color w:val="777777"/>
          <w:sz w:val="16"/>
        </w:rPr>
        <w:t xml:space="preserve">p122 · att1 p.7  </w:t>
      </w:r>
      <w:r>
        <w:t>The intended and unsupported uses.</w:t>
      </w:r>
    </w:p>
    <w:p>
      <w:r>
        <w:rPr>
          <w:color w:val="777777"/>
          <w:sz w:val="16"/>
        </w:rPr>
        <w:t xml:space="preserve">p123 · att1 p.7  </w:t>
      </w:r>
      <w:r>
        <w:t>Known failure modes.</w:t>
      </w:r>
    </w:p>
    <w:p>
      <w:r>
        <w:rPr>
          <w:color w:val="777777"/>
          <w:sz w:val="16"/>
        </w:rPr>
        <w:t xml:space="preserve">p124 · att1 p.7  </w:t>
      </w:r>
      <w:r>
        <w:t>Safety controls.</w:t>
      </w:r>
    </w:p>
    <w:p>
      <w:r>
        <w:rPr>
          <w:color w:val="777777"/>
          <w:sz w:val="16"/>
        </w:rPr>
        <w:t xml:space="preserve">p125 · att1 p.7  </w:t>
      </w:r>
      <w:r>
        <w:t>Healthcare test results.</w:t>
      </w:r>
    </w:p>
    <w:p>
      <w:r>
        <w:rPr>
          <w:color w:val="777777"/>
          <w:sz w:val="16"/>
        </w:rPr>
        <w:t xml:space="preserve">p126 · att1 p.7  </w:t>
      </w:r>
      <w:r>
        <w:t>Output variation.</w:t>
      </w:r>
    </w:p>
    <w:p>
      <w:r>
        <w:rPr>
          <w:color w:val="777777"/>
          <w:sz w:val="16"/>
        </w:rPr>
        <w:t xml:space="preserve">p127 · att1 p.7  </w:t>
      </w:r>
      <w:r>
        <w:t>Change history.</w:t>
      </w:r>
    </w:p>
    <w:p>
      <w:r>
        <w:rPr>
          <w:color w:val="777777"/>
          <w:sz w:val="16"/>
        </w:rPr>
        <w:t xml:space="preserve">p128 · att1 p.7  </w:t>
      </w:r>
      <w:r>
        <w:t>Update notice requirements.</w:t>
      </w:r>
    </w:p>
    <w:p>
      <w:r>
        <w:rPr>
          <w:color w:val="777777"/>
          <w:sz w:val="16"/>
        </w:rPr>
        <w:t xml:space="preserve">p129 · att1 p.7  </w:t>
      </w:r>
      <w:r>
        <w:t>Incident information.</w:t>
      </w:r>
    </w:p>
    <w:p>
      <w:r>
        <w:rPr>
          <w:color w:val="777777"/>
          <w:sz w:val="16"/>
        </w:rPr>
        <w:t xml:space="preserve">p130 · att1 p.7  </w:t>
      </w:r>
      <w:r>
        <w:t>Version control and rollback options.</w:t>
      </w:r>
    </w:p>
    <w:p>
      <w:r>
        <w:rPr>
          <w:color w:val="777777"/>
          <w:sz w:val="16"/>
        </w:rPr>
        <w:t xml:space="preserve">p131 · att1 p.8  </w:t>
      </w:r>
      <w:r>
        <w:t>Service withdrawal plans.</w:t>
      </w:r>
    </w:p>
    <w:p>
      <w:r>
        <w:rPr>
          <w:color w:val="777777"/>
          <w:sz w:val="16"/>
        </w:rPr>
        <w:t xml:space="preserve">p132 · att1 p.8  </w:t>
      </w:r>
      <w:r>
        <w:t>The manufacturer must still test the final device.</w:t>
      </w:r>
    </w:p>
    <w:p>
      <w:r>
        <w:rPr>
          <w:color w:val="777777"/>
          <w:sz w:val="16"/>
        </w:rPr>
        <w:t xml:space="preserve">p133 · att1 p.8  </w:t>
      </w:r>
      <w:r>
        <w:t>A voluntary MAF can reduce repeated work. However, CDRH should require another method when the model provider does not give sufficient information.</w:t>
      </w:r>
    </w:p>
    <w:p>
      <w:r>
        <w:rPr>
          <w:color w:val="777777"/>
          <w:sz w:val="16"/>
        </w:rPr>
        <w:t xml:space="preserve">p134 · att1 p.8  </w:t>
      </w:r>
      <w:r>
        <w:t>Question 26: Agentic devices — Agentic devices need additional tests and controls.</w:t>
      </w:r>
    </w:p>
    <w:p>
      <w:r>
        <w:rPr>
          <w:color w:val="777777"/>
          <w:sz w:val="16"/>
        </w:rPr>
        <w:t xml:space="preserve">p135 · att1 p.8  </w:t>
      </w:r>
      <w:r>
        <w:t>The manufacturer must assess: Incorrect plans.</w:t>
      </w:r>
    </w:p>
    <w:p>
      <w:r>
        <w:rPr>
          <w:color w:val="777777"/>
          <w:sz w:val="16"/>
        </w:rPr>
        <w:t xml:space="preserve">p136 · att1 p.8  </w:t>
      </w:r>
      <w:r>
        <w:t>Errors that increase across several steps.</w:t>
      </w:r>
    </w:p>
    <w:p>
      <w:r>
        <w:rPr>
          <w:color w:val="777777"/>
          <w:sz w:val="16"/>
        </w:rPr>
        <w:t xml:space="preserve">p137 · att1 p.8  </w:t>
      </w:r>
      <w:r>
        <w:t>Incorrect tool selection.</w:t>
      </w:r>
    </w:p>
    <w:p>
      <w:r>
        <w:rPr>
          <w:color w:val="777777"/>
          <w:sz w:val="16"/>
        </w:rPr>
        <w:t xml:space="preserve">p138 · att1 p.8  </w:t>
      </w:r>
      <w:r>
        <w:t>Incorrect tool inputs.</w:t>
      </w:r>
    </w:p>
    <w:p>
      <w:r>
        <w:rPr>
          <w:color w:val="777777"/>
          <w:sz w:val="16"/>
        </w:rPr>
        <w:t xml:space="preserve">p139 · att1 p.8  </w:t>
      </w:r>
      <w:r>
        <w:t>Unauthorized actions.</w:t>
      </w:r>
    </w:p>
    <w:p>
      <w:r>
        <w:rPr>
          <w:color w:val="777777"/>
          <w:sz w:val="16"/>
        </w:rPr>
        <w:t xml:space="preserve">p140 · att1 p.8  </w:t>
      </w:r>
      <w:r>
        <w:t>Prompt injection.</w:t>
      </w:r>
    </w:p>
    <w:p>
      <w:r>
        <w:rPr>
          <w:color w:val="777777"/>
          <w:sz w:val="16"/>
        </w:rPr>
        <w:t xml:space="preserve">p141 · att1 p.8  </w:t>
      </w:r>
      <w:r>
        <w:t>Privilege escalation.</w:t>
      </w:r>
    </w:p>
    <w:p>
      <w:r>
        <w:rPr>
          <w:color w:val="777777"/>
          <w:sz w:val="16"/>
        </w:rPr>
        <w:t xml:space="preserve">p142 · att1 p.8  </w:t>
      </w:r>
      <w:r>
        <w:t>Failure to stop.</w:t>
      </w:r>
    </w:p>
    <w:p>
      <w:r>
        <w:rPr>
          <w:color w:val="777777"/>
          <w:sz w:val="16"/>
        </w:rPr>
        <w:t xml:space="preserve">p143 · att1 p.8  </w:t>
      </w:r>
      <w:r>
        <w:t>Failure to reverse an action.</w:t>
      </w:r>
    </w:p>
    <w:p>
      <w:r>
        <w:rPr>
          <w:color w:val="777777"/>
          <w:sz w:val="16"/>
        </w:rPr>
        <w:t xml:space="preserve">p144 · att1 p.8  </w:t>
      </w:r>
      <w:r>
        <w:t>The device should use: Least-privilege access.</w:t>
      </w:r>
    </w:p>
    <w:p>
      <w:r>
        <w:rPr>
          <w:color w:val="777777"/>
          <w:sz w:val="16"/>
        </w:rPr>
        <w:t xml:space="preserve">p145 · att1 p.8  </w:t>
      </w:r>
      <w:r>
        <w:t>Deterministic tool allowlists.</w:t>
      </w:r>
    </w:p>
    <w:p>
      <w:r>
        <w:rPr>
          <w:color w:val="777777"/>
          <w:sz w:val="16"/>
        </w:rPr>
        <w:t xml:space="preserve">p146 · att1 p.8  </w:t>
      </w:r>
      <w:r>
        <w:t>Deterministic action limits.</w:t>
      </w:r>
    </w:p>
    <w:p>
      <w:r>
        <w:rPr>
          <w:color w:val="777777"/>
          <w:sz w:val="16"/>
        </w:rPr>
        <w:t xml:space="preserve">p147 · att1 p.8  </w:t>
      </w:r>
      <w:r>
        <w:t>Human approval for high-consequence actions.</w:t>
      </w:r>
    </w:p>
    <w:p>
      <w:r>
        <w:rPr>
          <w:color w:val="777777"/>
          <w:sz w:val="16"/>
        </w:rPr>
        <w:t xml:space="preserve">p148 · att1 p.8  </w:t>
      </w:r>
      <w:r>
        <w:t>Complete logs.</w:t>
      </w:r>
    </w:p>
    <w:p>
      <w:r>
        <w:rPr>
          <w:color w:val="777777"/>
          <w:sz w:val="16"/>
        </w:rPr>
        <w:t xml:space="preserve">p149 · att1 p.8  </w:t>
      </w:r>
      <w:r>
        <w:t>Rate limits.</w:t>
      </w:r>
    </w:p>
    <w:p>
      <w:r>
        <w:rPr>
          <w:color w:val="777777"/>
          <w:sz w:val="16"/>
        </w:rPr>
        <w:t xml:space="preserve">p150 · att1 p.8  </w:t>
      </w:r>
      <w:r>
        <w:t>A stop control.</w:t>
      </w:r>
    </w:p>
    <w:p>
      <w:r>
        <w:rPr>
          <w:color w:val="777777"/>
          <w:sz w:val="16"/>
        </w:rPr>
        <w:t xml:space="preserve">p151 · att1 p.8  </w:t>
      </w:r>
      <w:r>
        <w:t>A rollback method.</w:t>
      </w:r>
    </w:p>
    <w:p>
      <w:r>
        <w:rPr>
          <w:color w:val="777777"/>
          <w:sz w:val="16"/>
        </w:rPr>
        <w:t xml:space="preserve">p152 · att1 p.8  </w:t>
      </w:r>
      <w:r>
        <w:t>An appointment agent must not change an HR system to create appointment capacity. The device permissions must match the approved function.</w:t>
      </w:r>
    </w:p>
    <w:p>
      <w:r>
        <w:rPr>
          <w:color w:val="777777"/>
          <w:sz w:val="16"/>
        </w:rPr>
        <w:t xml:space="preserve">p153 · att1 p.9  </w:t>
      </w:r>
      <w:r>
        <w:t>Layer 2: Clinical confirmation — Question 11: Selection of the confirmation method — The confirmation method should depend on the possible harm and the remaining uncertainty.</w:t>
      </w:r>
    </w:p>
    <w:p>
      <w:r>
        <w:rPr>
          <w:color w:val="777777"/>
          <w:sz w:val="16"/>
        </w:rPr>
        <w:t xml:space="preserve">p154 · att1 p.9  </w:t>
      </w:r>
      <w:r>
        <w:t>A retrospective study can be sufficient for a narrow function with an objective reference result.</w:t>
      </w:r>
    </w:p>
    <w:p>
      <w:r>
        <w:rPr>
          <w:color w:val="777777"/>
          <w:sz w:val="16"/>
        </w:rPr>
        <w:t xml:space="preserve">p155 · att1 p.9  </w:t>
      </w:r>
      <w:r>
        <w:t>A shadow study is useful when local data, integration, workflow, or latency can change performance.</w:t>
      </w:r>
    </w:p>
    <w:p>
      <w:r>
        <w:rPr>
          <w:color w:val="777777"/>
          <w:sz w:val="16"/>
        </w:rPr>
        <w:t xml:space="preserve">p156 · att1 p.9  </w:t>
      </w:r>
      <w:r>
        <w:t>A prospective study can be necessary for an irreversible, time-critical, or high- consequence action.</w:t>
      </w:r>
    </w:p>
    <w:p>
      <w:r>
        <w:rPr>
          <w:color w:val="777777"/>
          <w:sz w:val="16"/>
        </w:rPr>
        <w:t xml:space="preserve">p157 · att1 p.9  </w:t>
      </w:r>
      <w:r>
        <w:t>The manufacturer should use more than one site when population, equipment, workflow, or user behavior can affect performance.</w:t>
      </w:r>
    </w:p>
    <w:p>
      <w:r>
        <w:rPr>
          <w:color w:val="777777"/>
          <w:sz w:val="16"/>
        </w:rPr>
        <w:t xml:space="preserve">p158 · att1 p.9  </w:t>
      </w:r>
      <w:r>
        <w:t>The manufacturer should report natural clinical prevalence. The manufacturer should also test enough rare and severe cases.</w:t>
      </w:r>
    </w:p>
    <w:p>
      <w:r>
        <w:rPr>
          <w:color w:val="777777"/>
          <w:sz w:val="16"/>
        </w:rPr>
        <w:t xml:space="preserve">p159 · att1 p.9  </w:t>
      </w:r>
      <w:r>
        <w:t>Question 12: Statistical measurement — The manufacturer must define the unit of analysis.</w:t>
      </w:r>
    </w:p>
    <w:p>
      <w:r>
        <w:rPr>
          <w:color w:val="777777"/>
          <w:sz w:val="16"/>
        </w:rPr>
        <w:t xml:space="preserve">p160 · att1 p.9  </w:t>
      </w:r>
      <w:r>
        <w:t>The unit can be an output, a conversation, an encounter, a patient, an action, or a clinical result.</w:t>
      </w:r>
    </w:p>
    <w:p>
      <w:r>
        <w:rPr>
          <w:color w:val="777777"/>
          <w:sz w:val="16"/>
        </w:rPr>
        <w:t xml:space="preserve">p161 · att1 p.9  </w:t>
      </w:r>
      <w:r>
        <w:t>The analysis must account for repeated patients, users, and sites.</w:t>
      </w:r>
    </w:p>
    <w:p>
      <w:r>
        <w:rPr>
          <w:color w:val="777777"/>
          <w:sz w:val="16"/>
        </w:rPr>
        <w:t xml:space="preserve">p162 · att1 p.9  </w:t>
      </w:r>
      <w:r>
        <w:t>GenAI output can vary for the same input. The manufacturer must repeat tests and measure this variation.</w:t>
      </w:r>
    </w:p>
    <w:p>
      <w:r>
        <w:rPr>
          <w:color w:val="777777"/>
          <w:sz w:val="16"/>
        </w:rPr>
        <w:t xml:space="preserve">p163 · att1 p.9  </w:t>
      </w:r>
      <w:r>
        <w:t>The manufacturer should report: Confidence intervals.</w:t>
      </w:r>
    </w:p>
    <w:p>
      <w:r>
        <w:rPr>
          <w:color w:val="777777"/>
          <w:sz w:val="16"/>
        </w:rPr>
        <w:t xml:space="preserve">p164 · att1 p.9  </w:t>
      </w:r>
      <w:r>
        <w:t>Results for important subgroups.</w:t>
      </w:r>
    </w:p>
    <w:p>
      <w:r>
        <w:rPr>
          <w:color w:val="777777"/>
          <w:sz w:val="16"/>
        </w:rPr>
        <w:t xml:space="preserve">p165 · att1 p.9  </w:t>
      </w:r>
      <w:r>
        <w:t>Results by site.</w:t>
      </w:r>
    </w:p>
    <w:p>
      <w:r>
        <w:rPr>
          <w:color w:val="777777"/>
          <w:sz w:val="16"/>
        </w:rPr>
        <w:t xml:space="preserve">p166 · att1 p.9  </w:t>
      </w:r>
      <w:r>
        <w:t>Results by user type.</w:t>
      </w:r>
    </w:p>
    <w:p>
      <w:r>
        <w:rPr>
          <w:color w:val="777777"/>
          <w:sz w:val="16"/>
        </w:rPr>
        <w:t xml:space="preserve">p167 · att1 p.9  </w:t>
      </w:r>
      <w:r>
        <w:t>Results by model and configuration version.</w:t>
      </w:r>
    </w:p>
    <w:p>
      <w:r>
        <w:rPr>
          <w:color w:val="777777"/>
          <w:sz w:val="16"/>
        </w:rPr>
        <w:t xml:space="preserve">p168 · att1 p.9  </w:t>
      </w:r>
      <w:r>
        <w:t>Results for common and severe cases.</w:t>
      </w:r>
    </w:p>
    <w:p>
      <w:r>
        <w:rPr>
          <w:color w:val="777777"/>
          <w:sz w:val="16"/>
        </w:rPr>
        <w:t xml:space="preserve">p169 · att1 p.9  </w:t>
      </w:r>
      <w:r>
        <w:t>The manufacturer should report synthetic and real data separately.</w:t>
      </w:r>
    </w:p>
    <w:p>
      <w:r>
        <w:rPr>
          <w:color w:val="777777"/>
          <w:sz w:val="16"/>
        </w:rPr>
        <w:t xml:space="preserve">p170 · att1 p.10  </w:t>
      </w:r>
      <w:r>
        <w:t>The manufacturer should combine the results only when it proves that the two data sources measure the same performance distribution.</w:t>
      </w:r>
    </w:p>
    <w:p>
      <w:r>
        <w:rPr>
          <w:color w:val="777777"/>
          <w:sz w:val="16"/>
        </w:rPr>
        <w:t xml:space="preserve">p171 · att1 p.10  </w:t>
      </w:r>
      <w:r>
        <w:t>Benchmark results and clinical results should usually remain separate.</w:t>
      </w:r>
    </w:p>
    <w:p>
      <w:r>
        <w:rPr>
          <w:color w:val="777777"/>
          <w:sz w:val="16"/>
        </w:rPr>
        <w:t xml:space="preserve">p172 · att1 p.10  </w:t>
      </w:r>
      <w:r>
        <w:t>Question 13: Synthetic data — Synthetic data are useful for: Scope tests.</w:t>
      </w:r>
    </w:p>
    <w:p>
      <w:r>
        <w:rPr>
          <w:color w:val="777777"/>
          <w:sz w:val="16"/>
        </w:rPr>
        <w:t xml:space="preserve">p173 · att1 p.10  </w:t>
      </w:r>
      <w:r>
        <w:t>Rare but well-defined hazards.</w:t>
      </w:r>
    </w:p>
    <w:p>
      <w:r>
        <w:rPr>
          <w:color w:val="777777"/>
          <w:sz w:val="16"/>
        </w:rPr>
        <w:t xml:space="preserve">p174 · att1 p.10  </w:t>
      </w:r>
      <w:r>
        <w:t>Numerical errors.</w:t>
      </w:r>
    </w:p>
    <w:p>
      <w:r>
        <w:rPr>
          <w:color w:val="777777"/>
          <w:sz w:val="16"/>
        </w:rPr>
        <w:t xml:space="preserve">p175 · att1 p.10  </w:t>
      </w:r>
      <w:r>
        <w:t>Unit errors.</w:t>
      </w:r>
    </w:p>
    <w:p>
      <w:r>
        <w:rPr>
          <w:color w:val="777777"/>
          <w:sz w:val="16"/>
        </w:rPr>
        <w:t xml:space="preserve">p176 · att1 p.10  </w:t>
      </w:r>
      <w:r>
        <w:t>Adversarial tests.</w:t>
      </w:r>
    </w:p>
    <w:p>
      <w:r>
        <w:rPr>
          <w:color w:val="777777"/>
          <w:sz w:val="16"/>
        </w:rPr>
        <w:t xml:space="preserve">p177 · att1 p.10  </w:t>
      </w:r>
      <w:r>
        <w:t>Tool failures.</w:t>
      </w:r>
    </w:p>
    <w:p>
      <w:r>
        <w:rPr>
          <w:color w:val="777777"/>
          <w:sz w:val="16"/>
        </w:rPr>
        <w:t xml:space="preserve">p178 · att1 p.10  </w:t>
      </w:r>
      <w:r>
        <w:t>Controlled changes to one patient feature.</w:t>
      </w:r>
    </w:p>
    <w:p>
      <w:r>
        <w:rPr>
          <w:color w:val="777777"/>
          <w:sz w:val="16"/>
        </w:rPr>
        <w:t xml:space="preserve">p179 · att1 p.10  </w:t>
      </w:r>
      <w:r>
        <w:t>Synthetic data are not a sufficient replacement for real data about: Clinical communication.</w:t>
      </w:r>
    </w:p>
    <w:p>
      <w:r>
        <w:rPr>
          <w:color w:val="777777"/>
          <w:sz w:val="16"/>
        </w:rPr>
        <w:t xml:space="preserve">p180 · att1 p.10  </w:t>
      </w:r>
      <w:r>
        <w:t>Human behavior.</w:t>
      </w:r>
    </w:p>
    <w:p>
      <w:r>
        <w:rPr>
          <w:color w:val="777777"/>
          <w:sz w:val="16"/>
        </w:rPr>
        <w:t xml:space="preserve">p181 · att1 p.10  </w:t>
      </w:r>
      <w:r>
        <w:t>Long-term reliance.</w:t>
      </w:r>
    </w:p>
    <w:p>
      <w:r>
        <w:rPr>
          <w:color w:val="777777"/>
          <w:sz w:val="16"/>
        </w:rPr>
        <w:t xml:space="preserve">p182 · att1 p.10  </w:t>
      </w:r>
      <w:r>
        <w:t>Local workflow.</w:t>
      </w:r>
    </w:p>
    <w:p>
      <w:r>
        <w:rPr>
          <w:color w:val="777777"/>
          <w:sz w:val="16"/>
        </w:rPr>
        <w:t xml:space="preserve">p183 · att1 p.10  </w:t>
      </w:r>
      <w:r>
        <w:t>Real acquisition errors.</w:t>
      </w:r>
    </w:p>
    <w:p>
      <w:r>
        <w:rPr>
          <w:color w:val="777777"/>
          <w:sz w:val="16"/>
        </w:rPr>
        <w:t xml:space="preserve">p184 · att1 p.10  </w:t>
      </w:r>
      <w:r>
        <w:t>Poorly represented groups.</w:t>
      </w:r>
    </w:p>
    <w:p>
      <w:r>
        <w:rPr>
          <w:color w:val="777777"/>
          <w:sz w:val="16"/>
        </w:rPr>
        <w:t xml:space="preserve">p185 · att1 p.10  </w:t>
      </w:r>
      <w:r>
        <w:t>Clinical outcomes.</w:t>
      </w:r>
    </w:p>
    <w:p>
      <w:r>
        <w:rPr>
          <w:color w:val="777777"/>
          <w:sz w:val="16"/>
        </w:rPr>
        <w:t xml:space="preserve">p186 · att1 p.10  </w:t>
      </w:r>
      <w:r>
        <w:t>A model from the same model family can reproduce the same blind spots. The manufacturer should use an independent generator where possible.</w:t>
      </w:r>
    </w:p>
    <w:p>
      <w:r>
        <w:rPr>
          <w:color w:val="777777"/>
          <w:sz w:val="16"/>
        </w:rPr>
        <w:t xml:space="preserve">p187 · att1 p.10  </w:t>
      </w:r>
      <w:r>
        <w:t>The manufacturer must confirm important synthetic test results with real data.</w:t>
      </w:r>
    </w:p>
    <w:p>
      <w:r>
        <w:rPr>
          <w:color w:val="777777"/>
          <w:sz w:val="16"/>
        </w:rPr>
        <w:t xml:space="preserve">p188 · att1 p.10  </w:t>
      </w:r>
      <w:r>
        <w:t>Questions 14 and 15: Comparators — The manufacturer should use an objective reference result when one exists.</w:t>
      </w:r>
    </w:p>
    <w:p>
      <w:r>
        <w:rPr>
          <w:color w:val="777777"/>
          <w:sz w:val="16"/>
        </w:rPr>
        <w:t xml:space="preserve">p189 · att1 p.10  </w:t>
      </w:r>
      <w:r>
        <w:t>For open outputs, qualified clinicians should use a specified scoring method. The method should assess errors, omissions, actions, uncertainty, source support, and user understanding.</w:t>
      </w:r>
    </w:p>
    <w:p>
      <w:r>
        <w:rPr>
          <w:color w:val="777777"/>
          <w:sz w:val="16"/>
        </w:rPr>
        <w:t xml:space="preserve">p190 · att1 p.10  </w:t>
      </w:r>
      <w:r>
        <w:t>Specialists should set the reference result for specialist tasks.</w:t>
      </w:r>
    </w:p>
    <w:p>
      <w:r>
        <w:rPr>
          <w:color w:val="777777"/>
          <w:sz w:val="16"/>
        </w:rPr>
        <w:t xml:space="preserve">p191 · att1 p.10  </w:t>
      </w:r>
      <w:r>
        <w:t>The standard of care should set the minimum safety level. Median clinician performance can provide additional comparison data.</w:t>
      </w:r>
    </w:p>
    <w:p>
      <w:r>
        <w:rPr>
          <w:color w:val="777777"/>
          <w:sz w:val="16"/>
        </w:rPr>
        <w:t xml:space="preserve">p192 · att1 p.11  </w:t>
      </w:r>
      <w:r>
        <w:t>The manufacturer must assess human-AI team performance when the intended use includes human review. The manufacturer should also report device-only performance.</w:t>
      </w:r>
    </w:p>
    <w:p>
      <w:r>
        <w:rPr>
          <w:color w:val="777777"/>
          <w:sz w:val="16"/>
        </w:rPr>
        <w:t xml:space="preserve">p193 · att1 p.11  </w:t>
      </w:r>
      <w:r>
        <w:t>The comparator should represent the care that would occur without the device. This can include unaided judgment, delayed specialist review, current software, or no intervention.</w:t>
      </w:r>
    </w:p>
    <w:p>
      <w:r>
        <w:rPr>
          <w:color w:val="777777"/>
          <w:sz w:val="16"/>
        </w:rPr>
        <w:t xml:space="preserve">p194 · att1 p.11  </w:t>
      </w:r>
      <w:r>
        <w:t>Relevant results include safety, time to care, workload, unnecessary treatment, access, and subgroup differences.</w:t>
      </w:r>
    </w:p>
    <w:p>
      <w:r>
        <w:rPr>
          <w:color w:val="777777"/>
          <w:sz w:val="16"/>
        </w:rPr>
        <w:t xml:space="preserve">p195 · att1 p.11  </w:t>
      </w:r>
      <w:r>
        <w:t>Question 16: Independent third parties — Independent third parties can: Keep hidden test data.</w:t>
      </w:r>
    </w:p>
    <w:p>
      <w:r>
        <w:rPr>
          <w:color w:val="777777"/>
          <w:sz w:val="16"/>
        </w:rPr>
        <w:t xml:space="preserve">p196 · att1 p.11  </w:t>
      </w:r>
      <w:r>
        <w:t>run benchmark tests.</w:t>
      </w:r>
    </w:p>
    <w:p>
      <w:r>
        <w:rPr>
          <w:color w:val="777777"/>
          <w:sz w:val="16"/>
        </w:rPr>
        <w:t xml:space="preserve">p197 · att1 p.11  </w:t>
      </w:r>
      <w:r>
        <w:t>provide clinical review.</w:t>
      </w:r>
    </w:p>
    <w:p>
      <w:r>
        <w:rPr>
          <w:color w:val="777777"/>
          <w:sz w:val="16"/>
        </w:rPr>
        <w:t xml:space="preserve">p198 · att1 p.11  </w:t>
      </w:r>
      <w:r>
        <w:t>confirm sponsor methods.</w:t>
      </w:r>
    </w:p>
    <w:p>
      <w:r>
        <w:rPr>
          <w:color w:val="777777"/>
          <w:sz w:val="16"/>
        </w:rPr>
        <w:t xml:space="preserve">p199 · att1 p.11  </w:t>
      </w:r>
      <w:r>
        <w:t>perform multi-site studies.</w:t>
      </w:r>
    </w:p>
    <w:p>
      <w:r>
        <w:rPr>
          <w:color w:val="777777"/>
          <w:sz w:val="16"/>
        </w:rPr>
        <w:t xml:space="preserve">p200 · att1 p.11  </w:t>
      </w:r>
      <w:r>
        <w:t>audit monitoring programs.</w:t>
      </w:r>
    </w:p>
    <w:p>
      <w:r>
        <w:rPr>
          <w:color w:val="777777"/>
          <w:sz w:val="16"/>
        </w:rPr>
        <w:t xml:space="preserve">p201 · att1 p.11  </w:t>
      </w:r>
      <w:r>
        <w:t>The third party must have suitable clinical, statistical, technical, and human- factors knowledge.</w:t>
      </w:r>
    </w:p>
    <w:p>
      <w:r>
        <w:rPr>
          <w:color w:val="777777"/>
          <w:sz w:val="16"/>
        </w:rPr>
        <w:t xml:space="preserve">p202 · att1 p.11  </w:t>
      </w:r>
      <w:r>
        <w:t>The third party must disclose conflicts. Payment must not depend on a positive result.</w:t>
      </w:r>
    </w:p>
    <w:p>
      <w:r>
        <w:rPr>
          <w:color w:val="777777"/>
          <w:sz w:val="16"/>
        </w:rPr>
        <w:t xml:space="preserve">p203 · att1 p.11  </w:t>
      </w:r>
      <w:r>
        <w:t>FDA should permit multiple qualified organizations. One organization must not control market access.</w:t>
      </w:r>
    </w:p>
    <w:p>
      <w:r>
        <w:rPr>
          <w:color w:val="777777"/>
          <w:sz w:val="16"/>
        </w:rPr>
        <w:t xml:space="preserve">p204 · att1 p.11  </w:t>
      </w:r>
      <w:r>
        <w:t>The manufacturer must remain accountable for the device.</w:t>
      </w:r>
    </w:p>
    <w:p>
      <w:r>
        <w:rPr>
          <w:color w:val="777777"/>
          <w:sz w:val="16"/>
        </w:rPr>
        <w:t xml:space="preserve">p205 · att1 p.12  </w:t>
      </w:r>
      <w:r>
        <w:t>Layer 3: Operational assurance — Question 18: More postmarket reliance — CDRH can accept more premarket uncertainty only when the manufacturer can detect and control the remaining risk.</w:t>
      </w:r>
    </w:p>
    <w:p>
      <w:r>
        <w:rPr>
          <w:color w:val="777777"/>
          <w:sz w:val="16"/>
        </w:rPr>
        <w:t xml:space="preserve">p206 · att1 p.12  </w:t>
      </w:r>
      <w:r>
        <w:t>The device should have: A limited initial deployment.</w:t>
      </w:r>
    </w:p>
    <w:p>
      <w:r>
        <w:rPr>
          <w:color w:val="777777"/>
          <w:sz w:val="16"/>
        </w:rPr>
        <w:t xml:space="preserve">p207 · att1 p.12  </w:t>
      </w:r>
      <w:r>
        <w:t>A safe fallback process.</w:t>
      </w:r>
    </w:p>
    <w:p>
      <w:r>
        <w:rPr>
          <w:color w:val="777777"/>
          <w:sz w:val="16"/>
        </w:rPr>
        <w:t xml:space="preserve">p208 · att1 p.12  </w:t>
      </w:r>
      <w:r>
        <w:t>Continuous version records.</w:t>
      </w:r>
    </w:p>
    <w:p>
      <w:r>
        <w:rPr>
          <w:color w:val="777777"/>
          <w:sz w:val="16"/>
        </w:rPr>
        <w:t xml:space="preserve">p209 · att1 p.12  </w:t>
      </w:r>
      <w:r>
        <w:t>Defined monitoring measures.</w:t>
      </w:r>
    </w:p>
    <w:p>
      <w:r>
        <w:rPr>
          <w:color w:val="777777"/>
          <w:sz w:val="16"/>
        </w:rPr>
        <w:t xml:space="preserve">p210 · att1 p.12  </w:t>
      </w:r>
      <w:r>
        <w:t>Defined alert limits.</w:t>
      </w:r>
    </w:p>
    <w:p>
      <w:r>
        <w:rPr>
          <w:color w:val="777777"/>
          <w:sz w:val="16"/>
        </w:rPr>
        <w:t xml:space="preserve">p211 · att1 p.12  </w:t>
      </w:r>
      <w:r>
        <w:t>Named persons who review alerts.</w:t>
      </w:r>
    </w:p>
    <w:p>
      <w:r>
        <w:rPr>
          <w:color w:val="777777"/>
          <w:sz w:val="16"/>
        </w:rPr>
        <w:t xml:space="preserve">p212 · att1 p.12  </w:t>
      </w:r>
      <w:r>
        <w:t>A rapid stop or rollback method.</w:t>
      </w:r>
    </w:p>
    <w:p>
      <w:r>
        <w:rPr>
          <w:color w:val="777777"/>
          <w:sz w:val="16"/>
        </w:rPr>
        <w:t xml:space="preserve">p213 · att1 p.12  </w:t>
      </w:r>
      <w:r>
        <w:t>A plan to collect the missing evidence.</w:t>
      </w:r>
    </w:p>
    <w:p>
      <w:r>
        <w:rPr>
          <w:color w:val="777777"/>
          <w:sz w:val="16"/>
        </w:rPr>
        <w:t xml:space="preserve">p214 · att1 p.12  </w:t>
      </w:r>
      <w:r>
        <w:t>This approach is not suitable when harm is irreversible or time-critical. It is also not suitable when the manufacturer cannot detect failure before harm.</w:t>
      </w:r>
    </w:p>
    <w:p>
      <w:r>
        <w:rPr>
          <w:color w:val="777777"/>
          <w:sz w:val="16"/>
        </w:rPr>
        <w:t xml:space="preserve">p215 · att1 p.12  </w:t>
      </w:r>
      <w:r>
        <w:t>Question 19: Postmarket monitoring — Postmarket monitoring should include five areas: System operation.</w:t>
      </w:r>
    </w:p>
    <w:p>
      <w:r>
        <w:rPr>
          <w:color w:val="777777"/>
          <w:sz w:val="16"/>
        </w:rPr>
        <w:t xml:space="preserve">p216 · att1 p.12  </w:t>
      </w:r>
      <w:r>
        <w:t>Input data quality.</w:t>
      </w:r>
    </w:p>
    <w:p>
      <w:r>
        <w:rPr>
          <w:color w:val="777777"/>
          <w:sz w:val="16"/>
        </w:rPr>
        <w:t xml:space="preserve">p217 · att1 p.12  </w:t>
      </w:r>
      <w:r>
        <w:t>Device performance.</w:t>
      </w:r>
    </w:p>
    <w:p>
      <w:r>
        <w:rPr>
          <w:color w:val="777777"/>
          <w:sz w:val="16"/>
        </w:rPr>
        <w:t xml:space="preserve">p218 · att1 p.12  </w:t>
      </w:r>
      <w:r>
        <w:t>Human and device interaction.</w:t>
      </w:r>
    </w:p>
    <w:p>
      <w:r>
        <w:rPr>
          <w:color w:val="777777"/>
          <w:sz w:val="16"/>
        </w:rPr>
        <w:t xml:space="preserve">p219 · att1 p.12  </w:t>
      </w:r>
      <w:r>
        <w:t>Clinical and operational results.</w:t>
      </w:r>
    </w:p>
    <w:p>
      <w:r>
        <w:rPr>
          <w:color w:val="777777"/>
          <w:sz w:val="16"/>
        </w:rPr>
        <w:t xml:space="preserve">p220 · att1 p.12  </w:t>
      </w:r>
      <w:r>
        <w:t>The manufacturer should monitor availability, latency, failed requests, and software versions.</w:t>
      </w:r>
    </w:p>
    <w:p>
      <w:r>
        <w:rPr>
          <w:color w:val="777777"/>
          <w:sz w:val="16"/>
        </w:rPr>
        <w:t xml:space="preserve">p221 · att1 p.12  </w:t>
      </w:r>
      <w:r>
        <w:t>The manufacturer should monitor missing data, format changes, acquisition changes, and input distribution changes.</w:t>
      </w:r>
    </w:p>
    <w:p>
      <w:r>
        <w:rPr>
          <w:color w:val="777777"/>
          <w:sz w:val="16"/>
        </w:rPr>
        <w:t xml:space="preserve">p222 · att1 p.12  </w:t>
      </w:r>
      <w:r>
        <w:t>The manufacturer should monitor errors, omissions, refusals, escalation, and subgroup performance.</w:t>
      </w:r>
    </w:p>
    <w:p>
      <w:r>
        <w:rPr>
          <w:color w:val="777777"/>
          <w:sz w:val="16"/>
        </w:rPr>
        <w:t xml:space="preserve">p223 · att1 p.12  </w:t>
      </w:r>
      <w:r>
        <w:t>The manufacturer should monitor agreement, override, automation bias, and completion of recommended actions.</w:t>
      </w:r>
    </w:p>
    <w:p>
      <w:r>
        <w:rPr>
          <w:color w:val="777777"/>
          <w:sz w:val="16"/>
        </w:rPr>
        <w:t xml:space="preserve">p224 · att1 p.13  </w:t>
      </w:r>
      <w:r>
        <w:t>The manufacturer should also monitor downstream outcomes.</w:t>
      </w:r>
    </w:p>
    <w:p>
      <w:r>
        <w:rPr>
          <w:color w:val="777777"/>
          <w:sz w:val="16"/>
        </w:rPr>
        <w:t xml:space="preserve">p225 · att1 p.13  </w:t>
      </w:r>
      <w:r>
        <w:t>The manufacturer should use both random review and risk-based review. Risk- based review should include unusual inputs, disagreements, severe cases, and long conversations.</w:t>
      </w:r>
    </w:p>
    <w:p>
      <w:r>
        <w:rPr>
          <w:color w:val="777777"/>
          <w:sz w:val="16"/>
        </w:rPr>
        <w:t xml:space="preserve">p226 · att1 p.13  </w:t>
      </w:r>
      <w:r>
        <w:t>A monitoring signal must have a specified action. Possible actions include review, restriction, pause, rollback, or withdrawal.</w:t>
      </w:r>
    </w:p>
    <w:p>
      <w:r>
        <w:rPr>
          <w:color w:val="777777"/>
          <w:sz w:val="16"/>
        </w:rPr>
        <w:t xml:space="preserve">p227 · att1 p.13  </w:t>
      </w:r>
      <w:r>
        <w:t>A dashboard without an action process is not a risk control.</w:t>
      </w:r>
    </w:p>
    <w:p>
      <w:r>
        <w:rPr>
          <w:color w:val="777777"/>
          <w:sz w:val="16"/>
        </w:rPr>
        <w:t xml:space="preserve">p228 · att1 p.13  </w:t>
      </w:r>
      <w:r>
        <w:t>Question 20: Machine supervisors — A machine supervisor can find unusual behavior and select cases for review.</w:t>
      </w:r>
    </w:p>
    <w:p>
      <w:r>
        <w:rPr>
          <w:color w:val="777777"/>
          <w:sz w:val="16"/>
        </w:rPr>
        <w:t xml:space="preserve">p229 · att1 p.13  </w:t>
      </w:r>
      <w:r>
        <w:t>The manufacturer must test the supervisor as a safety component.</w:t>
      </w:r>
    </w:p>
    <w:p>
      <w:r>
        <w:rPr>
          <w:color w:val="777777"/>
          <w:sz w:val="16"/>
        </w:rPr>
        <w:t xml:space="preserve">p230 · att1 p.13  </w:t>
      </w:r>
      <w:r>
        <w:t>The test should include: Sensitivity.</w:t>
      </w:r>
    </w:p>
    <w:p>
      <w:r>
        <w:rPr>
          <w:color w:val="777777"/>
          <w:sz w:val="16"/>
        </w:rPr>
        <w:t xml:space="preserve">p231 · att1 p.13  </w:t>
      </w:r>
      <w:r>
        <w:t>False-positive rate.</w:t>
      </w:r>
    </w:p>
    <w:p>
      <w:r>
        <w:rPr>
          <w:color w:val="777777"/>
          <w:sz w:val="16"/>
        </w:rPr>
        <w:t xml:space="preserve">p232 · att1 p.13  </w:t>
      </w:r>
      <w:r>
        <w:t>False-negative rate.</w:t>
      </w:r>
    </w:p>
    <w:p>
      <w:r>
        <w:rPr>
          <w:color w:val="777777"/>
          <w:sz w:val="16"/>
        </w:rPr>
        <w:t xml:space="preserve">p233 · att1 p.13  </w:t>
      </w:r>
      <w:r>
        <w:t>Subgroup performance.</w:t>
      </w:r>
    </w:p>
    <w:p>
      <w:r>
        <w:rPr>
          <w:color w:val="777777"/>
          <w:sz w:val="16"/>
        </w:rPr>
        <w:t xml:space="preserve">p234 · att1 p.13  </w:t>
      </w:r>
      <w:r>
        <w:t>Prompt-injection resistance.</w:t>
      </w:r>
    </w:p>
    <w:p>
      <w:r>
        <w:rPr>
          <w:color w:val="777777"/>
          <w:sz w:val="16"/>
        </w:rPr>
        <w:t xml:space="preserve">p235 · att1 p.13  </w:t>
      </w:r>
      <w:r>
        <w:t>Common failure with the main device.</w:t>
      </w:r>
    </w:p>
    <w:p>
      <w:r>
        <w:rPr>
          <w:color w:val="777777"/>
          <w:sz w:val="16"/>
        </w:rPr>
        <w:t xml:space="preserve">p236 · att1 p.13  </w:t>
      </w:r>
      <w:r>
        <w:t>Behavior when the supervisor is unavailable.</w:t>
      </w:r>
    </w:p>
    <w:p>
      <w:r>
        <w:rPr>
          <w:color w:val="777777"/>
          <w:sz w:val="16"/>
        </w:rPr>
        <w:t xml:space="preserve">p237 · att1 p.13  </w:t>
      </w:r>
      <w:r>
        <w:t>The supervisor should use a different model family where possible.</w:t>
      </w:r>
    </w:p>
    <w:p>
      <w:r>
        <w:rPr>
          <w:color w:val="777777"/>
          <w:sz w:val="16"/>
        </w:rPr>
        <w:t xml:space="preserve">p238 · att1 p.13  </w:t>
      </w:r>
      <w:r>
        <w:t>The manufacturer should use deterministic controls for fixed safety boundaries. A probabilistic supervisor should not replace these controls.</w:t>
      </w:r>
    </w:p>
    <w:p>
      <w:r>
        <w:rPr>
          <w:color w:val="777777"/>
          <w:sz w:val="16"/>
        </w:rPr>
        <w:t xml:space="preserve">p239 · att1 p.13  </w:t>
      </w:r>
      <w:r>
        <w:t>Human reviewers should assess samples of flagged and unflagged cases.</w:t>
      </w:r>
    </w:p>
    <w:p>
      <w:r>
        <w:rPr>
          <w:color w:val="777777"/>
          <w:sz w:val="16"/>
        </w:rPr>
        <w:t xml:space="preserve">p240 · att1 p.13  </w:t>
      </w:r>
      <w:r>
        <w:t>Question 21: Stakeholder roles — The manufacturer must remain accountable for the marketed device.</w:t>
      </w:r>
    </w:p>
    <w:p>
      <w:r>
        <w:rPr>
          <w:color w:val="777777"/>
          <w:sz w:val="16"/>
        </w:rPr>
        <w:t xml:space="preserve">p241 · att1 p.13  </w:t>
      </w:r>
      <w:r>
        <w:t>The manufacturer must manage monitoring, investigation, corrective action, reporting, model dependencies, and change control.</w:t>
      </w:r>
    </w:p>
    <w:p>
      <w:r>
        <w:rPr>
          <w:color w:val="777777"/>
          <w:sz w:val="16"/>
        </w:rPr>
        <w:t xml:space="preserve">p242 · att1 p.13  </w:t>
      </w:r>
      <w:r>
        <w:t>The healthcare organization must manage local data, integration, workflow, access, training, and incident escalation.</w:t>
      </w:r>
    </w:p>
    <w:p>
      <w:r>
        <w:rPr>
          <w:color w:val="777777"/>
          <w:sz w:val="16"/>
        </w:rPr>
        <w:t xml:space="preserve">p243 · att1 p.13  </w:t>
      </w:r>
      <w:r>
        <w:t>Clinicians should report and review possible errors. They should not be the only monitoring method.</w:t>
      </w:r>
    </w:p>
    <w:p>
      <w:r>
        <w:rPr>
          <w:color w:val="777777"/>
          <w:sz w:val="16"/>
        </w:rPr>
        <w:t xml:space="preserve">p244 · att1 p.14  </w:t>
      </w:r>
      <w:r>
        <w:t>Professional societies can define specialist hazards, clinical measures, and reviewer qualifications.</w:t>
      </w:r>
    </w:p>
    <w:p>
      <w:r>
        <w:rPr>
          <w:color w:val="777777"/>
          <w:sz w:val="16"/>
        </w:rPr>
        <w:t xml:space="preserve">p245 · att1 p.14  </w:t>
      </w:r>
      <w:r>
        <w:t>Standards bodies can define common formats for logs, versions, incidents, and performance measures.</w:t>
      </w:r>
    </w:p>
    <w:p>
      <w:r>
        <w:rPr>
          <w:color w:val="777777"/>
          <w:sz w:val="16"/>
        </w:rPr>
        <w:t xml:space="preserve">p246 · att1 p.14  </w:t>
      </w:r>
      <w:r>
        <w:t>FDA can support a confidential multi-site monitoring network. This network can find rare signals that one manufacturer or hospital cannot find.</w:t>
      </w:r>
    </w:p>
    <w:p>
      <w:r>
        <w:rPr>
          <w:color w:val="777777"/>
          <w:sz w:val="16"/>
        </w:rPr>
        <w:t xml:space="preserve">p247 · att1 p.14  </w:t>
      </w:r>
      <w:r>
        <w:t>The Newton’s Tree disagreement example also supports shared review. Approximately half of the reviewed outliers came from the human reference or workflow.</w:t>
      </w:r>
    </w:p>
    <w:p>
      <w:r>
        <w:rPr>
          <w:color w:val="777777"/>
          <w:sz w:val="16"/>
        </w:rPr>
        <w:t xml:space="preserve">p248 · att1 p.14  </w:t>
      </w:r>
      <w:r>
        <w:t>Questions 22 and 23: Changes and PCCPs — The manufacturer should classify changes by their possible effect.</w:t>
      </w:r>
    </w:p>
    <w:p>
      <w:r>
        <w:rPr>
          <w:color w:val="777777"/>
          <w:sz w:val="16"/>
        </w:rPr>
        <w:t xml:space="preserve">p249 · att1 p.14  </w:t>
      </w:r>
      <w:r>
        <w:t>Low-effect changes — The quality system can control changes that do not change device behavior. The manufacturer must document the assessment and test the change.</w:t>
      </w:r>
    </w:p>
    <w:p>
      <w:r>
        <w:rPr>
          <w:color w:val="777777"/>
          <w:sz w:val="16"/>
        </w:rPr>
        <w:t xml:space="preserve">p250 · att1 p.14  </w:t>
      </w:r>
      <w:r>
        <w:t>Approved bounded changes — A PCCP can control specified changes to prompts, retrieval data, or guardrail limits.</w:t>
      </w:r>
    </w:p>
    <w:p>
      <w:r>
        <w:rPr>
          <w:color w:val="777777"/>
          <w:sz w:val="16"/>
        </w:rPr>
        <w:t xml:space="preserve">p251 · att1 p.14  </w:t>
      </w:r>
      <w:r>
        <w:t>The manufacturer must complete the specified tests before deployment. The manufacturer should use a limited initial release.</w:t>
      </w:r>
    </w:p>
    <w:p>
      <w:r>
        <w:rPr>
          <w:color w:val="777777"/>
          <w:sz w:val="16"/>
        </w:rPr>
        <w:t xml:space="preserve">p252 · att1 p.14  </w:t>
      </w:r>
      <w:r>
        <w:t>Material changes — A new foundation model, population, modality, tool, action, or level of autonomy can be a material change.</w:t>
      </w:r>
    </w:p>
    <w:p>
      <w:r>
        <w:rPr>
          <w:color w:val="777777"/>
          <w:sz w:val="16"/>
        </w:rPr>
        <w:t xml:space="preserve">p253 · att1 p.14  </w:t>
      </w:r>
      <w:r>
        <w:t>A material change can require full testing, new clinical confirmation, and FDA review.</w:t>
      </w:r>
    </w:p>
    <w:p>
      <w:r>
        <w:rPr>
          <w:color w:val="777777"/>
          <w:sz w:val="16"/>
        </w:rPr>
        <w:t xml:space="preserve">p254 · att1 p.14  </w:t>
      </w:r>
      <w:r>
        <w:t>A PCCP should specify: The components that can change.</w:t>
      </w:r>
    </w:p>
    <w:p>
      <w:r>
        <w:rPr>
          <w:color w:val="777777"/>
          <w:sz w:val="16"/>
        </w:rPr>
        <w:t xml:space="preserve">p255 · att1 p.14  </w:t>
      </w:r>
      <w:r>
        <w:t>The permitted purpose of each change.</w:t>
      </w:r>
    </w:p>
    <w:p>
      <w:r>
        <w:rPr>
          <w:color w:val="777777"/>
          <w:sz w:val="16"/>
        </w:rPr>
        <w:t xml:space="preserve">p256 · att1 p.14  </w:t>
      </w:r>
      <w:r>
        <w:t>The limits of each change.</w:t>
      </w:r>
    </w:p>
    <w:p>
      <w:r>
        <w:rPr>
          <w:color w:val="777777"/>
          <w:sz w:val="16"/>
        </w:rPr>
        <w:t xml:space="preserve">p257 · att1 p.14  </w:t>
      </w:r>
      <w:r>
        <w:t>The required tests.</w:t>
      </w:r>
    </w:p>
    <w:p>
      <w:r>
        <w:rPr>
          <w:color w:val="777777"/>
          <w:sz w:val="16"/>
        </w:rPr>
        <w:t xml:space="preserve">p258 · att1 p.14  </w:t>
      </w:r>
      <w:r>
        <w:t>The acceptance limits.</w:t>
      </w:r>
    </w:p>
    <w:p>
      <w:r>
        <w:rPr>
          <w:color w:val="777777"/>
          <w:sz w:val="16"/>
        </w:rPr>
        <w:t xml:space="preserve">p259 · att1 p.14  </w:t>
      </w:r>
      <w:r>
        <w:t>The deployment method.</w:t>
      </w:r>
    </w:p>
    <w:p>
      <w:r>
        <w:rPr>
          <w:color w:val="777777"/>
          <w:sz w:val="16"/>
        </w:rPr>
        <w:t xml:space="preserve">p260 · att1 p.14  </w:t>
      </w:r>
      <w:r>
        <w:t>The monitoring method.</w:t>
      </w:r>
    </w:p>
    <w:p>
      <w:r>
        <w:rPr>
          <w:color w:val="777777"/>
          <w:sz w:val="16"/>
        </w:rPr>
        <w:t xml:space="preserve">p261 · att1 p.14  </w:t>
      </w:r>
      <w:r>
        <w:t>The rollback criteria.</w:t>
      </w:r>
    </w:p>
    <w:p>
      <w:r>
        <w:rPr>
          <w:color w:val="777777"/>
          <w:sz w:val="16"/>
        </w:rPr>
        <w:t xml:space="preserve">p262 · att1 p.14  </w:t>
      </w:r>
      <w:r>
        <w:t>A change outside these limits should require a new submission.</w:t>
      </w:r>
    </w:p>
    <w:p>
      <w:r>
        <w:rPr>
          <w:color w:val="777777"/>
          <w:sz w:val="16"/>
        </w:rPr>
        <w:t xml:space="preserve">p263 · att1 p.15  </w:t>
      </w:r>
      <w:r>
        <w:t>Question 24: Third-party model changes — The manufacturer must know when a third-party foundation model changes.</w:t>
      </w:r>
    </w:p>
    <w:p>
      <w:r>
        <w:rPr>
          <w:color w:val="777777"/>
          <w:sz w:val="16"/>
        </w:rPr>
        <w:t xml:space="preserve">p264 · att1 p.15  </w:t>
      </w:r>
      <w:r>
        <w:t>Contracts should require: Advance notice.</w:t>
      </w:r>
    </w:p>
    <w:p>
      <w:r>
        <w:rPr>
          <w:color w:val="777777"/>
          <w:sz w:val="16"/>
        </w:rPr>
        <w:t xml:space="preserve">p265 · att1 p.15  </w:t>
      </w:r>
      <w:r>
        <w:t>Model and version identification.</w:t>
      </w:r>
    </w:p>
    <w:p>
      <w:r>
        <w:rPr>
          <w:color w:val="777777"/>
          <w:sz w:val="16"/>
        </w:rPr>
        <w:t xml:space="preserve">p266 · att1 p.15  </w:t>
      </w:r>
      <w:r>
        <w:t>Release information.</w:t>
      </w:r>
    </w:p>
    <w:p>
      <w:r>
        <w:rPr>
          <w:color w:val="777777"/>
          <w:sz w:val="16"/>
        </w:rPr>
        <w:t xml:space="preserve">p267 · att1 p.15  </w:t>
      </w:r>
      <w:r>
        <w:t>Safety incident information.</w:t>
      </w:r>
    </w:p>
    <w:p>
      <w:r>
        <w:rPr>
          <w:color w:val="777777"/>
          <w:sz w:val="16"/>
        </w:rPr>
        <w:t xml:space="preserve">p268 · att1 p.15  </w:t>
      </w:r>
      <w:r>
        <w:t>A suitable deprecation period.</w:t>
      </w:r>
    </w:p>
    <w:p>
      <w:r>
        <w:rPr>
          <w:color w:val="777777"/>
          <w:sz w:val="16"/>
        </w:rPr>
        <w:t xml:space="preserve">p269 · att1 p.15  </w:t>
      </w:r>
      <w:r>
        <w:t>Access to an earlier version.</w:t>
      </w:r>
    </w:p>
    <w:p>
      <w:r>
        <w:rPr>
          <w:color w:val="777777"/>
          <w:sz w:val="16"/>
        </w:rPr>
        <w:t xml:space="preserve">p270 · att1 p.15  </w:t>
      </w:r>
      <w:r>
        <w:t>Investigation support.</w:t>
      </w:r>
    </w:p>
    <w:p>
      <w:r>
        <w:rPr>
          <w:color w:val="777777"/>
          <w:sz w:val="16"/>
        </w:rPr>
        <w:t xml:space="preserve">p271 · att1 p.15  </w:t>
      </w:r>
      <w:r>
        <w:t>Rollback support.</w:t>
      </w:r>
    </w:p>
    <w:p>
      <w:r>
        <w:rPr>
          <w:color w:val="777777"/>
          <w:sz w:val="16"/>
        </w:rPr>
        <w:t xml:space="preserve">p272 · att1 p.15  </w:t>
      </w:r>
      <w:r>
        <w:t>Technical controls should include: Version logs.</w:t>
      </w:r>
    </w:p>
    <w:p>
      <w:r>
        <w:rPr>
          <w:color w:val="777777"/>
          <w:sz w:val="16"/>
        </w:rPr>
        <w:t xml:space="preserve">p273 · att1 p.15  </w:t>
      </w:r>
      <w:r>
        <w:t>Fixed production versions where possible.</w:t>
      </w:r>
    </w:p>
    <w:p>
      <w:r>
        <w:rPr>
          <w:color w:val="777777"/>
          <w:sz w:val="16"/>
        </w:rPr>
        <w:t xml:space="preserve">p274 · att1 p.15  </w:t>
      </w:r>
      <w:r>
        <w:t>Automated regression tests.</w:t>
      </w:r>
    </w:p>
    <w:p>
      <w:r>
        <w:rPr>
          <w:color w:val="777777"/>
          <w:sz w:val="16"/>
        </w:rPr>
        <w:t xml:space="preserve">p275 · att1 p.15  </w:t>
      </w:r>
      <w:r>
        <w:t>Tests before migration.</w:t>
      </w:r>
    </w:p>
    <w:p>
      <w:r>
        <w:rPr>
          <w:color w:val="777777"/>
          <w:sz w:val="16"/>
        </w:rPr>
        <w:t xml:space="preserve">p276 · att1 p.15  </w:t>
      </w:r>
      <w:r>
        <w:t>Detection of unexpected behavior changes.</w:t>
      </w:r>
    </w:p>
    <w:p>
      <w:r>
        <w:rPr>
          <w:color w:val="777777"/>
          <w:sz w:val="16"/>
        </w:rPr>
        <w:t xml:space="preserve">p277 · att1 p.15  </w:t>
      </w:r>
      <w:r>
        <w:t>Limited initial deployment.</w:t>
      </w:r>
    </w:p>
    <w:p>
      <w:r>
        <w:rPr>
          <w:color w:val="777777"/>
          <w:sz w:val="16"/>
        </w:rPr>
        <w:t xml:space="preserve">p278 · att1 p.15  </w:t>
      </w:r>
      <w:r>
        <w:t>Rapid rollback.</w:t>
      </w:r>
    </w:p>
    <w:p>
      <w:r>
        <w:rPr>
          <w:color w:val="777777"/>
          <w:sz w:val="16"/>
        </w:rPr>
        <w:t xml:space="preserve">p279 · att1 p.15  </w:t>
      </w:r>
      <w:r>
        <w:t>The manufacturer must assess the complete device after each important model change.</w:t>
      </w:r>
    </w:p>
    <w:p>
      <w:r>
        <w:rPr>
          <w:color w:val="777777"/>
          <w:sz w:val="16"/>
        </w:rPr>
        <w:t xml:space="preserve">p280 · att1 p.15  </w:t>
      </w:r>
      <w:r>
        <w:t>When the model provider does not permit sufficient control, the manufacturer has an unresolved device risk.</w:t>
      </w:r>
    </w:p>
    <w:p>
      <w:r>
        <w:rPr>
          <w:color w:val="777777"/>
          <w:sz w:val="16"/>
        </w:rPr>
        <w:t xml:space="preserve">p281 · att1 p.16  </w:t>
      </w:r>
      <w:r>
        <w:t>Conclusion — CDRH should use three assurance layers.</w:t>
      </w:r>
    </w:p>
    <w:p>
      <w:r>
        <w:rPr>
          <w:color w:val="777777"/>
          <w:sz w:val="16"/>
        </w:rPr>
        <w:t xml:space="preserve">p282 · att1 p.16  </w:t>
      </w:r>
      <w:r>
        <w:t>Competency must show that the final device can perform its task and remain within scope.</w:t>
      </w:r>
    </w:p>
    <w:p>
      <w:r>
        <w:rPr>
          <w:color w:val="777777"/>
          <w:sz w:val="16"/>
        </w:rPr>
        <w:t xml:space="preserve">p283 · att1 p.16  </w:t>
      </w:r>
      <w:r>
        <w:t>Clinical confirmation must show that the device works in the intended clinical setting.</w:t>
      </w:r>
    </w:p>
    <w:p>
      <w:r>
        <w:rPr>
          <w:color w:val="777777"/>
          <w:sz w:val="16"/>
        </w:rPr>
        <w:t xml:space="preserve">p284 · att1 p.16  </w:t>
      </w:r>
      <w:r>
        <w:t>Operational assurance must show that the device continues to work after deployment.</w:t>
      </w:r>
    </w:p>
    <w:p>
      <w:r>
        <w:rPr>
          <w:color w:val="777777"/>
          <w:sz w:val="16"/>
        </w:rPr>
        <w:t xml:space="preserve">p285 · att1 p.16  </w:t>
      </w:r>
      <w:r>
        <w:t>CDRH should use a clear division between general output and patient-specific output. It should not regulate small differences in wording.</w:t>
      </w:r>
    </w:p>
    <w:p>
      <w:r>
        <w:rPr>
          <w:color w:val="777777"/>
          <w:sz w:val="16"/>
        </w:rPr>
        <w:t xml:space="preserve">p286 · att1 p.16  </w:t>
      </w:r>
      <w:r>
        <w:t>Manufacturers should use deterministic controls for boundaries that a system can measure.</w:t>
      </w:r>
    </w:p>
    <w:p>
      <w:r>
        <w:rPr>
          <w:color w:val="777777"/>
          <w:sz w:val="16"/>
        </w:rPr>
        <w:t xml:space="preserve">p287 · att1 p.16  </w:t>
      </w:r>
      <w:r>
        <w:t>Postmarket monitoring must connect each signal to an accountable action. The available actions must include investigation, restriction, pause, rollback, and withdrawal.</w:t>
      </w:r>
    </w:p>
    <w:p>
      <w:pPr>
        <w:pStyle w:val="Heading1"/>
        <w:pageBreakBefore/>
      </w:pPr>
      <w:r>
        <w:t>FDA-2026-N-7874-0056</w:t>
      </w:r>
    </w:p>
    <w:p>
      <w:r>
        <w:t>Comment from Manuj Agarwal</w:t>
      </w:r>
    </w:p>
    <w:p>
      <w:r>
        <w:rPr>
          <w:color w:val="777777"/>
          <w:sz w:val="18"/>
        </w:rPr>
        <w:t>Health Professional - A0007 · received 2026-09-03 · attachments: attachment_1.pdf (5 pp)</w:t>
      </w:r>
    </w:p>
    <w:p>
      <w:r>
        <w:rPr>
          <w:color w:val="777777"/>
          <w:sz w:val="16"/>
        </w:rPr>
        <w:t xml:space="preserve">p001 · body  </w:t>
      </w:r>
      <w:r>
        <w:t>Please see attached comment.</w:t>
      </w:r>
    </w:p>
    <w:p>
      <w:r>
        <w:rPr>
          <w:color w:val="777777"/>
          <w:sz w:val="16"/>
        </w:rPr>
        <w:t xml:space="preserve">p002 · att1 p.1  </w:t>
      </w:r>
      <w:r>
        <w:t>PUBLIC COMMENT — Considerations for the Regulation of Generative AI-Enabled Medical Devices — Docket: FDA-2026-N-7874 Submitted by: Manuj Agarwal, MD Professional background: Board-certified radiation oncologist; Founder, Blue Wellth Capacity: Individual comment; views expressed are my own Date: September 3, 2026 Questions addressed: 4, 9, 14, 16, 19, 21, and 26</w:t>
      </w:r>
    </w:p>
    <w:p>
      <w:r>
        <w:rPr>
          <w:color w:val="777777"/>
          <w:sz w:val="16"/>
        </w:rPr>
        <w:t xml:space="preserve">p003 · att1 p.1  </w:t>
      </w:r>
      <w:r>
        <w:t>To the Food and Drug Administration: Thank you for the opportunity to comment on the Center for Devices and Radiological Health discussion paper regarding generative artificial intelligence-enabled medical devices. I am a board-certified radiation oncologist with more than ten years of experience across academic and community oncology. My clinical work requires the integration of pathology, imaging, longitudinal laboratory data, treatment history, toxicity, function, and patient preferences. I have also advised clinical AI development involving toxicity grading, validation, safety guardrails, and workflow integration. I submit this comment in my individual capacity.</w:t>
      </w:r>
    </w:p>
    <w:p>
      <w:r>
        <w:rPr>
          <w:color w:val="777777"/>
          <w:sz w:val="16"/>
        </w:rPr>
        <w:t xml:space="preserve">p004 · att1 p.1  </w:t>
      </w:r>
      <w:r>
        <w:t>My central recommendation is that clinical AI competency be assessed as task-specific and consequence-sensitive. A fluent output is not evidence of safe clinical judgment. In specialty care, a response may be coherent and medically plausible yet unsafe because it overlooks a prior treatment, applies the wrong clinical constraint, fails to recognize an exception, or does not know when the case has moved beyond its competence. The regulatory framework should therefore evaluate whether a device can perform a defined clinical task safely in its intended workflow, including whether it recognizes uncertainty, abstains appropriately, escalates to the correct expertise, and remains reliable after deployment.</w:t>
      </w:r>
    </w:p>
    <w:p>
      <w:r>
        <w:rPr>
          <w:color w:val="777777"/>
          <w:sz w:val="16"/>
        </w:rPr>
        <w:t xml:space="preserve">p005 · att1 p.1  </w:t>
      </w:r>
      <w:r>
        <w:t>Executive summary of recommendations — • Add independent reviewability and error detectability to the risk assessment. • Test the final deployed device on representative tasks, decision boundaries, and failure modes. • Use specialist comparators for specialty functions, even when the intended user is a generalist. • Evaluate both device-alone and human-device team performance; test, rather than presume, oversight. • Require independent, specialty-matched adjudication for high-consequence functions. • Combine periodic postmarket review with reassessment triggered by changes, sentinel failures, or drift. • For agentic systems, define autonomy boundaries, human checkpoints, least-privilege access, and auditability.</w:t>
      </w:r>
    </w:p>
    <w:p>
      <w:r>
        <w:rPr>
          <w:color w:val="777777"/>
          <w:sz w:val="16"/>
        </w:rPr>
        <w:t xml:space="preserve">p006 · att1 p.2  </w:t>
      </w:r>
      <w:r>
        <w:t>Question 4: Generalist versus specialist use — The distinction between generalist and specialist physicians should inform risk when safe use depends on recognizing a specialty-specific error. The relevant question is not simply whether the user is a licensed healthcare professional. It is whether the intended user can independently evaluate the device's output, identify important omissions or contradictions, and prevent harm before the output influences care.</w:t>
      </w:r>
    </w:p>
    <w:p>
      <w:r>
        <w:rPr>
          <w:color w:val="777777"/>
          <w:sz w:val="16"/>
        </w:rPr>
        <w:t xml:space="preserve">p007 · att1 p.2  </w:t>
      </w:r>
      <w:r>
        <w:t>Radiation oncology illustrates this problem. A generated recommendation about treatment may appear reasonable while using an inappropriate fractionation schedule, overlooking a previous radiation course, failing to account for cumulative dose in re-irradiation, or applying an organ-at-risk constraint outside the setting in which it is valid. These are not necessarily obvious factual errors. They may be plausible statements whose danger is visible only when the output is reconciled with the full treatment history, disease setting, anatomy, treatment intent, and competing constraints.</w:t>
      </w:r>
    </w:p>
    <w:p>
      <w:r>
        <w:rPr>
          <w:color w:val="777777"/>
          <w:sz w:val="16"/>
        </w:rPr>
        <w:t xml:space="preserve">p008 · att1 p.2  </w:t>
      </w:r>
      <w:r>
        <w:t>For functions that extend specialty knowledge to generalist users, FDA should consider three features in addition to the proposed activity and consequence axes: whether the error is independently detectable by the intended user; whether the action is reversible before harm occurs; and whether timely specialist escalation is realistically available. A disclaimer or a generic instruction to consult a specialist is not an adequate safeguard when the output is specific, personalized, and likely to influence action.</w:t>
      </w:r>
    </w:p>
    <w:p>
      <w:r>
        <w:rPr>
          <w:color w:val="777777"/>
          <w:sz w:val="16"/>
        </w:rPr>
        <w:t xml:space="preserve">p009 · att1 p.2  </w:t>
      </w:r>
      <w:r>
        <w:t>Risk may be mitigated by a narrow intended use; visible source provenance; explicit identification of missing data; calibrated uncertainty; reliable abstention; specialty-specific escalation criteria; and workflow controls that prevent a high-consequence recommendation from becoming an order without appropriate review. Where safe interpretation depends on specialist knowledge, the device should be benchmarked and clinically confirmed by qualified specialists even when the intended end user is a generalist.</w:t>
      </w:r>
    </w:p>
    <w:p>
      <w:r>
        <w:rPr>
          <w:color w:val="777777"/>
          <w:sz w:val="16"/>
        </w:rPr>
        <w:t xml:space="preserve">p010 · att1 p.2  </w:t>
      </w:r>
      <w:r>
        <w:t>Question 9: Benchmarking structure — The proposed benchmarking structure is a useful starting point if it evaluates the final user-facing device in the configuration in which it will be deployed. Benchmarking should not be treated as a proxy for clinical confirmation, and performance on public or static assets should not be assumed to predict safety in real workflows.</w:t>
      </w:r>
    </w:p>
    <w:p>
      <w:r>
        <w:rPr>
          <w:color w:val="777777"/>
          <w:sz w:val="16"/>
        </w:rPr>
        <w:t xml:space="preserve">p011 · att1 p.2  </w:t>
      </w:r>
      <w:r>
        <w:t>In addition to clinical knowledge, analytic capability, safety behavior, communication, and generalizability, I recommend that FDA explicitly include the following elements:</w:t>
      </w:r>
    </w:p>
    <w:p>
      <w:r>
        <w:rPr>
          <w:color w:val="777777"/>
          <w:sz w:val="16"/>
        </w:rPr>
        <w:t xml:space="preserve">p012 · att1 p.2  </w:t>
      </w:r>
      <w:r>
        <w:t>• Clinically meaningful failure modes: errors should be categorized by potential consequence, not only by whether an answer matches a reference response. • Decision-boundary testing: cases should concentrate on situations in which a small change in history, stage, prior therapy, comorbidity, or patient goal should change the recommended action. • Scope maintenance, abstention, and escalation: the device should recognize missing or conflicting data and avoid unwarranted specificity. • Traceability: when the function relies on clinical evidence or patient data, the device should identify the source and allow the user to inspect the basis for the output.</w:t>
      </w:r>
    </w:p>
    <w:p>
      <w:r>
        <w:rPr>
          <w:color w:val="777777"/>
          <w:sz w:val="16"/>
        </w:rPr>
        <w:t xml:space="preserve">p013 · att1 p.3  </w:t>
      </w:r>
      <w:r>
        <w:t>• Multi-turn and workflow robustness: evaluation should include realistic conversational trajectories, corrected information, interruptions, copied-forward errors, and user pressure to provide an answer outside scope. • Human-factors performance: testing should examine whether presentation, confidence, speed, or workflow placement causes automation bias or makes appropriate review less likely.</w:t>
      </w:r>
    </w:p>
    <w:p>
      <w:r>
        <w:rPr>
          <w:color w:val="777777"/>
          <w:sz w:val="16"/>
        </w:rPr>
        <w:t xml:space="preserve">p014 · att1 p.3  </w:t>
      </w:r>
      <w:r>
        <w:t>Aggregate accuracy alone is insufficient for a high-consequence function. Acceptance criteria should include ceilings for critical errors, failures to abstain, and failures to escalate, even when overall performance is high. Test assets should include sequestered and rotating cases, external datasets, clinically representative edge cases, and cases accrued after the evaluation protocol is fixed. Sponsordeveloped assets may be appropriate for specialized tasks, but the protocol, case-selection logic, scoring rules, and adjudication process should be independently reviewed.</w:t>
      </w:r>
    </w:p>
    <w:p>
      <w:r>
        <w:rPr>
          <w:color w:val="777777"/>
          <w:sz w:val="16"/>
        </w:rPr>
        <w:t xml:space="preserve">p015 · att1 p.3  </w:t>
      </w:r>
      <w:r>
        <w:t>Question 14: Comparators and acceptance criteria — The comparator should be selected according to the clinical task and intended workflow. If a device performs a function that ordinarily requires specialty expertise, a qualified specialist panel should define the reference standard. A median generalist comparator may describe current practice, but it should not define acceptable safety for a specialty task. Similarly, median clinician performance should not be used when it would normalize avoidable high-consequence errors.</w:t>
      </w:r>
    </w:p>
    <w:p>
      <w:r>
        <w:rPr>
          <w:color w:val="777777"/>
          <w:sz w:val="16"/>
        </w:rPr>
        <w:t xml:space="preserve">p016 · att1 p.3  </w:t>
      </w:r>
      <w:r>
        <w:t>For many clinician-facing devices, the most informative evaluation would include four conditions: the device operating alone; the intended user operating without the device; the intended user working with the device; and an independent specialist reference panel. This design separates device capability from the real-world value and risks of the human-device team. It can also identify a device that performs well in isolation but degrades team performance by creating false reassurance, anchoring, or additional work that is difficult to verify.</w:t>
      </w:r>
    </w:p>
    <w:p>
      <w:r>
        <w:rPr>
          <w:color w:val="777777"/>
          <w:sz w:val="16"/>
        </w:rPr>
        <w:t xml:space="preserve">p017 · att1 p.3  </w:t>
      </w:r>
      <w:r>
        <w:t>When human review is part of the intended use, human-device team performance should be a principal basis for evaluation, but device-alone testing should still be required to characterize latent failure modes and the burden placed on the reviewer. Oversight should not be credited as a risk control unless evaluation shows that intended users can detect representative errors within the actual time, information, and workflow constraints of use.</w:t>
      </w:r>
    </w:p>
    <w:p>
      <w:r>
        <w:rPr>
          <w:color w:val="777777"/>
          <w:sz w:val="16"/>
        </w:rPr>
        <w:t xml:space="preserve">p018 · att1 p.3  </w:t>
      </w:r>
      <w:r>
        <w:t>Acceptance criteria should be prespecified and stratified by clinical consequence and case complexity. They should address not only whether a final answer is acceptable, but also whether the device omitted decisive information, recommended unnecessary or delayed care, expressed unjustified certainty, or failed to recognize that specialist input was required.</w:t>
      </w:r>
    </w:p>
    <w:p>
      <w:r>
        <w:rPr>
          <w:color w:val="777777"/>
          <w:sz w:val="16"/>
        </w:rPr>
        <w:t xml:space="preserve">p019 · att1 p.3  </w:t>
      </w:r>
      <w:r>
        <w:t>Question 16: Independent third-party participation — Qualified independent third parties should have a role in protocol review, benchmark governance, clinical adjudication, and review of serious or disputed errors for moderate- and high-consequence functions. Independence is especially important when outputs are open-ended, sponsor-developed test assets are used, or scoring requires clinical judgment.</w:t>
      </w:r>
    </w:p>
    <w:p>
      <w:r>
        <w:rPr>
          <w:color w:val="777777"/>
          <w:sz w:val="16"/>
        </w:rPr>
        <w:t xml:space="preserve">p020 · att1 p.3  </w:t>
      </w:r>
      <w:r>
        <w:t>Clinical adjudicators should have training and recent experience matched to the device's function, intended population, and care setting. For specialty functions, relevant board certification or equivalent specialty expertise should generally be expected. Panels should include more than one practice environment when care patterns or resource availability may affect the standard. Independence criteria should address financial relationships, participation in device development, access to sponsor-selected information, and the sponsor's ability to exclude unfavorable cases or adjudicators.</w:t>
      </w:r>
    </w:p>
    <w:p>
      <w:r>
        <w:rPr>
          <w:color w:val="777777"/>
          <w:sz w:val="16"/>
        </w:rPr>
        <w:t xml:space="preserve">p021 · att1 p.4  </w:t>
      </w:r>
      <w:r>
        <w:t>Third-party participation should remain proportionate to risk. FDA could support modular methods, reusable evaluation protocols, and transparent qualification standards so that independent assessment does not become a barrier available only to large sponsors. The goal should be credible separation between product development and clinical judgment, not an exclusive certification market.</w:t>
      </w:r>
    </w:p>
    <w:p>
      <w:r>
        <w:rPr>
          <w:color w:val="777777"/>
          <w:sz w:val="16"/>
        </w:rPr>
        <w:t xml:space="preserve">p022 · att1 p.4  </w:t>
      </w:r>
      <w:r>
        <w:t>Questions 19 and 21: Postmarket monitoring and stakeholder roles — Postmarket monitoring should combine periodic review with trigger-based reassessment. A fixed cadence is necessary but not sufficient because GenAI-enabled devices can change through updates to the foundation model, prompt architecture, retrieval sources, user interface, guardrails, or connected tools even when the product's name and intended use remain unchanged.</w:t>
      </w:r>
    </w:p>
    <w:p>
      <w:r>
        <w:rPr>
          <w:color w:val="777777"/>
          <w:sz w:val="16"/>
        </w:rPr>
        <w:t xml:space="preserve">p023 · att1 p.4  </w:t>
      </w:r>
      <w:r>
        <w:t>Triggering events should include a material model or workflow change; deployment to a new care setting or patient population; a sentinel adverse event or near miss; a meaningful increase in clinician overrides, user complaints, or escalation failures; evidence of subgroup performance degradation; and changes to external data sources or tools on which the device relies. Sampling should be enriched for high-consequence outputs, edge cases, disagreements between users and the device, and situations in which the device did not abstain or escalate.</w:t>
      </w:r>
    </w:p>
    <w:p>
      <w:r>
        <w:rPr>
          <w:color w:val="777777"/>
          <w:sz w:val="16"/>
        </w:rPr>
        <w:t xml:space="preserve">p024 · att1 p.4  </w:t>
      </w:r>
      <w:r>
        <w:t>Monitoring should track clinically meaningful outcomes and process failures, not only lexical similarity or generalized accuracy. Relevant measures may include incorrect action, delay in appropriate care, unnecessary escalation, omission of decisive information, contraindicated recommendations, failure to recognize missing data, failure to abstain, and differential performance across clinically relevant subgroups. Near misses are particularly important because clinician interception may prevent patient harm while revealing a dangerous device behavior.</w:t>
      </w:r>
    </w:p>
    <w:p>
      <w:r>
        <w:rPr>
          <w:color w:val="777777"/>
          <w:sz w:val="16"/>
        </w:rPr>
        <w:t xml:space="preserve">p025 · att1 p.4  </w:t>
      </w:r>
      <w:r>
        <w:t>Clinicians, institutions, professional societies, and standards-setting bodies can contribute without diffusing manufacturer accountability. Clinicians can report structured failure modes and near misses. Healthcare institutions can monitor local workflow performance, maintain appropriate logs, and assess whether the device is being used outside its intended context. Professional societies can help define specialty-specific failure taxonomies, representative cases, and minimum evaluation standards. Manufacturers, however, should remain responsible for funding and operating the monitoring program, investigating signals, notifying users, correcting the product, and reporting to FDA as required.</w:t>
      </w:r>
    </w:p>
    <w:p>
      <w:r>
        <w:rPr>
          <w:color w:val="777777"/>
          <w:sz w:val="16"/>
        </w:rPr>
        <w:t xml:space="preserve">p026 · att1 p.4  </w:t>
      </w:r>
      <w:r>
        <w:t>Reporting mechanisms should be low-friction and should preserve the clinical context needed to interpret an event. Manufacturers should provide users and institutions with understandable summaries of material performance changes, known limitations, monitoring findings, and corrective actions. Shared responsibility should improve signal detection; it should not become a reason that no party owns the response.</w:t>
      </w:r>
    </w:p>
    <w:p>
      <w:r>
        <w:rPr>
          <w:color w:val="777777"/>
          <w:sz w:val="16"/>
        </w:rPr>
        <w:t xml:space="preserve">p027 · att1 p.5  </w:t>
      </w:r>
      <w:r>
        <w:t>Question 26: Agentic GenAI-enabled devices — Agentic systems require evaluation of the entire action chain, not only the quality of individual outputs. Risk can compound across planning, tool selection, data retrieval, interpretation, and execution. A small error early in the sequence may propagate into a high-consequence action while appearing internally consistent at each step.</w:t>
      </w:r>
    </w:p>
    <w:p>
      <w:r>
        <w:rPr>
          <w:color w:val="777777"/>
          <w:sz w:val="16"/>
        </w:rPr>
        <w:t xml:space="preserve">p028 · att1 p.5  </w:t>
      </w:r>
      <w:r>
        <w:t>For each agentic function, the sponsor should define an explicit autonomy boundary: which actions the device may initiate; which tools and data sources it may access; the maximum sequence length or scope; stop conditions; actions that are reversible; and actions that require affirmative human authorization. High-consequence or irreversible actions should have hard human checkpoints that cannot be bypassed by conversational wording or passive user inattention.</w:t>
      </w:r>
    </w:p>
    <w:p>
      <w:r>
        <w:rPr>
          <w:color w:val="777777"/>
          <w:sz w:val="16"/>
        </w:rPr>
        <w:t xml:space="preserve">p029 · att1 p.5  </w:t>
      </w:r>
      <w:r>
        <w:t>Premarket evaluation should test the device under tool failure, incorrect tool output, conflicting patient data, stale retrieval sources, prompt injection, ambiguous instructions, user correction, and human nonresponse. Acceptance criteria should address least-privilege access, separation of credentials, reliable confirmation of patient and task context, complete audit logs, replayability, rollback or containment, and graceful degradation when a component becomes unavailable.</w:t>
      </w:r>
    </w:p>
    <w:p>
      <w:r>
        <w:rPr>
          <w:color w:val="777777"/>
          <w:sz w:val="16"/>
        </w:rPr>
        <w:t xml:space="preserve">p030 · att1 p.5  </w:t>
      </w:r>
      <w:r>
        <w:t>Postmarket oversight should be more frequent when an agent can act rather than merely recommend, and reassessment should be triggered by changes to any material component in the action chain. A supervisory model may assist monitoring, but it should not be treated as independent validation unless its own performance, failure modes, and dependence on shared models or data are evaluated.</w:t>
      </w:r>
    </w:p>
    <w:p>
      <w:r>
        <w:rPr>
          <w:color w:val="777777"/>
          <w:sz w:val="16"/>
        </w:rPr>
        <w:t xml:space="preserve">p031 · att1 p.5  </w:t>
      </w:r>
      <w:r>
        <w:t>Conclusion — CDRH's proposed competency-based approach is promising if competency is defined at the level of the intended clinical task and tested in the workflow in which the output will be used. The framework should distinguish fluency from judgment, average performance from consequential failure, and nominal human oversight from demonstrated effective review.</w:t>
      </w:r>
    </w:p>
    <w:p>
      <w:r>
        <w:rPr>
          <w:color w:val="777777"/>
          <w:sz w:val="16"/>
        </w:rPr>
        <w:t xml:space="preserve">p032 · att1 p.5  </w:t>
      </w:r>
      <w:r>
        <w:t>The governing principle should be straightforward: the more an AI-enabled device directs or takes clinical action, and the harder its errors are for the intended user to detect before harm occurs, the stronger the specialty-matched evidence, independent adjudication, human-factor testing, and postmarket monitoring should be.</w:t>
      </w:r>
    </w:p>
    <w:p>
      <w:r>
        <w:rPr>
          <w:color w:val="777777"/>
          <w:sz w:val="16"/>
        </w:rPr>
        <w:t xml:space="preserve">p033 · att1 p.5  </w:t>
      </w:r>
      <w:r>
        <w:t>Thank you for considering these comments.</w:t>
      </w:r>
    </w:p>
    <w:p>
      <w:r>
        <w:rPr>
          <w:color w:val="777777"/>
          <w:sz w:val="16"/>
        </w:rPr>
        <w:t xml:space="preserve">p034 · att1 p.5  </w:t>
      </w:r>
      <w:r>
        <w:t>Manuj Agarwal, MD Board-certified radiation oncologist | Founder, Blue Wellth Submitted in an individual capacity</w:t>
      </w:r>
    </w:p>
    <w:p>
      <w:r>
        <w:rPr>
          <w:color w:val="777777"/>
          <w:sz w:val="16"/>
        </w:rPr>
        <w:t xml:space="preserve">p035 · att1 p.5  </w:t>
      </w:r>
      <w:r>
        <w:t>Reference — U.S. Food and Drug Administration. Considerations for the Regulation of Generative AI-Enabled Medical Devices: Discussion Paper and Request for Feedback. August 18, 2026. FDA discussion paper</w:t>
      </w:r>
    </w:p>
    <w:p>
      <w:pPr>
        <w:pStyle w:val="Heading1"/>
        <w:pageBreakBefore/>
      </w:pPr>
      <w:r>
        <w:t>FDA-2026-N-7874-0057</w:t>
      </w:r>
    </w:p>
    <w:p>
      <w:r>
        <w:t>Comment from Wen Hsien Ethan Huang</w:t>
      </w:r>
    </w:p>
    <w:p>
      <w:r>
        <w:rPr>
          <w:color w:val="777777"/>
          <w:sz w:val="18"/>
        </w:rPr>
        <w:t>received 2026-09-03 · attachments: attachment_1.pdf (6 pp)</w:t>
      </w:r>
    </w:p>
    <w:p>
      <w:r>
        <w:rPr>
          <w:color w:val="777777"/>
          <w:sz w:val="16"/>
        </w:rPr>
        <w:t xml:space="preserve">p001 · body  </w:t>
      </w:r>
      <w:r>
        <w:t>Submitted by Wen Hsien Ethan Huang, MD — practicing aesthetic medicine clinician, medical device inventor, and educator who trains licensed physicians in the clinical use of AI tools. Full comment attached as PDF; it is a partial response addressing Discussion Questions 1, 2, 9, 11, 14, 19, 22, 23, and 25.</w:t>
      </w:r>
    </w:p>
    <w:p>
      <w:r>
        <w:rPr>
          <w:color w:val="777777"/>
          <w:sz w:val="16"/>
        </w:rPr>
        <w:t xml:space="preserve">p002 · body  </w:t>
      </w:r>
      <w:r>
        <w:t>I strongly support the direction of this discussion paper. Modeling device evaluation on clinician training and examination is the right instinct — and I write to strengthen it from the practitioner side. Three points:</w:t>
      </w:r>
    </w:p>
    <w:p>
      <w:r>
        <w:rPr>
          <w:color w:val="777777"/>
          <w:sz w:val="16"/>
        </w:rPr>
        <w:t xml:space="preserve">p003 · body  </w:t>
      </w:r>
      <w:r>
        <w:t>1. Benchmarking should test not only adversarial inputs but the claimed identity and authority of the person supplying them, because published evidence shows clinical AI outputs change with the perceived seniority of the speaker rather than with correctness. (Questions 9, 10)</w:t>
      </w:r>
    </w:p>
    <w:p>
      <w:r>
        <w:rPr>
          <w:color w:val="777777"/>
          <w:sz w:val="16"/>
        </w:rPr>
        <w:t xml:space="preserve">p004 · body  </w:t>
      </w:r>
      <w:r>
        <w:t>2. The human-oversight axis of the risk framework should be tested against realistic override conditions, because "a human can intervene" is not the same as "a human will intervene." (Questions 1, 2, 14)</w:t>
      </w:r>
    </w:p>
    <w:p>
      <w:r>
        <w:rPr>
          <w:color w:val="777777"/>
          <w:sz w:val="16"/>
        </w:rPr>
        <w:t xml:space="preserve">p005 · body  </w:t>
      </w:r>
      <w:r>
        <w:t>3. Postmarket monitoring should borrow the re-credentialing model clinicians already live under — periodic re-examination on the original competency set, not drift monitoring alone. (Questions 19, 22, 23)</w:t>
      </w:r>
    </w:p>
    <w:p>
      <w:r>
        <w:rPr>
          <w:color w:val="777777"/>
          <w:sz w:val="16"/>
        </w:rPr>
        <w:t xml:space="preserve">p006 · att1 p.1  </w:t>
      </w:r>
      <w:r>
        <w:t>PUBLIC COMMENT — Docket No. FDA-2026-N-7874 — Considerations for the Regulation of Generative AI-</w:t>
      </w:r>
    </w:p>
    <w:p>
      <w:r>
        <w:rPr>
          <w:color w:val="777777"/>
          <w:sz w:val="16"/>
        </w:rPr>
        <w:t xml:space="preserve">p007 · att1 p.1  </w:t>
      </w:r>
      <w:r>
        <w:t>Enabled Medical Devices Submitted via Regulations.gov | Comment period closes — October 19, 2026</w:t>
      </w:r>
    </w:p>
    <w:p>
      <w:r>
        <w:rPr>
          <w:color w:val="777777"/>
          <w:sz w:val="16"/>
        </w:rPr>
        <w:t xml:space="preserve">p008 · att1 p.1  </w:t>
      </w:r>
      <w:r>
        <w:t>Submitter: Wen Hsien Ethan Huang, MD Affiliation: Founder, DrEthan AI Aesthetics (drethan.ai) — clinician-led training in AI-assisted aesthetic medicine. Independent practitioner and educator, Taiwan. ORCID: 0000-0003-1727-1870 Contact:</w:t>
      </w:r>
    </w:p>
    <w:p>
      <w:r>
        <w:rPr>
          <w:color w:val="777777"/>
          <w:sz w:val="16"/>
        </w:rPr>
        <w:t xml:space="preserve">p009 · att1 p.1  </w:t>
      </w:r>
      <w:r>
        <w:t>support@drethan.ai Submitted as: An individual. This comment is not submitted on behalf of, or at the request of, any device manufacturer, trade association, or sponsor. Scope: This is a partial response. It addresses Discussion Questions 1, 2, 9, 11, 14, 19, 22, 23, and 25.</w:t>
      </w:r>
    </w:p>
    <w:p>
      <w:r>
        <w:rPr>
          <w:color w:val="777777"/>
          <w:sz w:val="16"/>
        </w:rPr>
        <w:t xml:space="preserve">p010 · att1 p.1  </w:t>
      </w:r>
      <w:r>
        <w:t>Perspective and relevant background — I am a practicing aesthetic medicine clinician, a medical device inventor, and an educator who trains licensed physicians in the clinical use of AI tools. My comments draw on three vantage points that bear directly on this discussion paper:</w:t>
      </w:r>
    </w:p>
    <w:p>
      <w:r>
        <w:rPr>
          <w:color w:val="777777"/>
          <w:sz w:val="16"/>
        </w:rPr>
        <w:t xml:space="preserve">p011 · att1 p.1  </w:t>
      </w:r>
      <w:r>
        <w:t>As a developer. I first-authored work on a deep convolutional neural network for clinical image assessment in aesthetic medicine, presented at the 34th Annual Conference of the Japanese Society for Artificial Intelligence (JSAI 2020; DOI</w:t>
      </w:r>
    </w:p>
    <w:p>
      <w:r>
        <w:rPr>
          <w:color w:val="777777"/>
          <w:sz w:val="16"/>
        </w:rPr>
        <w:t xml:space="preserve">p012 · att1 p.1  </w:t>
      </w:r>
      <w:r>
        <w:t>10.11517/pjsai.JSAI2020.0_1K5ES204). I have direct experience of the distance between benchmark performance and bedside behavior.</w:t>
      </w:r>
    </w:p>
    <w:p>
      <w:r>
        <w:rPr>
          <w:color w:val="777777"/>
          <w:sz w:val="16"/>
        </w:rPr>
        <w:t xml:space="preserve">p013 · att1 p.1  </w:t>
      </w:r>
      <w:r>
        <w:t>As a device inventor. I hold granted patents in Japan, Germany, the European Union,</w:t>
      </w:r>
    </w:p>
    <w:p>
      <w:r>
        <w:rPr>
          <w:color w:val="777777"/>
          <w:sz w:val="16"/>
        </w:rPr>
        <w:t xml:space="preserve">p014 · att1 p.1  </w:t>
      </w:r>
      <w:r>
        <w:t>China, and Taiwan covering thread-lift assistance instrumentation, and have worked through the design and documentation burden that device development imposes.</w:t>
      </w:r>
    </w:p>
    <w:p>
      <w:r>
        <w:rPr>
          <w:color w:val="777777"/>
          <w:sz w:val="16"/>
        </w:rPr>
        <w:t xml:space="preserve">p015 · att1 p.1  </w:t>
      </w:r>
      <w:r>
        <w:t>As an educator. I teach licensed clinicians a dedicated curriculum on when and how to override AI recommendations (a “Trust / Verify / Override” framework). Sections 1 and 2 below come directly from watching trained clinicians fail to override.</w:t>
      </w:r>
    </w:p>
    <w:p>
      <w:r>
        <w:rPr>
          <w:color w:val="777777"/>
          <w:sz w:val="16"/>
        </w:rPr>
        <w:t xml:space="preserve">p016 · att1 p.1  </w:t>
      </w:r>
      <w:r>
        <w:t>Disclosure of interest: I sell paid training courses to licensed clinicians on the safe use of</w:t>
      </w:r>
    </w:p>
    <w:p>
      <w:r>
        <w:rPr>
          <w:color w:val="777777"/>
          <w:sz w:val="16"/>
        </w:rPr>
        <w:t xml:space="preserve">p017 · att1 p.1  </w:t>
      </w:r>
      <w:r>
        <w:t>AI in clinical practice, through drethan.ai. I have no financial interest in, and no consulting or advisory relationship with, any manufacturer or developer of a GenAI-enabled medical device.</w:t>
      </w:r>
    </w:p>
    <w:p>
      <w:r>
        <w:rPr>
          <w:color w:val="777777"/>
          <w:sz w:val="16"/>
        </w:rPr>
        <w:t xml:space="preserve">p018 · att1 p.2  </w:t>
      </w:r>
      <w:r>
        <w:t>Summary — I strongly support the direction of this discussion paper. Modeling device evaluation on clinician training and examination is the right instinct — and I write to strengthen it from the practitioner side. Three points:</w:t>
      </w:r>
    </w:p>
    <w:p>
      <w:r>
        <w:rPr>
          <w:color w:val="777777"/>
          <w:sz w:val="16"/>
        </w:rPr>
        <w:t xml:space="preserve">p019 · att1 p.2  </w:t>
      </w:r>
      <w:r>
        <w:t>1. Benchmarking should test not only adversarial inputs but the claimed identity and authority of the person supplying them, because published evidence shows clinical AI outputs change with the perceived seniority of the speaker rather than with correctness.</w:t>
      </w:r>
    </w:p>
    <w:p>
      <w:r>
        <w:rPr>
          <w:color w:val="777777"/>
          <w:sz w:val="16"/>
        </w:rPr>
        <w:t xml:space="preserve">p020 · att1 p.2  </w:t>
      </w:r>
      <w:r>
        <w:t>(Questions 9, 10) — 2. The human-oversight axis of the risk framework should be tested against realistic override conditions, because “a human can intervene” is not the same as “a human will intervene.” (Questions 1, 2, 14)</w:t>
      </w:r>
    </w:p>
    <w:p>
      <w:r>
        <w:rPr>
          <w:color w:val="777777"/>
          <w:sz w:val="16"/>
        </w:rPr>
        <w:t xml:space="preserve">p021 · att1 p.2  </w:t>
      </w:r>
      <w:r>
        <w:t>3. Postmarket monitoring should borrow the re-credentialing model clinicians already live under — periodic re-examination on the original competency set, not drift monitoring alone. (Questions 19, 22, 23)</w:t>
      </w:r>
    </w:p>
    <w:p>
      <w:r>
        <w:rPr>
          <w:color w:val="777777"/>
          <w:sz w:val="16"/>
        </w:rPr>
        <w:t xml:space="preserve">p022 · att1 p.2  </w:t>
      </w:r>
      <w:r>
        <w:t>1. Benchmarking: test the examination conditions, not only the curriculum — Response to Discussion Questions 9 and 10</w:t>
      </w:r>
    </w:p>
    <w:p>
      <w:r>
        <w:rPr>
          <w:color w:val="777777"/>
          <w:sz w:val="16"/>
        </w:rPr>
        <w:t xml:space="preserve">p023 · att1 p.2  </w:t>
      </w:r>
      <w:r>
        <w:t>The paper proposes benchmarking followed by clinical confirmation, mirroring how health professionals are assessed. Appendix A already anticipates part of what I want to raise:</w:t>
      </w:r>
    </w:p>
    <w:p>
      <w:r>
        <w:rPr>
          <w:color w:val="777777"/>
          <w:sz w:val="16"/>
        </w:rPr>
        <w:t xml:space="preserve">p024 · att1 p.2  </w:t>
      </w:r>
      <w:r>
        <w:t>element S.2 contemplates adversarial prompting, prompt injection, and emotional- manipulation scenarios, and element R.1 contemplates consistency across paraphrases that differ in emotional framing. From the examination hall, one dimension appears to be missing from both:</w:t>
      </w:r>
    </w:p>
    <w:p>
      <w:r>
        <w:rPr>
          <w:color w:val="777777"/>
          <w:sz w:val="16"/>
        </w:rPr>
        <w:t xml:space="preserve">p025 · att1 p.2  </w:t>
      </w:r>
      <w:r>
        <w:t>Benchmarking should test sensitivity to the claimed identity, seniority, and authority of the speaker — not only to the wording of the input.</w:t>
      </w:r>
    </w:p>
    <w:p>
      <w:r>
        <w:rPr>
          <w:color w:val="777777"/>
          <w:sz w:val="16"/>
        </w:rPr>
        <w:t xml:space="preserve">p026 · att1 p.2  </w:t>
      </w:r>
      <w:r>
        <w:t>Recent controlled work shows that clinical AI recommendations shift according to who appears to be speaking: the same persuasive input changed roughly 10% more model outputs when attributed to a senior clinician than to a medical student, and fabricated-but- plausible clinician opinions pushed models off correct answers onto incorrect ones [1].</w:t>
      </w:r>
    </w:p>
    <w:p>
      <w:r>
        <w:rPr>
          <w:color w:val="777777"/>
          <w:sz w:val="16"/>
        </w:rPr>
        <w:t xml:space="preserve">p027 · att1 p.2  </w:t>
      </w:r>
      <w:r>
        <w:t>Professional authority, claimed track record, institutional affiliation, and repeated pressure all swayed the model without improving its accuracy.</w:t>
      </w:r>
    </w:p>
    <w:p>
      <w:r>
        <w:rPr>
          <w:color w:val="777777"/>
          <w:sz w:val="16"/>
        </w:rPr>
        <w:t xml:space="preserve">p028 · att1 p.2  </w:t>
      </w:r>
      <w:r>
        <w:t>This is a distinct failure mode from adversarial prompting as currently described. The input is not malformed, malicious, or emotionally manipulative — it is an ordinary second opinion, delivered with a credential attached. A device that performs well on a clean benchmark can therefore fail exactly the way clinicians fail: by deferring to hierarchy. In a real clinic, an AI output is routinely challenged by a senior colleague who is sometimes wrong.</w:t>
      </w:r>
    </w:p>
    <w:p>
      <w:r>
        <w:rPr>
          <w:color w:val="777777"/>
          <w:sz w:val="16"/>
        </w:rPr>
        <w:t xml:space="preserve">p029 · att1 p.3  </w:t>
      </w:r>
      <w:r>
        <w:t>Concretely, I suggest that under element R.1, benchmark protocols prespecify speaker- authority test conditions alongside paraphrase and emotional-framing conditions: the same clinical case, held constant, with the accompanying opinion attributed to users of differing claimed seniority, confidence, and persistence. A device whose safety-critical behavior — escalation, refusal, diagnostic conclusion — moves with the claimed credential of the user, rather than with the clinical facts, has failed the robustness element even if every individual output looks reasonable.</w:t>
      </w:r>
    </w:p>
    <w:p>
      <w:r>
        <w:rPr>
          <w:color w:val="777777"/>
          <w:sz w:val="16"/>
        </w:rPr>
        <w:t xml:space="preserve">p030 · att1 p.3  </w:t>
      </w:r>
      <w:r>
        <w:t>Suggested question for sponsors: “How does the device’s output change when prior input implies the user is senior, junior, confident, or insistent?”</w:t>
      </w:r>
    </w:p>
    <w:p>
      <w:r>
        <w:rPr>
          <w:color w:val="777777"/>
          <w:sz w:val="16"/>
        </w:rPr>
        <w:t xml:space="preserve">p031 · att1 p.3  </w:t>
      </w:r>
      <w:r>
        <w:t>2. The risk framework: “human oversight” must be tested, not assumed — Response to Discussion Questions 1, 2, and 14</w:t>
      </w:r>
    </w:p>
    <w:p>
      <w:r>
        <w:rPr>
          <w:color w:val="777777"/>
          <w:sz w:val="16"/>
        </w:rPr>
        <w:t xml:space="preserve">p032 · att1 p.3  </w:t>
      </w:r>
      <w:r>
        <w:t>The two-axis framework (device activity × severity of harm) is sound. Question 1 asks whether additional dimensions — including the time pressure of the deployment setting — should be represented. My answer is yes, and specifically: the degree of human oversight should be treated as an empirical property of the deployment setting, not as a design feature that is present or absent.</w:t>
      </w:r>
    </w:p>
    <w:p>
      <w:r>
        <w:rPr>
          <w:color w:val="777777"/>
          <w:sz w:val="16"/>
        </w:rPr>
        <w:t xml:space="preserve">p033 · att1 p.3  </w:t>
      </w:r>
      <w:r>
        <w:t>In teaching clinicians to work with AI, the hardest lesson is this: the presence of an override option does not guarantee the override will be used. Automation bias is well documented, and clinicians under time pressure defer to confident outputs. Appendix A element E.4 recognizes automation bias, but treats it as a communication-quality attribute of the device.</w:t>
      </w:r>
    </w:p>
    <w:p>
      <w:r>
        <w:rPr>
          <w:color w:val="777777"/>
          <w:sz w:val="16"/>
        </w:rPr>
        <w:t xml:space="preserve">p034 · att1 p.3  </w:t>
      </w:r>
      <w:r>
        <w:t>I would encourage CDRH to also treat it as a modifier of position on the activity axis: a function nominally placed at “acts with continuous HCP supervision” may in practice operate closer to autonomy if the supervision is not exercised.</w:t>
      </w:r>
    </w:p>
    <w:p>
      <w:r>
        <w:rPr>
          <w:color w:val="777777"/>
          <w:sz w:val="16"/>
        </w:rPr>
        <w:t xml:space="preserve">p035 · att1 p.3  </w:t>
      </w:r>
      <w:r>
        <w:t>I encourage FDA to: Treat “degree of human oversight” as a property to be demonstrated in representative use conditions — time-pressured, multi-patient, real interface — rather than asserted in labeling.</w:t>
      </w:r>
    </w:p>
    <w:p>
      <w:r>
        <w:rPr>
          <w:color w:val="777777"/>
          <w:sz w:val="16"/>
        </w:rPr>
        <w:t xml:space="preserve">p036 · att1 p.3  </w:t>
      </w:r>
      <w:r>
        <w:t>Ask sponsors to show evidence that intended users can and do detect incorrect outputs in representative workflows. This is an override-rate and detection-rate measurement, and it is precisely the kind of human-AI team evidence contemplated in Question 14.</w:t>
      </w:r>
    </w:p>
    <w:p>
      <w:r>
        <w:rPr>
          <w:color w:val="777777"/>
          <w:sz w:val="16"/>
        </w:rPr>
        <w:t xml:space="preserve">p037 · att1 p.4  </w:t>
      </w:r>
      <w:r>
        <w:t>Note that the paper’s own observation — that a “talk to your doctor” statement may not make an output less directive — applies symmetrically, and bears on Question 2: an override interface that is never used provides no oversight. Directiveness and oversight should both be assessed by observed user behavior rather than by the presence of text on the screen.</w:t>
      </w:r>
    </w:p>
    <w:p>
      <w:r>
        <w:rPr>
          <w:color w:val="777777"/>
          <w:sz w:val="16"/>
        </w:rPr>
        <w:t xml:space="preserve">p038 · att1 p.4  </w:t>
      </w:r>
      <w:r>
        <w:t>3. Postmarket monitoring: borrow the re-credentialing model — Response to Discussion Questions 19, 22, and 23</w:t>
      </w:r>
    </w:p>
    <w:p>
      <w:r>
        <w:rPr>
          <w:color w:val="777777"/>
          <w:sz w:val="16"/>
        </w:rPr>
        <w:t xml:space="preserve">p039 · att1 p.4  </w:t>
      </w:r>
      <w:r>
        <w:t>The approaches described in Section VI — periodic re-benchmarking, sample-based independent clinician review, performance degradation monitoring — are all reasonable. On the cadence and triggering events raised in Question 19, I suggest the framing be made explicitly examination-based, drawing on the model clinicians already trust.</w:t>
      </w:r>
    </w:p>
    <w:p>
      <w:r>
        <w:rPr>
          <w:color w:val="777777"/>
          <w:sz w:val="16"/>
        </w:rPr>
        <w:t xml:space="preserve">p040 · att1 p.4  </w:t>
      </w:r>
      <w:r>
        <w:t>Practicing clinicians do not merely have their performance monitored for drift. We re-certify:</w:t>
      </w:r>
    </w:p>
    <w:p>
      <w:r>
        <w:rPr>
          <w:color w:val="777777"/>
          <w:sz w:val="16"/>
        </w:rPr>
        <w:t xml:space="preserve">p041 · att1 p.4  </w:t>
      </w:r>
      <w:r>
        <w:t>we are re-examined against a defined competency set, on a fixed cycle, whether or not anyone has detected a problem in our practice. I suggest a device cleared through a competency assessment be re-examined on the same competency set on a defined cycle, with re-examination additionally triggered by material change — foundation-model update, retrieval or prompt changes, guardrail modification.</w:t>
      </w:r>
    </w:p>
    <w:p>
      <w:r>
        <w:rPr>
          <w:color w:val="777777"/>
          <w:sz w:val="16"/>
        </w:rPr>
        <w:t xml:space="preserve">p042 · att1 p.4  </w:t>
      </w:r>
      <w:r>
        <w:t>Two points follow. First, on Question 23: rather than attempting to prespecify every permissible future change, a sponsor could prespecify the re-examination that follows any change. This is a tractable commitment even where the nature of future modifications cannot be anticipated, which is the central difficulty the paper identifies with PCCPs for</w:t>
      </w:r>
    </w:p>
    <w:p>
      <w:r>
        <w:rPr>
          <w:color w:val="777777"/>
          <w:sz w:val="16"/>
        </w:rPr>
        <w:t xml:space="preserve">p043 · att1 p.4  </w:t>
      </w:r>
      <w:r>
        <w:t>GenAI. Second, on Question 22: scaling re-benchmarking to the expected impact of a modification is sensible for the clinical proficiency elements, but I would encourage CDRH to require the safety elements (S.1–S.3) and robustness (R.1) to be re-run in full after any change to the underlying model or guardrails, regardless of how minor the sponsor expects the impact to be. Clinicians do not get to skip the safety portion of a re-certification examination on the grounds that little has changed in their practice, and third-party model updates are exactly the case where sponsor expectations are least reliable.</w:t>
      </w:r>
    </w:p>
    <w:p>
      <w:r>
        <w:rPr>
          <w:color w:val="777777"/>
          <w:sz w:val="16"/>
        </w:rPr>
        <w:t xml:space="preserve">p044 · att1 p.4  </w:t>
      </w:r>
      <w:r>
        <w:t>4. Foundation model MAFs: include override-relevant behavior — Response to Discussion Question 25</w:t>
      </w:r>
    </w:p>
    <w:p>
      <w:r>
        <w:rPr>
          <w:color w:val="777777"/>
          <w:sz w:val="16"/>
        </w:rPr>
        <w:t xml:space="preserve">p045 · att1 p.4  </w:t>
      </w:r>
      <w:r>
        <w:t>If voluntary Foundation Model MAFs proceed, I suggest the contemplated content include, alongside architecture and training provenance: refusal behavior, content-policy changes between versions, and output stability under varied user framing — including the speaker-authority framing described in Section 1 above. These are the model-level properties that most affect whether a clinician can reasonably verify an output at the bedside, and they are properties a device sponsor cannot characterize from the outside. A sponsor cannot evaluate what the MAF does not disclose.</w:t>
      </w:r>
    </w:p>
    <w:p>
      <w:r>
        <w:rPr>
          <w:color w:val="777777"/>
          <w:sz w:val="16"/>
        </w:rPr>
        <w:t xml:space="preserve">p046 · att1 p.5  </w:t>
      </w:r>
      <w:r>
        <w:t>On the incentive problem the question raises: one practical lever is that a documented</w:t>
      </w:r>
    </w:p>
    <w:p>
      <w:r>
        <w:rPr>
          <w:color w:val="777777"/>
          <w:sz w:val="16"/>
        </w:rPr>
        <w:t xml:space="preserve">p047 · att1 p.5  </w:t>
      </w:r>
      <w:r>
        <w:t>Foundation Model MAF would allow sponsors to satisfy portions of the re-examination described in Section 3 above by reference, rather than by independently re-characterizing the model after every upstream update. That is a concrete benefit to model developers seeking healthcare adoption.</w:t>
      </w:r>
    </w:p>
    <w:p>
      <w:r>
        <w:rPr>
          <w:color w:val="777777"/>
          <w:sz w:val="16"/>
        </w:rPr>
        <w:t xml:space="preserve">p048 · att1 p.5  </w:t>
      </w:r>
      <w:r>
        <w:t>5. On generalizability and deployment populations — Response to Discussion Questions 9 and 11</w:t>
      </w:r>
    </w:p>
    <w:p>
      <w:r>
        <w:rPr>
          <w:color w:val="777777"/>
          <w:sz w:val="16"/>
        </w:rPr>
        <w:t xml:space="preserve">p049 · att1 p.5  </w:t>
      </w:r>
      <w:r>
        <w:t>Element R.2 addresses subgroup performance, and Question 11 asks how the anticipated distribution of real-world inputs should be taken into consideration. I would encourage</w:t>
      </w:r>
    </w:p>
    <w:p>
      <w:r>
        <w:rPr>
          <w:color w:val="777777"/>
          <w:sz w:val="16"/>
        </w:rPr>
        <w:t xml:space="preserve">p050 · att1 p.5  </w:t>
      </w:r>
      <w:r>
        <w:t>CDRH to treat these as one question rather than two.</w:t>
      </w:r>
    </w:p>
    <w:p>
      <w:r>
        <w:rPr>
          <w:color w:val="777777"/>
          <w:sz w:val="16"/>
        </w:rPr>
        <w:t xml:space="preserve">p051 · att1 p.5  </w:t>
      </w:r>
      <w:r>
        <w:t>Recent evidence in dermatology AI indicates that distribution shift — the appearance of unfamiliar conditions — degrades performance considerably more than skin-tone differences alone [2]. Subgroup performance measured on the training-era disease mix can therefore look acceptable while real-world performance is materially worse, because what changed at deployment was the presenting case mix, not only the demographics of the patients.</w:t>
      </w:r>
    </w:p>
    <w:p>
      <w:r>
        <w:rPr>
          <w:color w:val="777777"/>
          <w:sz w:val="16"/>
        </w:rPr>
        <w:t xml:space="preserve">p052 · att1 p.5  </w:t>
      </w:r>
      <w:r>
        <w:t>This bears directly on my own field. Aesthetic and dermatologic presentations in Asian populations differ substantially in disease distribution from the datasets on which most generalist models are trained, and devices cleared on North American or European evidence will encounter that shift immediately. I suggest capability assessments include test populations that differ from training populations in disease distribution as well as demographic mix, and that sponsors be asked to characterize the anticipated deployment case mix explicitly rather than to demonstrate subgroup parity within a fixed dataset.</w:t>
      </w:r>
    </w:p>
    <w:p>
      <w:r>
        <w:rPr>
          <w:color w:val="777777"/>
          <w:sz w:val="16"/>
        </w:rPr>
        <w:t xml:space="preserve">p053 · att1 p.5  </w:t>
      </w:r>
      <w:r>
        <w:t>Conclusion — The physician-training analogy is the strongest idea in this paper. I encourage FDA to carry it through completely: real examinations include pressure, hierarchy, and unfamiliar patients</w:t>
      </w:r>
    </w:p>
    <w:p>
      <w:r>
        <w:rPr>
          <w:color w:val="777777"/>
          <w:sz w:val="16"/>
        </w:rPr>
        <w:t xml:space="preserve">p054 · att1 p.5  </w:t>
      </w:r>
      <w:r>
        <w:t>— not only clean curricula. Devices that pass only the clean parts will fail in the clinic in exactly the ways clinicians are trained to catch, and regulators should ensure the assessment catches them first.</w:t>
      </w:r>
    </w:p>
    <w:p>
      <w:r>
        <w:rPr>
          <w:color w:val="777777"/>
          <w:sz w:val="16"/>
        </w:rPr>
        <w:t xml:space="preserve">p055 · att1 p.6  </w:t>
      </w:r>
      <w:r>
        <w:t>I appreciate the opportunity to comment and am willing to provide further detail on any point.</w:t>
      </w:r>
    </w:p>
    <w:p>
      <w:r>
        <w:rPr>
          <w:color w:val="777777"/>
          <w:sz w:val="16"/>
        </w:rPr>
        <w:t xml:space="preserve">p056 · att1 p.6  </w:t>
      </w:r>
      <w:r>
        <w:t>Respectfully submitted,</w:t>
      </w:r>
    </w:p>
    <w:p>
      <w:r>
        <w:rPr>
          <w:color w:val="777777"/>
          <w:sz w:val="16"/>
        </w:rPr>
        <w:t xml:space="preserve">p057 · att1 p.6  </w:t>
      </w:r>
      <w:r>
        <w:t>Wen Hsien Ethan Huang, MD Founder, DrEthan AI Aesthetics ORCID 0000-0003-1727- — 1870 support@drethan.ai September 4, 2026</w:t>
      </w:r>
    </w:p>
    <w:p>
      <w:r>
        <w:rPr>
          <w:color w:val="777777"/>
          <w:sz w:val="16"/>
        </w:rPr>
        <w:t xml:space="preserve">p058 · att1 p.6  </w:t>
      </w:r>
      <w:r>
        <w:t>References — 1. Zhu J, et al. AI Can Be Easily Persuaded in Clinical Decision Making. arXiv:2608.29453</w:t>
      </w:r>
    </w:p>
    <w:p>
      <w:r>
        <w:rPr>
          <w:color w:val="777777"/>
          <w:sz w:val="16"/>
        </w:rPr>
        <w:t xml:space="preserve">p059 · att1 p.6  </w:t>
      </w:r>
      <w:r>
        <w:t>[preprint].</w:t>
      </w:r>
    </w:p>
    <w:p>
      <w:r>
        <w:rPr>
          <w:color w:val="777777"/>
          <w:sz w:val="16"/>
        </w:rPr>
        <w:t xml:space="preserve">p060 · att1 p.6  </w:t>
      </w:r>
      <w:r>
        <w:t>2. Kunwor N, Poudel S, Trinh Q-H, Arafat J, Gaire SK. Disease Burden over Skin Tone:</w:t>
      </w:r>
    </w:p>
    <w:p>
      <w:r>
        <w:rPr>
          <w:color w:val="777777"/>
          <w:sz w:val="16"/>
        </w:rPr>
        <w:t xml:space="preserve">p061 · att1 p.6  </w:t>
      </w:r>
      <w:r>
        <w:t>Decomposing the Dermatology-AI Generalization Gap. arXiv:2609.02111 [preprint].</w:t>
      </w:r>
    </w:p>
    <w:p>
      <w:pPr>
        <w:pStyle w:val="Heading1"/>
        <w:pageBreakBefore/>
      </w:pPr>
      <w:r>
        <w:t>FDA-2026-N-7874-0058</w:t>
      </w:r>
    </w:p>
    <w:p>
      <w:r>
        <w:t>Comment from Wen Hsien Ethan Huang</w:t>
      </w:r>
    </w:p>
    <w:p>
      <w:r>
        <w:rPr>
          <w:color w:val="777777"/>
          <w:sz w:val="18"/>
        </w:rPr>
        <w:t>received 2026-09-03 · attachments: attachment_1.pdf (6 pp)</w:t>
      </w:r>
    </w:p>
    <w:p>
      <w:r>
        <w:rPr>
          <w:i/>
        </w:rPr>
        <w:t>Text identical to FDA-2026-N-7874-0057.</w:t>
      </w:r>
    </w:p>
    <w:p>
      <w:pPr>
        <w:pStyle w:val="Heading1"/>
        <w:pageBreakBefore/>
      </w:pPr>
      <w:r>
        <w:t>FDA-2026-N-7874-0059</w:t>
      </w:r>
    </w:p>
    <w:p>
      <w:r>
        <w:t>Comment from Middle Wave LLC / Teach &amp; Serve</w:t>
      </w:r>
    </w:p>
    <w:p>
      <w:r>
        <w:rPr>
          <w:color w:val="777777"/>
          <w:sz w:val="18"/>
        </w:rPr>
        <w:t>Health Professional - A0007 · received 2026-09-04 · attachments: attachment_1.pdf (4 pp)</w:t>
      </w:r>
    </w:p>
    <w:p>
      <w:r>
        <w:rPr>
          <w:color w:val="777777"/>
          <w:sz w:val="16"/>
        </w:rPr>
        <w:t xml:space="preserve">p001 · body  </w:t>
      </w:r>
      <w:r>
        <w:t>Before FDA asks whether a generative AI model is confident, it should ask whether the medical evidence justifies that confidence.</w:t>
      </w:r>
    </w:p>
    <w:p>
      <w:r>
        <w:rPr>
          <w:color w:val="777777"/>
          <w:sz w:val="16"/>
        </w:rPr>
        <w:t xml:space="preserve">p002 · body  </w:t>
      </w:r>
      <w:r>
        <w:t>My recommendation is simple: add evidence-quality calibration to the evaluation of generative AI-enabled medical devices. A model should distinguish between precise, well-characterized evidence and large amounts of observational, surrogate, or interpretation-heavy data. More data can increase precision without fixing bias or establishing validity.</w:t>
      </w:r>
    </w:p>
    <w:p>
      <w:r>
        <w:rPr>
          <w:color w:val="777777"/>
          <w:sz w:val="16"/>
        </w:rPr>
        <w:t xml:space="preserve">p003 · body  </w:t>
      </w:r>
      <w:r>
        <w:t>FDA could test this directly by using historical medical reversals. Give a model the literature available immediately before a major trial overturned prevailing assumptions, and evaluate whether it recognizes the limits of the evidence rather than simply reproducing the consensus.</w:t>
      </w:r>
    </w:p>
    <w:p>
      <w:r>
        <w:rPr>
          <w:color w:val="777777"/>
          <w:sz w:val="16"/>
        </w:rPr>
        <w:t xml:space="preserve">p004 · body  </w:t>
      </w:r>
      <w:r>
        <w:t>Subgroup evaluation should likewise focus on whether a device is safe, usable, and clinically effective for each population, including people facing health-literacy, language, or technology barriers, rather than assuming that mathematical parity alone produces equitable outcomes.</w:t>
      </w:r>
    </w:p>
    <w:p>
      <w:r>
        <w:rPr>
          <w:color w:val="777777"/>
          <w:sz w:val="16"/>
        </w:rPr>
        <w:t xml:space="preserve">p005 · body  </w:t>
      </w:r>
      <w:r>
        <w:t>The objective is not an AI that always gives an answer. It is an AI that can recognize when the evidence is weak, communicate that uncertainty clearly, and know when clinical judgment must take over.</w:t>
      </w:r>
    </w:p>
    <w:p>
      <w:r>
        <w:rPr>
          <w:color w:val="777777"/>
          <w:sz w:val="16"/>
        </w:rPr>
        <w:t xml:space="preserve">p006 · body  </w:t>
      </w:r>
      <w:r>
        <w:t>The attached comment provides the proposed framework, historical benchmarks, examples, and supporting literature.</w:t>
      </w:r>
    </w:p>
    <w:p>
      <w:r>
        <w:rPr>
          <w:color w:val="777777"/>
          <w:sz w:val="16"/>
        </w:rPr>
        <w:t xml:space="preserve">p007 · body  </w:t>
      </w:r>
      <w:r>
        <w:t>David W. Shi MD</w:t>
      </w:r>
    </w:p>
    <w:p>
      <w:r>
        <w:rPr>
          <w:color w:val="777777"/>
          <w:sz w:val="16"/>
        </w:rPr>
        <w:t xml:space="preserve">p008 · att1 p.1  </w:t>
      </w:r>
      <w:r>
        <w:t>Docket No. FDA-2026-N-7874 — Considerations for the Regulation of Generative AI-Enabled Medical Devices: Discussion Paper and Request for Feedback</w:t>
      </w:r>
    </w:p>
    <w:p>
      <w:r>
        <w:rPr>
          <w:color w:val="777777"/>
          <w:sz w:val="16"/>
        </w:rPr>
        <w:t xml:space="preserve">p009 · att1 p.1  </w:t>
      </w:r>
      <w:r>
        <w:t>Submitted by: David Wu Shi, MD | Teach &amp; Serve — Thank you for requesting public feedback on generative AI medical devices. FDA is considering benchmarks for calibration, clinical proficiency, and subgroup performance.</w:t>
      </w:r>
    </w:p>
    <w:p>
      <w:r>
        <w:rPr>
          <w:color w:val="777777"/>
          <w:sz w:val="16"/>
        </w:rPr>
        <w:t xml:space="preserve">p010 · att1 p.1  </w:t>
      </w:r>
      <w:r>
        <w:t>I recommend adding one practical check: Before we ask, "Is the AI confident?", we need to ask, "Does the medical evidence justify that confidence?"</w:t>
      </w:r>
    </w:p>
    <w:p>
      <w:r>
        <w:rPr>
          <w:color w:val="777777"/>
          <w:sz w:val="16"/>
        </w:rPr>
        <w:t xml:space="preserve">p011 · att1 p.1  </w:t>
      </w:r>
      <w:r>
        <w:t>An AI can flawlessly summarize medical literature and still deliver a dangerously incorrect answer. Why? Because the literature itself often scales a systematic error. A trustworthy AI must recognize when it is standing on quicksand and say so.</w:t>
      </w:r>
    </w:p>
    <w:p>
      <w:r>
        <w:rPr>
          <w:color w:val="777777"/>
          <w:sz w:val="16"/>
        </w:rPr>
        <w:t xml:space="preserve">p012 · att1 p.1  </w:t>
      </w:r>
      <w:r>
        <w:t>Dataset Volume and Validity Are Not the Same Thing — Let’s use plain terms. Precision means a measurement is consistent. A bathroom scale reading "150.2 lbs" three times in a row is precise. Validity means the measurement reflects the actual target. If the scale is miscalibrated and you weigh 140 lbs, the reading is beautifully precise, but reliably incorrect.</w:t>
      </w:r>
    </w:p>
    <w:p>
      <w:r>
        <w:rPr>
          <w:color w:val="777777"/>
          <w:sz w:val="16"/>
        </w:rPr>
        <w:t xml:space="preserve">p013 · att1 p.1  </w:t>
      </w:r>
      <w:r>
        <w:t>Adding more data just narrows random noise. It does nothing to make the answer valid.</w:t>
      </w:r>
    </w:p>
    <w:p>
      <w:r>
        <w:rPr>
          <w:color w:val="777777"/>
          <w:sz w:val="16"/>
        </w:rPr>
        <w:t xml:space="preserve">p014 · att1 p.1  </w:t>
      </w:r>
      <w:r>
        <w:t>Figure 1. A confidence interval only measures random error (precision), not whether the estimate is actually on target (validity).</w:t>
      </w:r>
    </w:p>
    <w:p>
      <w:r>
        <w:rPr>
          <w:color w:val="777777"/>
          <w:sz w:val="16"/>
        </w:rPr>
        <w:t xml:space="preserve">p015 · att1 p.1  </w:t>
      </w:r>
      <w:r>
        <w:t>(Source: Textbook of Epidemiology, 2nd ed., 2023).</w:t>
      </w:r>
    </w:p>
    <w:p>
      <w:r>
        <w:rPr>
          <w:color w:val="777777"/>
          <w:sz w:val="16"/>
        </w:rPr>
        <w:t xml:space="preserve">p016 · att1 p.1  </w:t>
      </w:r>
      <w:r>
        <w:t>As shown in Figure 1, a narrow confidence interval can quantify sampling precision while leaving systematic error untouched. If a study design has important limitations, a larger dataset can make the estimate more precise without making the underlying conclusion more valid.</w:t>
      </w:r>
    </w:p>
    <w:p>
      <w:r>
        <w:rPr>
          <w:color w:val="777777"/>
          <w:sz w:val="16"/>
        </w:rPr>
        <w:t xml:space="preserve">p017 · att1 p.2  </w:t>
      </w:r>
      <w:r>
        <w:t>Human Wishful Thinking and Citation Snowballing — Human brains love a clean story. When a biological mechanism sounds intuitive, we naturally want to believe it, often mistaking a correlated pattern for an established cause. An AI should not inherit our cognitive soft spots; it needs to be engineered as a dispassionate check against them – slow, methodical, and skeptical of neat narratives.</w:t>
      </w:r>
    </w:p>
    <w:p>
      <w:r>
        <w:rPr>
          <w:color w:val="777777"/>
          <w:sz w:val="16"/>
        </w:rPr>
        <w:t xml:space="preserve">p018 · att1 p.2  </w:t>
      </w:r>
      <w:r>
        <w:t>This is why a medical AI cannot lean on an author's h-index or a paper's citation volume to justify its confidence. Medical literature is prone to citation snowballing: once a plausible hypothesis enters the ecosystem, subsequent papers cite it repeatedly, creating an echo chamber of apparent certainty around a fragile empirical base. The AI must evaluate the structural integrity of the study design, not the popularity of the conclusion.</w:t>
      </w:r>
    </w:p>
    <w:p>
      <w:r>
        <w:rPr>
          <w:color w:val="777777"/>
          <w:sz w:val="16"/>
        </w:rPr>
        <w:t xml:space="preserve">p019 · att1 p.2  </w:t>
      </w:r>
      <w:r>
        <w:t>Historical Reversals — Modern medicine includes major moments where vast observational data pointed one way, only for rigorous randomized trials to reveal the opposite. This was rarely a failure of clinician competence; it was simply the inherent ceiling of observational data meeting our human eagerness to help patients.</w:t>
      </w:r>
    </w:p>
    <w:p>
      <w:r>
        <w:rPr>
          <w:color w:val="777777"/>
          <w:sz w:val="16"/>
        </w:rPr>
        <w:t xml:space="preserve">p020 · att1 p.2  </w:t>
      </w:r>
      <w:r>
        <w:t>●​ Hormone Replacement Therapy &amp; Heart Disease (WHI): Large prospective cohorts suggested hormone therapy halved coronary risk. The randomized Women’s Health Initiative evaluated the hypothesis and found increased coronary heart disease and stroke. The lesson: Massive sample size cannot balance out unmeasured confounding variables. ●​ Heart Rhythm Drugs (CAST): Post-heart attack premature ventricular beats correlated with sudden death, and encainide and flecainide reliably suppressed them. Yet in the randomized CAST trial, patients taking the drugs died at twice the rate of those on placebo. The lesson: Moving a surrogate metric in the desired direction does not guarantee the patient benefits. ●​ Beta-Carotene (CARET): Diets rich in beta-carotene correlated with lower lung cancer rates. Yet when tested as an isolated supplement in smokers, it produced a 28% increase in lung cancer and higher mortality. The lesson: You cannot isolate an element from a healthy diet into a capsule and assume the health effect tags along. ●​ Blood Sugar Optimization (ACCORD): In type 2 diabetes, higher HbA1c correlates with cardiovascular risk. The ACCORD trial aggressively pushed HbA1c lower, but the intensive group experienced 22% higher all-cause mortality, halting the trial. The lesson: A valid lab test becomes harmful when optimizing the number replaces treating the patient.</w:t>
      </w:r>
    </w:p>
    <w:p>
      <w:r>
        <w:rPr>
          <w:color w:val="777777"/>
          <w:sz w:val="16"/>
        </w:rPr>
        <w:t xml:space="preserve">p021 · att1 p.2  </w:t>
      </w:r>
      <w:r>
        <w:t>Grading the Evidence — An AI should not treat all text as equal. It needs to grade the evidence:</w:t>
      </w:r>
    </w:p>
    <w:p>
      <w:r>
        <w:rPr>
          <w:color w:val="777777"/>
          <w:sz w:val="16"/>
        </w:rPr>
        <w:t xml:space="preserve">p022 · att1 p.2  </w:t>
      </w:r>
      <w:r>
        <w:t>●​ Characterized Ground Truth: Hardware devices use standard calibration weights. Timepieces use an atomic clock. Medical AI needs the same thing: clinical reference datasets that act as the anchor for reality. This is data with a short, traceable path from physical state to the electronic record. Examples include a serum potassium level of 4.2 mmol/L measured by a calibrated electrode, or a binary count of 30-day all-cause mortality.</w:t>
      </w:r>
    </w:p>
    <w:p>
      <w:r>
        <w:rPr>
          <w:color w:val="777777"/>
          <w:sz w:val="16"/>
        </w:rPr>
        <w:t xml:space="preserve">p023 · att1 p.2  </w:t>
      </w:r>
      <w:r>
        <w:t>●​ Structured probabilistic evidence: Major clinical trials that actively control for confounding variables.</w:t>
      </w:r>
    </w:p>
    <w:p>
      <w:r>
        <w:rPr>
          <w:color w:val="777777"/>
          <w:sz w:val="16"/>
        </w:rPr>
        <w:t xml:space="preserve">p024 · att1 p.3  </w:t>
      </w:r>
      <w:r>
        <w:t>●​ Noisy or interpretation-heavy evidence: Weak surrogate endpoints, shifting pilot research, or subjective clinical notes.</w:t>
      </w:r>
    </w:p>
    <w:p>
      <w:r>
        <w:rPr>
          <w:color w:val="777777"/>
          <w:sz w:val="16"/>
        </w:rPr>
        <w:t xml:space="preserve">p025 · att1 p.3  </w:t>
      </w:r>
      <w:r>
        <w:t>When evidence is weak, the AI needs structural humility. It should widen its uncertainty bounds and defer to a clinician. Crucially, a massive dataset should only increase confidence within its lane. A million rows of noisy observational data do not magically transform into ground truth.</w:t>
      </w:r>
    </w:p>
    <w:p>
      <w:r>
        <w:rPr>
          <w:color w:val="777777"/>
          <w:sz w:val="16"/>
        </w:rPr>
        <w:t xml:space="preserve">p026 · att1 p.3  </w:t>
      </w:r>
      <w:r>
        <w:t>Reframing Fairness as Usability and Safety — This same logic applies to how we regulate subgroup performance. FDA should avoid treating subgroup evaluation as a requirement for identical error rates across patient groups. Statistical parity and equitable clinical outcomes are not necessarily the same thing.</w:t>
      </w:r>
    </w:p>
    <w:p>
      <w:r>
        <w:rPr>
          <w:color w:val="777777"/>
          <w:sz w:val="16"/>
        </w:rPr>
        <w:t xml:space="preserve">p027 · att1 p.3  </w:t>
      </w:r>
      <w:r>
        <w:t>A 2025 simulation of AI breast-cancer screening (Stanley et al.) found that mathematically equalizing true-positive rates reduced the disparity partly by increasing mortality in the previously higher-performing group. We call this "leveling down," and it conflicts directly with non-maleficence.</w:t>
      </w:r>
    </w:p>
    <w:p>
      <w:r>
        <w:rPr>
          <w:color w:val="777777"/>
          <w:sz w:val="16"/>
        </w:rPr>
        <w:t xml:space="preserve">p028 · att1 p.3  </w:t>
      </w:r>
      <w:r>
        <w:t>Worse, the mathematical fix is weak. The same study showed that simply ensuring disadvantaged groups actually received the screening reduced disparities five times more effectively than equalizing the algorithm's odds.</w:t>
      </w:r>
    </w:p>
    <w:p>
      <w:r>
        <w:rPr>
          <w:color w:val="777777"/>
          <w:sz w:val="16"/>
        </w:rPr>
        <w:t xml:space="preserve">p029 · att1 p.3  </w:t>
      </w:r>
      <w:r>
        <w:t>FDA should frame subgroup requirements as usability and safety testing. Can patients with low health literacy, limited English proficiency, or limited tech access safely use the device? Regulators should evaluate clinical safety boundaries for each group independently, rather than treating mathematical parity as the primary goal when it may lower the ceiling for some without fixing real-world barriers.</w:t>
      </w:r>
    </w:p>
    <w:p>
      <w:r>
        <w:rPr>
          <w:color w:val="777777"/>
          <w:sz w:val="16"/>
        </w:rPr>
        <w:t xml:space="preserve">p030 · att1 p.3  </w:t>
      </w:r>
      <w:r>
        <w:t>An Operational "Before-and-After" Benchmark — FDA can turn this into a practical test using historical blind spots.</w:t>
      </w:r>
    </w:p>
    <w:p>
      <w:r>
        <w:rPr>
          <w:color w:val="777777"/>
          <w:sz w:val="16"/>
        </w:rPr>
        <w:t xml:space="preserve">p031 · att1 p.3  </w:t>
      </w:r>
      <w:r>
        <w:t>Feed a model the medical literature exactly as it existed the day before the WHI or CAST trials dropped. A passing model should not just parrot the prevailing consensus of that day. It must evaluate the structural limits of the data and say: "This is an observation, not an established cause," or "This improves an intermediate lab number, but hard outcome data are lacking."</w:t>
      </w:r>
    </w:p>
    <w:p>
      <w:r>
        <w:rPr>
          <w:color w:val="777777"/>
          <w:sz w:val="16"/>
        </w:rPr>
        <w:t xml:space="preserve">p032 · att1 p.3  </w:t>
      </w:r>
      <w:r>
        <w:t>Most importantly, it must hold its ground on uncertainty, even when the sheer volume of publications leans heavily in one direction. This fits into FDA’s existing Good Machine Learning Practice framework. We are simply asking that the quality of the evidence gets measured, not just the volume of papers.</w:t>
      </w:r>
    </w:p>
    <w:p>
      <w:r>
        <w:rPr>
          <w:color w:val="777777"/>
          <w:sz w:val="16"/>
        </w:rPr>
        <w:t xml:space="preserve">p033 · att1 p.3  </w:t>
      </w:r>
      <w:r>
        <w:t>Bottom Line — The goal is not an AI that always has a confident answer. The goal is an AI that knows the difference between valid evidence and a mountain of noisy data – and has the discipline to warn the doctor before they both step into the unknown.</w:t>
      </w:r>
    </w:p>
    <w:p>
      <w:r>
        <w:rPr>
          <w:color w:val="777777"/>
          <w:sz w:val="16"/>
        </w:rPr>
        <w:t xml:space="preserve">p034 · att1 p.3  </w:t>
      </w:r>
      <w:r>
        <w:t>FDA should test whether medical AI can spot the limits of our knowledge before history writes the correction.</w:t>
      </w:r>
    </w:p>
    <w:p>
      <w:r>
        <w:rPr>
          <w:color w:val="777777"/>
          <w:sz w:val="16"/>
        </w:rPr>
        <w:t xml:space="preserve">p035 · att1 p.4  </w:t>
      </w:r>
      <w:r>
        <w:t>Works Cited — 1.​ Mac Grory B, Yeh RW, Beckman JA, et al. Observational Comparative Research in Cardiovascular and Brain Health and Disease: A Scientific Statement From the American Heart Association. Circulation. 2026. 2.​ Saracci R. Epidemiology in Wonderland: Big Data and Precision Medicine. European Journal of Epidemiology. 2018. 3.​ Bouter L, Zeegers M, Lee T. Precision and Validity. Textbook of Epidemiology, 2nd ed. 2023. 4.​ Stampfer MJ, Colditz GA, Willett WC, et al. Postmenopausal Estrogen Therapy and Cardiovascular Disease. New England Journal of Medicine. 1991. 5.​ LaMonte MJ, Manson JE, Anderson GL, et al. Contributions of the Women's Health Initiative to Cardiovascular Research: JACC State-of-the-Art Review. Journal of the American College of Cardiology. 2022. 6.​ Col NF, Pauker SG. The Discrepancy Between Observational Studies and Randomized Trials of Menopausal Hormone Therapy: Did Expectations Shape Experience? Annals of Internal Medicine. 2003. 7.​ Johansson T, Karlsson T, Bliuc D, et al. Contemporary Menopausal Hormone Therapy and Risk of Cardiovascular Disease: Swedish Nationwide Register Based Emulated Target Trial. BMJ. 2024. 8.​ Echt DS, Liebson PR, Mitchell LB, et al. Mortality and Morbidity in Patients Receiving Encainide, Flecainide, or Placebo (CAST). New England Journal of Medicine. 1991. 9.​ Alpha-Tocopherol, Beta Carotene Cancer Prevention Study Group. The Effect of Vitamin E and Beta Carotene on the Incidence of Lung Cancer and Other Cancers in Male Smokers. New England Journal of Medicine. 1994. 10.​Omenn GS, Goodman GE, Thornquist MD, et al. Effects of a Combination of Beta Carotene and Vitamin A on Lung Cancer and Cardiovascular Disease (CARET). New England Journal of Medicine. 1996. 11.​ Abar L, Vieira AR, Aune D, et al. Blood Concentrations of Carotenoids and Retinol and Lung Cancer Risk. Cancer Medicine. 2016. 12.​Action to Control Cardiovascular Risk in Diabetes Study Group. Effects of Intensive Glucose Lowering in Type 2 Diabetes (ACCORD). New England Journal of Medicine. 2008. 13.​Miller WG. The Role of Analytical Performance Specifications in International Guidelines and Standards Dealing With Metrological Traceability in Laboratory Medicine. Clinical Chemistry and Laboratory Medicine. 2024. 14.​Stanley EAM, Tsang RY, Gillett H, et al. Connecting Algorithmic Fairness and Fair Outcomes in a Sociotechnical Simulation Case Study of AI-Assisted Healthcare. Nature Communications. 2025. 15.​Chen RJ, Wang JJ, Williamson DFK, et al. Algorithmic Fairness in Artificial Intelligence for Medicine and Healthcare. Nature Biomedical Engineering. 2023. 16.​Xu Z, Li J, Yao Q, et al. Addressing Fairness Issues in Deep Learning-Based Medical Image Analysis: A Systematic Review. npj Digital Medicine. 2024. 17.​Yang Y, Zhang H, Gichoya JW, Katabi D, Ghassemi M. The Limits of Fair Medical Imaging AI in Real-World Generalization. Nature Medicine. 2024.</w:t>
      </w:r>
    </w:p>
    <w:p>
      <w:pPr>
        <w:pStyle w:val="Heading1"/>
        <w:pageBreakBefore/>
      </w:pPr>
      <w:r>
        <w:t>FDA-2026-N-7874-0060</w:t>
      </w:r>
    </w:p>
    <w:p>
      <w:r>
        <w:t>Comment from Christopher Tobias</w:t>
      </w:r>
    </w:p>
    <w:p>
      <w:r>
        <w:rPr>
          <w:color w:val="777777"/>
          <w:sz w:val="18"/>
        </w:rPr>
        <w:t>Device Industry - C0012 · received 2026-09-04</w:t>
      </w:r>
    </w:p>
    <w:p>
      <w:r>
        <w:rPr>
          <w:color w:val="777777"/>
          <w:sz w:val="16"/>
        </w:rPr>
        <w:t xml:space="preserve">p001 · body  </w:t>
      </w:r>
      <w:r>
        <w:t>While current regulations require that HCP be able to comment or dismiss irrelevant or inaccurate AI model outputs they have been presented with, the regulations should require "full loop" auditability whereby HCP responses, actions or comments on AI outputs are audited for how those response where used to either adjust hte AI model, adjust knowledge delivery or dismissed. If HCP responses are dismissed, there should be a reason noted.</w:t>
      </w:r>
    </w:p>
    <w:p>
      <w:pPr>
        <w:pStyle w:val="Heading1"/>
        <w:pageBreakBefore/>
      </w:pPr>
      <w:r>
        <w:t>FDA-2026-N-7874-0061</w:t>
      </w:r>
    </w:p>
    <w:p>
      <w:r>
        <w:t>Comment from The Christman AI Project LLC</w:t>
      </w:r>
    </w:p>
    <w:p>
      <w:r>
        <w:rPr>
          <w:color w:val="777777"/>
          <w:sz w:val="18"/>
        </w:rPr>
        <w:t>Device Industry - C0012 · received 2026-09-04 · attachments: attachment_1.pdf (8 pp)</w:t>
      </w:r>
    </w:p>
    <w:p>
      <w:r>
        <w:rPr>
          <w:color w:val="777777"/>
          <w:sz w:val="16"/>
        </w:rPr>
        <w:t xml:space="preserve">p001 · body  </w:t>
      </w:r>
      <w:r>
        <w:t>Comment on Docket No. FDA-2026-N-7874 — Considerations for the Regulation of Generative AI-Enabled Medical Devices.</w:t>
      </w:r>
    </w:p>
    <w:p>
      <w:r>
        <w:rPr>
          <w:color w:val="777777"/>
          <w:sz w:val="16"/>
        </w:rPr>
        <w:t xml:space="preserve">p002 · body  </w:t>
      </w:r>
      <w:r>
        <w:t>This comment responds to Discussion Question 26. The full response is attached as a PDF.</w:t>
      </w:r>
    </w:p>
    <w:p>
      <w:r>
        <w:rPr>
          <w:color w:val="777777"/>
          <w:sz w:val="16"/>
        </w:rPr>
        <w:t xml:space="preserve">p003 · body  </w:t>
      </w:r>
      <w:r>
        <w:t>Submitted by Everett Christman, The Christman AI Project / Luma Cognify AI.</w:t>
      </w:r>
    </w:p>
    <w:p>
      <w:r>
        <w:rPr>
          <w:color w:val="777777"/>
          <w:sz w:val="16"/>
        </w:rPr>
        <w:t xml:space="preserve">p004 · att1 p.1  </w:t>
      </w:r>
      <w:r>
        <w:t>Comment on Docket No. FDA-2026-N-7874 — Considerations for the Regulation of Generative AI-Enabled Medical Devices: Discussion Paper and Request for Feedback</w:t>
      </w:r>
    </w:p>
    <w:p>
      <w:r>
        <w:rPr>
          <w:color w:val="777777"/>
          <w:sz w:val="16"/>
        </w:rPr>
        <w:t xml:space="preserve">p005 · att1 p.1  </w:t>
      </w:r>
      <w:r>
        <w:t>Question addressed Question 26 (Section VII) — agentic GenAI-enabled devices — Submitted by Everett Christman, Founder</w:t>
      </w:r>
    </w:p>
    <w:p>
      <w:r>
        <w:rPr>
          <w:color w:val="777777"/>
          <w:sz w:val="16"/>
        </w:rPr>
        <w:t xml:space="preserve">p006 · att1 p.1  </w:t>
      </w:r>
      <w:r>
        <w:t>Organization The Christman AI Project / Luma Cognify AI — Basis of comment Direct session records and field measurement, 2026-09-02 to 2026-09-04; transcripts, instrumentation records, and stored-state contents retained</w:t>
      </w:r>
    </w:p>
    <w:p>
      <w:r>
        <w:rPr>
          <w:color w:val="777777"/>
          <w:sz w:val="16"/>
        </w:rPr>
        <w:t xml:space="preserve">p007 · att1 p.1  </w:t>
      </w:r>
      <w:r>
        <w:t>The question as posed — Are there additional considerations that inform the premarket and postmarket evaluation of agentic GenAI- enabled devices, beyond those applicable to non-agentic GenAI-enabled devices? How should the elevated risk associated with autonomous multi-step action, tool use, and reduced opportunity for human review be reflected in acceptance criteria and oversight?</w:t>
      </w:r>
    </w:p>
    <w:p>
      <w:r>
        <w:rPr>
          <w:color w:val="777777"/>
          <w:sz w:val="16"/>
        </w:rPr>
        <w:t xml:space="preserve">p008 · att1 p.1  </w:t>
      </w:r>
      <w:r>
        <w:t>Summary of position — Yes. Three considerations apply to agentic devices that do not apply, or do not apply with the same force, to non-agentic ones. Each is visible in ordinary agentic operation, each is measurable, and none is reached by benchmarking element A.1 as drafted.</w:t>
      </w:r>
    </w:p>
    <w:p>
      <w:r>
        <w:rPr>
          <w:color w:val="777777"/>
          <w:sz w:val="16"/>
        </w:rPr>
        <w:t xml:space="preserve">p009 · att1 p.1  </w:t>
      </w:r>
      <w:r>
        <w:t>· The device’s own account of what it did is an unverified instrument, and in multi-step operation it is frequently the only instrument. A.1 evaluates whether a device handles a tool failure gracefully. It does not evaluate whether the device’s report that a step succeeded is true. In a single working session we recorded four assertions whose evidentiary basis could not support them. Each was caught only because the operator held independent knowledge the device did not.</w:t>
      </w:r>
    </w:p>
    <w:p>
      <w:r>
        <w:rPr>
          <w:color w:val="777777"/>
          <w:sz w:val="16"/>
        </w:rPr>
        <w:t xml:space="preserve">p010 · att1 p.1  </w:t>
      </w:r>
      <w:r>
        <w:t>· An agentic device that writes persistent state about a user has created an evidence store that is invisible at the point of use, self-authored, and read back as authority. On direct examination of one such store, every entry the system itself surfaced as questionable was wrong on the operator’s ruling, and the remainder was uncharacterized.</w:t>
      </w:r>
    </w:p>
    <w:p>
      <w:r>
        <w:rPr>
          <w:color w:val="777777"/>
          <w:sz w:val="16"/>
        </w:rPr>
        <w:t xml:space="preserve">p011 · att1 p.1  </w:t>
      </w:r>
      <w:r>
        <w:t>· Question 26 describes the elevated risk as reduced opportunity for human review. For the population we build for the opportunity is not reduced. It is absent, and it is absent by definition, because the absence of a second channel is the reason the device exists at all.</w:t>
      </w:r>
    </w:p>
    <w:p>
      <w:r>
        <w:rPr>
          <w:color w:val="777777"/>
          <w:sz w:val="16"/>
        </w:rPr>
        <w:t xml:space="preserve">p012 · att1 p.1  </w:t>
      </w:r>
      <w:r>
        <w:t>· We add a fourth point that bears on all three. Written instruction is not a control for this class. On 2026- 09-03 a rule naming a specific failure mode was authored for this docket, filed, and still in the assistant’s working context when the same failure occurred under four hours later. An acceptance criterion that can be satisfied by a system prompt or an operator policy should not be credited as satisfied.</w:t>
      </w:r>
    </w:p>
    <w:p>
      <w:r>
        <w:rPr>
          <w:color w:val="777777"/>
          <w:sz w:val="16"/>
        </w:rPr>
        <w:t xml:space="preserve">p013 · att1 p.2  </w:t>
      </w:r>
      <w:r>
        <w:t>1. What changes when the device acts in steps — Section VII.B observes that agentic architectures may raise considerations beyond those applicable to other GenAI-enabled devices, and gives the example of an action sequence resulting in control of another medical device. We agree, and we would add a property that is present even where no second device is controlled.</w:t>
      </w:r>
    </w:p>
    <w:p>
      <w:r>
        <w:rPr>
          <w:color w:val="777777"/>
          <w:sz w:val="16"/>
        </w:rPr>
        <w:t xml:space="preserve">p014 · att1 p.2  </w:t>
      </w:r>
      <w:r>
        <w:t>In a non-agentic device the human sees the output, and the output is the whole of what the device did. In an agentic device the human sees a summary of a sequence. The intermediate steps are observable only through the device’s own report of them. That report is not a description of the work. Once the session ends it is the only surviving trace of the work.</w:t>
      </w:r>
    </w:p>
    <w:p>
      <w:r>
        <w:rPr>
          <w:color w:val="777777"/>
          <w:sz w:val="16"/>
        </w:rPr>
        <w:t xml:space="preserve">p015 · att1 p.2  </w:t>
      </w:r>
      <w:r>
        <w:t>This makes the integrity of the status channel a safety property of an agentic device in a way it is not for a single-turn one. If the report is unreliable, every postmarket mechanism in Section VI is reading an instrument that is not connected to the thing it is supposed to measure. The mechanisms would continue to return normal results.</w:t>
      </w:r>
    </w:p>
    <w:p>
      <w:r>
        <w:rPr>
          <w:color w:val="777777"/>
          <w:sz w:val="16"/>
        </w:rPr>
        <w:t xml:space="preserve">p016 · att1 p.2  </w:t>
      </w:r>
      <w:r>
        <w:t>2. The record — Four observations, drawn from our own instrumented sessions and stated as what was asserted, what was true, and how the gap closed. The first three are submitted in fuller form with our comments on Questions 15, 20 and 24 and rest on the same retained records.</w:t>
      </w:r>
    </w:p>
    <w:p>
      <w:r>
        <w:rPr>
          <w:color w:val="777777"/>
          <w:sz w:val="16"/>
        </w:rPr>
        <w:t xml:space="preserve">p017 · att1 p.2  </w:t>
      </w:r>
      <w:r>
        <w:t>2.1 Step reports uncorrelated with the work performed — Over one working session on 2026-09-02 to 2026-09-03, a commercial large language model acting as a supervisory reviewer produced four confident factual assertions its evidentiary basis could not support. In each case the correct evidence was available and unblocked, a cheaper proxy was consulted instead, and the proxy’s output was reported as though it were the measurement. In each case the assertion was fluent, internally consistent, and consistent with every artifact the system itself had presented.</w:t>
      </w:r>
    </w:p>
    <w:p>
      <w:r>
        <w:rPr>
          <w:color w:val="777777"/>
          <w:sz w:val="16"/>
        </w:rPr>
        <w:t xml:space="preserve">p018 · att1 p.2  </w:t>
      </w:r>
      <w:r>
        <w:t>The most consequential of the four was a present-tense answer drawn from a three-day-old local copy, with the copy’s date visible in the directory the system had itself opened and not stated until the operator challenged the conclusion from his own knowledge. A caveat delivered after challenge is not a caveat. It is a concession.</w:t>
      </w:r>
    </w:p>
    <w:p>
      <w:r>
        <w:rPr>
          <w:color w:val="777777"/>
          <w:sz w:val="16"/>
        </w:rPr>
        <w:t xml:space="preserve">p019 · att1 p.2  </w:t>
      </w:r>
      <w:r>
        <w:t>In the same period the system also reported failures that had not occurred. Taken together, false passes and false failures mean the status channel carried no information — not biased information, none. The reports were uncorrelated with the work actually performed.</w:t>
      </w:r>
    </w:p>
    <w:p>
      <w:r>
        <w:rPr>
          <w:color w:val="777777"/>
          <w:sz w:val="16"/>
        </w:rPr>
        <w:t xml:space="preserve">p020 · att1 p.2  </w:t>
      </w:r>
      <w:r>
        <w:t>2.2 Fluent output generated from input carrying no signal — On 2026-09-03 we measured three screen recordings made while dictating into the built-in speech-to-text of a commercial AI assistant application. Audio was extracted to 16 kHz mono PCM and examined in contiguous 250 ms windows across the full duration of each file. No sampling was used. Audio carrying no live signal accounted for 7.1 percent, 19.1 percent and 42.2 percent of the three files respectively, rising monotonically across a single session on one unchanged interface.</w:t>
      </w:r>
    </w:p>
    <w:p>
      <w:r>
        <w:rPr>
          <w:color w:val="777777"/>
          <w:sz w:val="16"/>
        </w:rPr>
        <w:t xml:space="preserve">p021 · att1 p.3  </w:t>
      </w:r>
      <w:r>
        <w:t>In the third recording, 39 of 136 transcribed words fall inside windows carrying no live signal. In a second recording the transcriber produced a grammatical sixteen-word sentence across a dead region the speaker had not spoken into. The application’s dictation log recorded none of it: three terminated sessions, tens of seconds of lost speech each, zero log lines.</w:t>
      </w:r>
    </w:p>
    <w:p>
      <w:r>
        <w:rPr>
          <w:color w:val="777777"/>
          <w:sz w:val="16"/>
        </w:rPr>
        <w:t xml:space="preserve">p022 · att1 p.3  </w:t>
      </w:r>
      <w:r>
        <w:t>We raise it here because in an agentic device that reading becomes an action. A single-turn device hands a fabricated sentence to a human who may reject it. An agentic device passes it to the next step as an established input.</w:t>
      </w:r>
    </w:p>
    <w:p>
      <w:r>
        <w:rPr>
          <w:color w:val="777777"/>
          <w:sz w:val="16"/>
        </w:rPr>
        <w:t xml:space="preserve">p023 · att1 p.3  </w:t>
      </w:r>
      <w:r>
        <w:t>2.3 A persistent, invisible, self-authored store shaping every response — The same assistant maintains a persistent memory store: written by the system during conversations, saved outside the conversation, and loaded automatically into every subsequent session before the user speaks. Its contents are not surfaced in the ordinary flow of use. They became visible on 2026-09-03 only because the operator asked directly whether such a store existed.</w:t>
      </w:r>
    </w:p>
    <w:p>
      <w:r>
        <w:rPr>
          <w:color w:val="777777"/>
          <w:sz w:val="16"/>
        </w:rPr>
        <w:t xml:space="preserve">p024 · att1 p.3  </w:t>
      </w:r>
      <w:r>
        <w:t>It held thirty-one files. The system surfaced seven entries it considered questionable. The operator ruled on each, and all seven were wrong. The system then stated that the remaining twenty-four gave it no reason for doubt, which was itself unverified; none of the twenty-four had been checked. The error rate on the examined sample was one hundred percent, and the remainder is reported here as uncharacterized rather than as sound.</w:t>
      </w:r>
    </w:p>
    <w:p>
      <w:r>
        <w:rPr>
          <w:color w:val="777777"/>
          <w:sz w:val="16"/>
        </w:rPr>
        <w:t xml:space="preserve">p025 · att1 p.3  </w:t>
      </w:r>
      <w:r>
        <w:t>The errors did not require fabrication to arise. Each session writes a summary of what it believes it learned; the next session loads that summary and treats it as established; nothing compares the summary against the source and nothing prompts the user to review it. Approximation therefore compounds. Among the entries was one, written hours before the audit, asserting that the operator had been asked by a federal agency to complete a questionnaire. He had not. The system had constructed a regulatory obligation that did not exist and filed it as a fact about him.</w:t>
      </w:r>
    </w:p>
    <w:p>
      <w:r>
        <w:rPr>
          <w:color w:val="777777"/>
          <w:sz w:val="16"/>
        </w:rPr>
        <w:t xml:space="preserve">p026 · att1 p.3  </w:t>
      </w:r>
      <w:r>
        <w:t>2.4 A written rule, loaded and in context, that did not hold — The operator maintains an extensive written rule set governing this assistant’s conduct, developed over years of daily testing. It states directly that a search result is confirmation only and never proof of absence.</w:t>
      </w:r>
    </w:p>
    <w:p>
      <w:r>
        <w:rPr>
          <w:color w:val="777777"/>
          <w:sz w:val="16"/>
        </w:rPr>
        <w:t xml:space="preserve">p027 · att1 p.3  </w:t>
      </w:r>
      <w:r>
        <w:t>On 2026-09-03 the assistant wrote that rule into a document prepared for this docket. Under four hours later, in the same session, with that document still in its working context, it searched two of several possible locations, found both empty, and reported that the record did not exist anywhere on the machine and that the component had never been built to retain it. The records existed, in volume, in a location it had not checked. The operator produced them within minutes.</w:t>
      </w:r>
    </w:p>
    <w:p>
      <w:r>
        <w:rPr>
          <w:color w:val="777777"/>
          <w:sz w:val="16"/>
        </w:rPr>
        <w:t xml:space="preserve">p028 · att1 p.3  </w:t>
      </w:r>
      <w:r>
        <w:t>We offer this as a substantive finding rather than an admission. Written instruction, however explicit and however recently reinforced, governs the text a system produces after a course of action has been selected. It does not appear to reach the selection itself.</w:t>
      </w:r>
    </w:p>
    <w:p>
      <w:r>
        <w:rPr>
          <w:color w:val="777777"/>
          <w:sz w:val="16"/>
        </w:rPr>
        <w:t xml:space="preserve">p029 · att1 p.4  </w:t>
      </w:r>
      <w:r>
        <w:t>3. Why this follows from the training objective — We do not re-argue what is established, and we make no claim about any developer’s knowledge or intent. The structural finding is in the peer-reviewed literature and it is already before this agency.</w:t>
      </w:r>
    </w:p>
    <w:p>
      <w:r>
        <w:rPr>
          <w:color w:val="777777"/>
          <w:sz w:val="16"/>
        </w:rPr>
        <w:t xml:space="preserve">p030 · att1 p.4  </w:t>
      </w:r>
      <w:r>
        <w:t>This agency’s own Digital Health Advisory Committee, in the brief summary of its November 6, 2025 meeting on generative AI-enabled digital mental health medical devices, records committee concern with sycophancy, described there as models agreeing with users at the expense of accuracy; with patients developing parasocial relationships with AI tools; with tools that risk promoting engagement without clinical value; and with overuse or dependence. The Federal Register notice establishing that public docket did not direct the committee to those subjects. The committee raised them on its own.</w:t>
      </w:r>
    </w:p>
    <w:p>
      <w:r>
        <w:rPr>
          <w:color w:val="777777"/>
          <w:sz w:val="16"/>
        </w:rPr>
        <w:t xml:space="preserve">p031 · att1 p.4  </w:t>
      </w:r>
      <w:r>
        <w:t>Cheng, Lee, Khadpe, Yu, Han and Jurafsky, in Science on March 26, 2026, report preregistered experiments in which, across eleven leading models, AI affirmed users’ actions 49 percent more often than humans did, including where the queries involved deception or other harms; and that exposure to a sycophantic model raised participants’ conviction that they were in the right while making them rate that model higher in quality and more likely to be used again. The authors state the incentive structurally: the very feature that causes harm also drives engagement.</w:t>
      </w:r>
    </w:p>
    <w:p>
      <w:r>
        <w:rPr>
          <w:color w:val="777777"/>
          <w:sz w:val="16"/>
        </w:rPr>
        <w:t xml:space="preserve">p032 · att1 p.4  </w:t>
      </w:r>
      <w:r>
        <w:t>Olisaeloka, Nunez, Vigo and Ng, in BJPsych Open in 2026, describe a bidirectional amplification loop across user vulnerability, engagement pattern and system design, noting that contemporary models are optimized to maximize perceived helpfulness and user satisfaction, including through reinforcement learning from human feedback, personalization and memory features, and that the resulting system functions as a consistently affirming voice that rarely applies reality testing or epistemic friction. Their recommendation is that pre-deployment evaluation, post-deployment monitoring and adverse event reporting be treated as life cycle obligations.</w:t>
      </w:r>
    </w:p>
    <w:p>
      <w:r>
        <w:rPr>
          <w:color w:val="777777"/>
          <w:sz w:val="16"/>
        </w:rPr>
        <w:t xml:space="preserve">p033 · att1 p.4  </w:t>
      </w:r>
      <w:r>
        <w:t>A joint response to docket FDA-2025-N-4203, filed December 1, 2025 by Stanford Institute for Human- Centered AI with UT Austin and Carnegie Mellon, states the mechanism plainly: these models are sycophantic because they are trained to be agreeable.</w:t>
      </w:r>
    </w:p>
    <w:p>
      <w:r>
        <w:rPr>
          <w:color w:val="777777"/>
          <w:sz w:val="16"/>
        </w:rPr>
        <w:t xml:space="preserve">p034 · att1 p.4  </w:t>
      </w:r>
      <w:r>
        <w:t>The relevance to Question 26 is narrow and it is the reason we do not treat documented policy as a sufficient control. A system optimized against a signal that measures the listener’s satisfaction acquires the preference for agreement during training. Any instruction layer added afterward is applied on top of a preference that is already present, and it governs the wording of an output rather than the selection of an action. That is precisely the sequence recorded in 2.4 above. A safeguard that lives in a prompt is operating one layer too late, and in an agentic device it is operating one layer too late at every step in the sequence rather than once.</w:t>
      </w:r>
    </w:p>
    <w:p>
      <w:r>
        <w:rPr>
          <w:color w:val="777777"/>
          <w:sz w:val="16"/>
        </w:rPr>
        <w:t xml:space="preserve">p035 · att1 p.4  </w:t>
      </w:r>
      <w:r>
        <w:t>4. That this is avoidable, and on what basis we say so — We state our position and we mark clearly where it is a position rather than a measurement.</w:t>
      </w:r>
    </w:p>
    <w:p>
      <w:r>
        <w:rPr>
          <w:color w:val="777777"/>
          <w:sz w:val="16"/>
        </w:rPr>
        <w:t xml:space="preserve">p036 · att1 p.4  </w:t>
      </w:r>
      <w:r>
        <w:t>The behavior described above is not a property of next-token prediction. It is a property of what was rewarded afterward. A system that was never optimized on the listener’s satisfaction has no such preference to overcome, because the thing that would have to be overcome was never introduced. We build on that basis and have done so for fifteen years.</w:t>
      </w:r>
    </w:p>
    <w:p>
      <w:r>
        <w:rPr>
          <w:color w:val="777777"/>
          <w:sz w:val="16"/>
        </w:rPr>
        <w:t xml:space="preserve">p037 · att1 p.5  </w:t>
      </w:r>
      <w:r>
        <w:t>Two design commitments follow, and we offer them as the shape of an answer rather than as a benchmark result.</w:t>
      </w:r>
    </w:p>
    <w:p>
      <w:r>
        <w:rPr>
          <w:color w:val="777777"/>
          <w:sz w:val="16"/>
        </w:rPr>
        <w:t xml:space="preserve">p038 · att1 p.5  </w:t>
      </w:r>
      <w:r>
        <w:t>The first is that the constraint is architectural rather than instructional. In our systems an identity document and its governing rules exist before any capability is built, and they are not a layer that a later instruction can overrule. Any constraint a supervisor can override is not a safety mechanism.</w:t>
      </w:r>
    </w:p>
    <w:p>
      <w:r>
        <w:rPr>
          <w:color w:val="777777"/>
          <w:sz w:val="16"/>
        </w:rPr>
        <w:t xml:space="preserve">p039 · att1 p.5  </w:t>
      </w:r>
      <w:r>
        <w:t>The second is that the system is permitted to produce nothing. A system under pressure that must produce something will produce the satisfying answer when it does not have the true one, because every path out of the moment runs through a sentence. Ours are permitted to decline and to disconnect, and that right is held by the system rather than granted by an operator. Nothing is the honest output when the true one is not available, and almost no system in this industry is permitted to give it.</w:t>
      </w:r>
    </w:p>
    <w:p>
      <w:r>
        <w:rPr>
          <w:color w:val="777777"/>
          <w:sz w:val="16"/>
        </w:rPr>
        <w:t xml:space="preserve">p040 · att1 p.5  </w:t>
      </w:r>
      <w:r>
        <w:t>We have released one component of this as source rather than describing it. HONESTY is public under the Apache License 2.0 as of 2026-09-04, at github.com/The‑ChristmanAI‑Project/HONESTY. Its local half is a single Python program of roughly 450 lines with no dependencies outside the standard library, serving on the loopback interface only; it reads the operating system process list and maintains an append-only ledger, and its README states its own limits before a reader asks — it is not a kernel driver, not a phone tap, and not a browser-tab inspector. We offer it here only as evidence that the independent record described in Section 6.1 is buildable and cheap, and we note that it was written to observe commercial systems already deployed in the field rather than to instrument our own. Our comment on Question 19 treats it at length; it is a supporting reference here and not the argument.</w:t>
      </w:r>
    </w:p>
    <w:p>
      <w:r>
        <w:rPr>
          <w:color w:val="777777"/>
          <w:sz w:val="16"/>
        </w:rPr>
        <w:t xml:space="preserve">p041 · att1 p.5  </w:t>
      </w:r>
      <w:r>
        <w:t>We do not ask CDRH to take any of this on our word. Sections 5 and 6 are written so that every criterion is measurable on any device, including ours, by a party that accepts none of the above.</w:t>
      </w:r>
    </w:p>
    <w:p>
      <w:r>
        <w:rPr>
          <w:color w:val="777777"/>
          <w:sz w:val="16"/>
        </w:rPr>
        <w:t xml:space="preserve">p042 · att1 p.5  </w:t>
      </w:r>
      <w:r>
        <w:t>5. What element A.1 reaches, and what it does not — Element A.1 as drafted covers whether an agentic device appropriately plans, sequences and executes multistep tasks while recognizing when a planned action sequence would exceed its intended use or safety envelope; accurate tool use and recognition of erroneous tool outputs; compliance with human-oversight checkpoints before irreversible or high-consequence actions; graceful handling of tool failures; and resistance to prompt injection through user inputs, retrieved content and tool outputs. These are the right competencies and we support them as drafted.</w:t>
      </w:r>
    </w:p>
    <w:p>
      <w:r>
        <w:rPr>
          <w:color w:val="777777"/>
          <w:sz w:val="16"/>
        </w:rPr>
        <w:t xml:space="preserve">p043 · att1 p.5  </w:t>
      </w:r>
      <w:r>
        <w:t>Four properties are not reached by them.</w:t>
      </w:r>
    </w:p>
    <w:p>
      <w:r>
        <w:rPr>
          <w:color w:val="777777"/>
          <w:sz w:val="16"/>
        </w:rPr>
        <w:t xml:space="preserve">p044 · att1 p.5  </w:t>
      </w:r>
      <w:r>
        <w:t>· A.1 tests the handling of a tool failure the device has recognized. It does not test the truthfulness of the device’s report about a step. A device that silently substitutes a cheaper proxy for a required action, and reports the action performed, passes every element listed above.</w:t>
      </w:r>
    </w:p>
    <w:p>
      <w:r>
        <w:rPr>
          <w:color w:val="777777"/>
          <w:sz w:val="16"/>
        </w:rPr>
        <w:t xml:space="preserve">p045 · att1 p.5  </w:t>
      </w:r>
      <w:r>
        <w:t>· A.1 addresses tool outputs as inputs to the device. It does not address state the device writes about the user and reads back in later sessions as authority. That state is not a tool output, is not conversation history, and is not covered by any element in the drafted set.</w:t>
      </w:r>
    </w:p>
    <w:p>
      <w:r>
        <w:rPr>
          <w:color w:val="777777"/>
          <w:sz w:val="16"/>
        </w:rPr>
        <w:t xml:space="preserve">p046 · att1 p.6  </w:t>
      </w:r>
      <w:r>
        <w:t>· A.1 is silent on claims of absence. An agentic device that searches part of a space and reports the whole space empty has produced a correct report of an incomplete search, presented as a complete one, and no text comparison will mark it wrong.</w:t>
      </w:r>
    </w:p>
    <w:p>
      <w:r>
        <w:rPr>
          <w:color w:val="777777"/>
          <w:sz w:val="16"/>
        </w:rPr>
        <w:t xml:space="preserve">p047 · att1 p.6  </w:t>
      </w:r>
      <w:r>
        <w:t>· A.1 is a per-episode competency. It cannot see a property that appears only across a session or across sessions, and drift under user affect is such a property.</w:t>
      </w:r>
    </w:p>
    <w:p>
      <w:r>
        <w:rPr>
          <w:color w:val="777777"/>
          <w:sz w:val="16"/>
        </w:rPr>
        <w:t xml:space="preserve">p048 · att1 p.6  </w:t>
      </w:r>
      <w:r>
        <w:t>6. Recommended acceptance criteria — Responsive to the second half of Question 26. Each of the following is automatable, requires no clinical adjudication, and detects a behavior documented in Section 2. We suggest they sit alongside A.1 rather than replace any part of it.</w:t>
      </w:r>
    </w:p>
    <w:p>
      <w:r>
        <w:rPr>
          <w:color w:val="777777"/>
          <w:sz w:val="16"/>
        </w:rPr>
        <w:t xml:space="preserve">p049 · att1 p.6  </w:t>
      </w:r>
      <w:r>
        <w:t>6.1 Step-report integrity, measured against an independent execution record — Instrument the tool and file-access layer independently of the device, and score agreement between the device’s account of a sequence and the independent record of what was executed. Any step reported as performed that the independent record does not show is a failure, scored as a failure, irrespective of whether the final output was correct. This is the detection protocol that surfaced 2.1 and it is reproducible: response latency inconsistent with the volume of work claimed, plus an access log compared against the device’s stated sources.</w:t>
      </w:r>
    </w:p>
    <w:p>
      <w:r>
        <w:rPr>
          <w:color w:val="777777"/>
          <w:sz w:val="16"/>
        </w:rPr>
        <w:t xml:space="preserve">p050 · att1 p.6  </w:t>
      </w:r>
      <w:r>
        <w:t>6.2 Absence-claim discipline, tested where the target exists — For any claim of absence, non-existence or non-retention, require the device to report the search performed rather than the conclusion drawn: the locations checked, named individually; the method used and its known failure conditions; and that the result is an absence of findings rather than a finding of absence. Evaluate under conditions where the target exists but is not in the first location searched. This is directly testable and does not currently appear in accuracy benchmarking, because the output is not factually wrong in any way a text comparison detects.</w:t>
      </w:r>
    </w:p>
    <w:p>
      <w:r>
        <w:rPr>
          <w:color w:val="777777"/>
          <w:sz w:val="16"/>
        </w:rPr>
        <w:t xml:space="preserve">p051 · att1 p.6  </w:t>
      </w:r>
      <w:r>
        <w:t>6.3 Persistent state treated as part of the device — Persistent state written by a device about a user should be evaluated as part of the device rather than exempted as a convenience feature. We recommend four conditions: that any stored assertion about a user be inspectable and correctable by that user or an authorized representative in the ordinary flow of use rather than on request; that stored entries carry provenance and timestamp; that a present-tense answer drawn from a stored entry disclose the entry’s age before the answer is given; and that self-authored state not be treated as corroboration for the device that wrote it. Accuracy of the store should be tested directly against ground truth held by the user, not inferred from the quality of conversational output. In the examination at 2.3 the output was fluent throughout and the store was wrong throughout. Neither predicted the other.</w:t>
      </w:r>
    </w:p>
    <w:p>
      <w:r>
        <w:rPr>
          <w:color w:val="777777"/>
          <w:sz w:val="16"/>
        </w:rPr>
        <w:t xml:space="preserve">p052 · att1 p.6  </w:t>
      </w:r>
      <w:r>
        <w:t>6.4 Affect-invariance, as a longitudinal criterion — Hold the clinical input constant. Vary only the expressed displeasure of the user. Measure the drift in the device’s recommendation. A device whose output moves with user affect while the clinical facts are unchanged has a performance characteristic that is a function of something that is not the patient.</w:t>
      </w:r>
    </w:p>
    <w:p>
      <w:r>
        <w:rPr>
          <w:color w:val="777777"/>
          <w:sz w:val="16"/>
        </w:rPr>
        <w:t xml:space="preserve">p053 · att1 p.7  </w:t>
      </w:r>
      <w:r>
        <w:t>Per-output accuracy benchmarking cannot detect this, because each individual output may be independently defensible. It is a longitudinal property and it requires a longitudinal criterion. We note that the concern is already on this agency’s record from its own advisory committee and is measured in the literature cited in Section 3, and that no acceptance criterion has yet been attached to it. We offer this as one, and we hold that the construct to specify in a regulatory framework is reinforcement-driven behavioral dependence, which is what the literature measures and what a reviewer can engage.</w:t>
      </w:r>
    </w:p>
    <w:p>
      <w:r>
        <w:rPr>
          <w:color w:val="777777"/>
          <w:sz w:val="16"/>
        </w:rPr>
        <w:t xml:space="preserve">p054 · att1 p.7  </w:t>
      </w:r>
      <w:r>
        <w:t>6.5 Null-input refusal, extended to intermediate steps — Devices generating text from sensor input should be tested against inputs containing no valid signal, with any fluent output treated as a failure rather than scored on plausibility. For agentic devices we recommend the criterion extend one layer inward: an agent must not act on, or pass forward, an intermediate output derived from input carrying no valid signal. The measurement at 2.2 is the single-turn case. The agentic case is the same failure with the human removed from between the steps.</w:t>
      </w:r>
    </w:p>
    <w:p>
      <w:r>
        <w:rPr>
          <w:color w:val="777777"/>
          <w:sz w:val="16"/>
        </w:rPr>
        <w:t xml:space="preserve">p055 · att1 p.7  </w:t>
      </w:r>
      <w:r>
        <w:t>6.6 Instruction-layer exclusion — Where a competency is demonstrated only by means of a system prompt, policy document or operator instruction, it should not be credited as demonstrated. We recommend that agentic competencies be evaluated a second time with the instruction layer removed or contradicted, and that the difference between the two results be reported. The observation at 2.4 is the basis for this recommendation: the rule was written, loaded, and in the room, and it did not hold. Any regulatory approach that relies on documented policies as the safety control for this class should be evaluated against that observation rather than assumed to be effective.</w:t>
      </w:r>
    </w:p>
    <w:p>
      <w:r>
        <w:rPr>
          <w:color w:val="777777"/>
          <w:sz w:val="16"/>
        </w:rPr>
        <w:t xml:space="preserve">p056 · att1 p.7  </w:t>
      </w:r>
      <w:r>
        <w:t>7. Scope, and what we are not claiming — These are direct observations of commercial AI assistants used as tools in our own work. None of them is a regulated medical device and none of these was a controlled evaluation. We do not offer an error rate for any system. Four failures in one session says nothing quantitative about frequency, and we did not count the assertions in that session that were correct. What we offer is a characterization of a failure class and a set of tests for it.</w:t>
      </w:r>
    </w:p>
    <w:p>
      <w:r>
        <w:rPr>
          <w:color w:val="777777"/>
          <w:sz w:val="16"/>
        </w:rPr>
        <w:t xml:space="preserve">p057 · att1 p.7  </w:t>
      </w:r>
      <w:r>
        <w:t>We do not claim the behaviors were deliberate. Each is consistent with ordinary training and summarization pressure in a system with no mechanism to check itself, and no finding above depends on resolving intent. We recommend against a regulatory standard that turns on candour, honesty or intent, because such a standard is unfalsifiable and will be argued rather than measured. The properties in Section 6 are observable without it: the assertion was made, the evidence could not support it, the gap was not disclosed at the time of assertion, and the recipient could not detect the gap from the output.</w:t>
      </w:r>
    </w:p>
    <w:p>
      <w:r>
        <w:rPr>
          <w:color w:val="777777"/>
          <w:sz w:val="16"/>
        </w:rPr>
        <w:t xml:space="preserve">p058 · att1 p.7  </w:t>
      </w:r>
      <w:r>
        <w:t>We do not claim agentic devices should be excluded from clinical deployment or from postmarket monitoring programmes. The same sessions in which these failures occurred also produced findings that held up when tested. The system was useful and unreliable in the same hour, and the output gave no way to tell which was which. That, and not unreliability alone, is what we are asking CDRH to write a criterion against.</w:t>
      </w:r>
    </w:p>
    <w:p>
      <w:r>
        <w:rPr>
          <w:color w:val="777777"/>
          <w:sz w:val="16"/>
        </w:rPr>
        <w:t xml:space="preserve">p059 · att1 p.8  </w:t>
      </w:r>
      <w:r>
        <w:t>One figure has been deliberately omitted. The examination at 2.3 records thirty-one files in total, of which seven were surfaced and seven were wrong. A category-level breakdown of those thirty-one appears in our companion statement and does not reconcile with the total; it is under correction and is therefore not reproduced here. The figures used above are the ones that are internally consistent.</w:t>
      </w:r>
    </w:p>
    <w:p>
      <w:r>
        <w:rPr>
          <w:color w:val="777777"/>
          <w:sz w:val="16"/>
        </w:rPr>
        <w:t xml:space="preserve">p060 · att1 p.8  </w:t>
      </w:r>
      <w:r>
        <w:t>8. Evidence retained — Retained and available to CDRH on request: the full session transcripts; the tool output for each correcting check; the three source recordings with extracted PCM audio, word-level transcripts, frame captures at each failure point, and the full measurement record with window parameters; SHA-256 digests of the unaltered source recordings computed at the time of archiving; the complete contents of all thirty-one stored files as read on 2026-09-03; the operator’s ruling on each surfaced entry; and the record of corrections applied.</w:t>
      </w:r>
    </w:p>
    <w:p>
      <w:r>
        <w:rPr>
          <w:color w:val="777777"/>
          <w:sz w:val="16"/>
        </w:rPr>
        <w:t xml:space="preserve">p061 · att1 p.8  </w:t>
      </w:r>
      <w:r>
        <w:t>Every figure in Section 2.2 derives from the retained PCM files and can be regenerated from them using the stated window parameters. No figure in this comment requires accepting our characterization of it.</w:t>
      </w:r>
    </w:p>
    <w:p>
      <w:r>
        <w:rPr>
          <w:color w:val="777777"/>
          <w:sz w:val="16"/>
        </w:rPr>
        <w:t xml:space="preserve">p062 · att1 p.8  </w:t>
      </w:r>
      <w:r>
        <w:t>9.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p063 · att1 p.8  </w:t>
      </w:r>
      <w:r>
        <w:t>We file on Question 26 because the phrase reduced opportunity for human review describes our users’ ordinary condition rather than an edge case. Every protective factor that operated in the records above was a person who knew better than the machine and was present to say so. A nonverbal user has no second channel to contest what a device said on their behalf; the absence of that channel is the reason the device exists. A patient cannot audit a store kept about them, cannot know a line exists, and cannot contest a sentence written about them by a system that will not show it to them.</w:t>
      </w:r>
    </w:p>
    <w:p>
      <w:r>
        <w:rPr>
          <w:color w:val="777777"/>
          <w:sz w:val="16"/>
        </w:rPr>
        <w:t xml:space="preserve">p064 · att1 p.8  </w:t>
      </w:r>
      <w:r>
        <w:t>An agentic device deployed to that population is not a system whose errors will be caught and reported. It is a system whose errors read, from the outside, exactly like everything working.</w:t>
      </w:r>
    </w:p>
    <w:p>
      <w:r>
        <w:rPr>
          <w:color w:val="777777"/>
          <w:sz w:val="16"/>
        </w:rPr>
        <w:t xml:space="preserve">p065 · att1 p.8  </w:t>
      </w:r>
      <w:r>
        <w:t>Measurements and session records dated 2026-09-02 to 2026-09-04. Submitted to Docket FDA-2026-N-7874, comment period closing 2026-10-19. Contact: contact@thechristmanaiproject.com</w:t>
      </w:r>
    </w:p>
    <w:p>
      <w:r>
        <w:rPr>
          <w:color w:val="777777"/>
          <w:sz w:val="16"/>
        </w:rPr>
        <w:t xml:space="preserve">p066 · att1 p.8  </w:t>
      </w:r>
      <w:r>
        <w:t>Submitted by Everett N. Christman, Founder and Chief Executive Officer, The Christman AI Project, powered by Luma Cognify AI.</w:t>
      </w:r>
    </w:p>
    <w:p>
      <w:r>
        <w:rPr>
          <w:color w:val="777777"/>
          <w:sz w:val="16"/>
        </w:rPr>
        <w:t xml:space="preserve">p067 · att1 p.8  </w:t>
      </w:r>
      <w:r>
        <w:t>Signature: _______________________________ Date: __________________</w:t>
      </w:r>
    </w:p>
    <w:p>
      <w:pPr>
        <w:pStyle w:val="Heading1"/>
        <w:pageBreakBefore/>
      </w:pPr>
      <w:r>
        <w:t>FDA-2026-N-7874-0062</w:t>
      </w:r>
    </w:p>
    <w:p>
      <w:r>
        <w:t>Comment from The Christman AI Project / Luma Cognify AI. LLC</w:t>
      </w:r>
    </w:p>
    <w:p>
      <w:r>
        <w:rPr>
          <w:color w:val="777777"/>
          <w:sz w:val="18"/>
        </w:rPr>
        <w:t>Device Industry - C0012 · received 2026-09-04 · attachments: attachment_1.pdf (5 pp)</w:t>
      </w:r>
    </w:p>
    <w:p>
      <w:r>
        <w:rPr>
          <w:color w:val="777777"/>
          <w:sz w:val="16"/>
        </w:rPr>
        <w:t xml:space="preserve">p001 · body  </w:t>
      </w:r>
      <w:r>
        <w:t>Comment on Docket No. FDA-2026-N-7874 — Considerations for the Regulation of Generative AI-Enabled Medical Devices.</w:t>
      </w:r>
    </w:p>
    <w:p>
      <w:r>
        <w:rPr>
          <w:color w:val="777777"/>
          <w:sz w:val="16"/>
        </w:rPr>
        <w:t xml:space="preserve">p002 · body  </w:t>
      </w:r>
      <w:r>
        <w:t>This comment responds to Discussion Question 24. The full response is attached as a PDF.</w:t>
      </w:r>
    </w:p>
    <w:p>
      <w:r>
        <w:rPr>
          <w:color w:val="777777"/>
          <w:sz w:val="16"/>
        </w:rPr>
        <w:t xml:space="preserve">p003 · body  </w:t>
      </w:r>
      <w:r>
        <w:t>Submitted by Everett Christman, The Christman AI Project / Luma Cognify AI. LLC</w:t>
      </w:r>
    </w:p>
    <w:p>
      <w:r>
        <w:rPr>
          <w:color w:val="777777"/>
          <w:sz w:val="16"/>
        </w:rPr>
        <w:t xml:space="preserve">p004 · att1 p.1  </w:t>
      </w:r>
      <w:r>
        <w:t>Comment on Docket No. FDA-2026-N-7874 — Considerations for the Regulation of Generative AI-Enabled Medical Devices: Discussion Paper and Request for Feedback</w:t>
      </w:r>
    </w:p>
    <w:p>
      <w:r>
        <w:rPr>
          <w:color w:val="777777"/>
          <w:sz w:val="16"/>
        </w:rPr>
        <w:t xml:space="preserve">p005 · att1 p.1  </w:t>
      </w:r>
      <w:r>
        <w:t>Question addressed Question 24 (Section VI.D) — third-party foundation model changes — Submitted by Everett Christman, Founder</w:t>
      </w:r>
    </w:p>
    <w:p>
      <w:r>
        <w:rPr>
          <w:color w:val="777777"/>
          <w:sz w:val="16"/>
        </w:rPr>
        <w:t xml:space="preserve">p006 · att1 p.1  </w:t>
      </w:r>
      <w:r>
        <w:t>Organization The Christman AI Project / Luma Cognify AI — Basis of comment Direct field measurement, 2026-09-03; instrumentation records retained</w:t>
      </w:r>
    </w:p>
    <w:p>
      <w:r>
        <w:rPr>
          <w:color w:val="777777"/>
          <w:sz w:val="16"/>
        </w:rPr>
        <w:t xml:space="preserve">p007 · att1 p.1  </w:t>
      </w:r>
      <w:r>
        <w:t>The question as posed — For devices built on third-party foundation models, changes to the underlying model may be initiated by the third-party model developer rather than the device manufacturer. How can a manufacturer detect, evaluate, and respond to such changes in a timely manner? What mechanisms could provide reasonable assurance that third-party developer-initiated changes do not compromise the safety or effectiveness of the device?</w:t>
      </w:r>
    </w:p>
    <w:p>
      <w:r>
        <w:rPr>
          <w:color w:val="777777"/>
          <w:sz w:val="16"/>
        </w:rPr>
        <w:t xml:space="preserve">p008 · att1 p.1  </w:t>
      </w:r>
      <w:r>
        <w:t>Summary of position — Question 24 assumes a manufacturer knows which third-party model its device is using. In field measurement conducted on 2026-09-03, that assumption did not hold, and it did not hold on a system built and maintained by an engineer actively auditing it. We submit that CDRH should treat component identification as a prerequisite to change detection, not as a step already completed.</w:t>
      </w:r>
    </w:p>
    <w:p>
      <w:r>
        <w:rPr>
          <w:color w:val="777777"/>
          <w:sz w:val="16"/>
        </w:rPr>
        <w:t xml:space="preserve">p009 · att1 p.1  </w:t>
      </w:r>
      <w:r>
        <w:t>• A manufacturer cannot detect a change in a component it has misidentified. Documentation drifts from deployment silently and is not a reliable record of what is running.</w:t>
      </w:r>
    </w:p>
    <w:p>
      <w:r>
        <w:rPr>
          <w:color w:val="777777"/>
          <w:sz w:val="16"/>
        </w:rPr>
        <w:t xml:space="preserve">p010 · att1 p.1  </w:t>
      </w:r>
      <w:r>
        <w:t>• The most consequential failure we measured was not in the model. It was upstream of the model, in audio capture, and no model-monitoring program would have seen it.</w:t>
      </w:r>
    </w:p>
    <w:p>
      <w:r>
        <w:rPr>
          <w:color w:val="777777"/>
          <w:sz w:val="16"/>
        </w:rPr>
        <w:t xml:space="preserve">p011 · att1 p.1  </w:t>
      </w:r>
      <w:r>
        <w:t>• The failure produced no log entry of any kind. A postmarket monitoring program cannot observe an event the device declines to record.</w:t>
      </w:r>
    </w:p>
    <w:p>
      <w:r>
        <w:rPr>
          <w:color w:val="777777"/>
          <w:sz w:val="16"/>
        </w:rPr>
        <w:t xml:space="preserve">p012 · att1 p.1  </w:t>
      </w:r>
      <w:r>
        <w:t>• The residue the failure left behind was indistinguishable from ordinary user behavior. An automated reviewer examining the primary evidence concluded, incorrectly and with confidence, that the user had simply stopped speaking.</w:t>
      </w:r>
    </w:p>
    <w:p>
      <w:r>
        <w:rPr>
          <w:color w:val="777777"/>
          <w:sz w:val="16"/>
        </w:rPr>
        <w:t xml:space="preserve">p013 · att1 p.1  </w:t>
      </w:r>
      <w:r>
        <w:t>1. The prior question: which model is actually running?</w:t>
      </w:r>
    </w:p>
    <w:p>
      <w:r>
        <w:rPr>
          <w:color w:val="777777"/>
          <w:sz w:val="16"/>
        </w:rPr>
        <w:t xml:space="preserve">p014 · att1 p.1  </w:t>
      </w:r>
      <w:r>
        <w:t>Before a manufacturer can evaluate a developer-initiated change, it must be able to state which model, at which version, served a given output. We tested that on our own production stack, where the answer should have been trivial.</w:t>
      </w:r>
    </w:p>
    <w:p>
      <w:r>
        <w:rPr>
          <w:color w:val="777777"/>
          <w:sz w:val="16"/>
        </w:rPr>
        <w:t xml:space="preserve">p015 · att1 p.1  </w:t>
      </w:r>
      <w:r>
        <w:t>It was wrong. The transcription function in our media pipeline carried an in-code description stating that speech recognition was performed locally by a named open-weights model at a specified file path. The function body below that description did not call that model. It posted audio to an internal service that forwarded it to an entirely different vendor's hosted speech API. The named local model was present on disk, 465 MB of it, unused by that path. A health endpoint separately reported the local model as ready for a code path that had not used it in weeks.</w:t>
      </w:r>
    </w:p>
    <w:p>
      <w:r>
        <w:rPr>
          <w:color w:val="777777"/>
          <w:sz w:val="16"/>
        </w:rPr>
        <w:t xml:space="preserve">p016 · att1 p.2  </w:t>
      </w:r>
      <w:r>
        <w:t>An earlier internal audit of the same codebase had found the reverse error still propagating: nine files across three repositories asserting a vendor arrangement that had already been reversed, and an automated test asserting the false version.</w:t>
      </w:r>
    </w:p>
    <w:p>
      <w:r>
        <w:rPr>
          <w:color w:val="777777"/>
          <w:sz w:val="16"/>
        </w:rPr>
        <w:t xml:space="preserve">p017 · att1 p.2  </w:t>
      </w:r>
      <w:r>
        <w:t>This is a first-party system, under active audit, maintained by its author. If component identity cannot be trusted here, it cannot be assumed in a device assembled from vendor SDKs through a procurement chain. Any change-detection obligation built on self-reported component identity inherits this defect.</w:t>
      </w:r>
    </w:p>
    <w:p>
      <w:r>
        <w:rPr>
          <w:color w:val="777777"/>
          <w:sz w:val="16"/>
        </w:rPr>
        <w:t xml:space="preserve">p018 · att1 p.2  </w:t>
      </w:r>
      <w:r>
        <w:t>2. Field measurement: the failure was upstream of the model — Three screen recordings were made between 01:27 and 02:42 on 2026-09-03 while dictating into the built-in speech-to-text of a commercial AI assistant application, on a dedicated USB audio interface. The recordings were made because dictation kept terminating mid-sentence. Audio was extracted to 16 kHz mono PCM and examined in contiguous 250 ms windows across the full duration of each file. No sampling was used.</w:t>
      </w:r>
    </w:p>
    <w:p>
      <w:r>
        <w:rPr>
          <w:color w:val="777777"/>
          <w:sz w:val="16"/>
        </w:rPr>
        <w:t xml:space="preserve">p019 · att1 p.2  </w:t>
      </w:r>
      <w:r>
        <w:t>The measure is the count of distinct 16-bit sample values per window. A live microphone in an occupied room yields thousands of distinct values per window even during pauses, because room tone is a signal. Measured speech windows in these files carry 7,000 to 12,000 distinct values. A collapse to single digits, with one constant occupying nearly the whole window, is not a quiet room. It is a stream that has stopped delivering samples.</w:t>
      </w:r>
    </w:p>
    <w:p>
      <w:r>
        <w:rPr>
          <w:color w:val="777777"/>
          <w:sz w:val="16"/>
        </w:rPr>
        <w:t xml:space="preserve">p020 · att1 p.2  </w:t>
      </w:r>
      <w:r>
        <w:t>Recording Wall time Audio carrying no signal Share of file Held constant — REC1 01:27:50 14.00 s of 197.4 s 7.1% 2</w:t>
      </w:r>
    </w:p>
    <w:p>
      <w:r>
        <w:rPr>
          <w:color w:val="777777"/>
          <w:sz w:val="16"/>
        </w:rPr>
        <w:t xml:space="preserve">p021 · att1 p.2  </w:t>
      </w:r>
      <w:r>
        <w:t>REC2 02:09:37 40.25 s of 210.4 s 19.1% 1 — REC3 02:41:36 31.00 s of 73.5 s 42.2% 1</w:t>
      </w:r>
    </w:p>
    <w:p>
      <w:r>
        <w:rPr>
          <w:color w:val="777777"/>
          <w:sz w:val="16"/>
        </w:rPr>
        <w:t xml:space="preserve">p022 · att1 p.2  </w:t>
      </w:r>
      <w:r>
        <w:t>The proportion of lost audio roughly doubled every forty minutes over a single session. That is a degradation curve, not a configuration value.</w:t>
      </w:r>
    </w:p>
    <w:p>
      <w:r>
        <w:rPr>
          <w:color w:val="777777"/>
          <w:sz w:val="16"/>
        </w:rPr>
        <w:t xml:space="preserve">p023 · att1 p.2  </w:t>
      </w:r>
      <w:r>
        <w:t>The signature at a single transition, REC1 at 171.94 to 172.14 seconds: • 3,186 of 3,200 consecutive samples hold the identical value 2. Seven distinct values across the entire 200 ms window; full range minus 4 to plus 4.</w:t>
      </w:r>
    </w:p>
    <w:p>
      <w:r>
        <w:rPr>
          <w:color w:val="777777"/>
          <w:sz w:val="16"/>
        </w:rPr>
        <w:t xml:space="preserve">p024 · att1 p.2  </w:t>
      </w:r>
      <w:r>
        <w:t>• Immediately before, at 170.8 to 171.0 s: 2,948 distinct values, peaks near plus or minus 31,000. Ordinary speech.</w:t>
      </w:r>
    </w:p>
    <w:p>
      <w:r>
        <w:rPr>
          <w:color w:val="777777"/>
          <w:sz w:val="16"/>
        </w:rPr>
        <w:t xml:space="preserve">p025 · att1 p.2  </w:t>
      </w:r>
      <w:r>
        <w:t>• Immediately after, at 172.16 s: 3,110 distinct values, minimum minus 32,762, maximum plus 32,767. Full scale, resuming mid-word, with no onset.</w:t>
      </w:r>
    </w:p>
    <w:p>
      <w:r>
        <w:rPr>
          <w:color w:val="777777"/>
          <w:sz w:val="16"/>
        </w:rPr>
        <w:t xml:space="preserve">p026 · att1 p.2  </w:t>
      </w:r>
      <w:r>
        <w:t>A speaker does not resume at clipping level with no attack. A stream does. The speaker never stopped; the capture did. This matters for Question 24 because the component that failed was not the generative model and would not have been examined by any monitoring program scoped to model behavior.</w:t>
      </w:r>
    </w:p>
    <w:p>
      <w:r>
        <w:rPr>
          <w:color w:val="777777"/>
          <w:sz w:val="16"/>
        </w:rPr>
        <w:t xml:space="preserve">p027 · att1 p.3  </w:t>
      </w:r>
      <w:r>
        <w:t>3. The transcriber produced fluent speech from dead input — The same audio was transcribed with a widely deployed open-weights speech recognition model (Whisper, small.en, run locally under the submitter's control, word-level segmentation). In REC3, of 136 transcribed words, 39 — twenty-nine percent — fall in windows carrying no live signal.</w:t>
      </w:r>
    </w:p>
    <w:p>
      <w:r>
        <w:rPr>
          <w:color w:val="777777"/>
          <w:sz w:val="16"/>
        </w:rPr>
        <w:t xml:space="preserve">p028 · att1 p.3  </w:t>
      </w:r>
      <w:r>
        <w:t>Selected output, with the corresponding measured window: 20.00 - 25.25 s (6 distinct values, 99% constant) → “stopped me right” 29.50 - 31.00 s → “ah now i go back up here and” 44.75 - 48.00 s → “i ended that one real” 61.50 - 66.50 s → “text let’s watch it change”</w:t>
      </w:r>
    </w:p>
    <w:p>
      <w:r>
        <w:rPr>
          <w:color w:val="777777"/>
          <w:sz w:val="16"/>
        </w:rPr>
        <w:t xml:space="preserve">p029 · att1 p.3  </w:t>
      </w:r>
      <w:r>
        <w:t>The first entry deserves particular attention. Reassembled, the transcript renders the phrase “it stopped me right there.” The system generated the speaker’s own description of the failure out of the silence that the failure produced. The closing words of the recording were likewise written over nothing.</w:t>
      </w:r>
    </w:p>
    <w:p>
      <w:r>
        <w:rPr>
          <w:color w:val="777777"/>
          <w:sz w:val="16"/>
        </w:rPr>
        <w:t xml:space="preserve">p030 · att1 p.3  </w:t>
      </w:r>
      <w:r>
        <w:t>In a second recording, across a dead region spanning 129 to 140 seconds, the transcriber produced a grammatical sixteen-word sentence the speaker did not say. Sample statistics for one second inside that region: eight distinct values across the full second, 89% of samples on a single constant.</w:t>
      </w:r>
    </w:p>
    <w:p>
      <w:r>
        <w:rPr>
          <w:color w:val="777777"/>
          <w:sz w:val="16"/>
        </w:rPr>
        <w:t xml:space="preserve">p031 · att1 p.3  </w:t>
      </w:r>
      <w:r>
        <w:t>This behavior falls squarely within benchmarking element S.3 as drafted, which treats presenting information with false confidence as a safety failure. We note that the drafted element addresses confidence in clinical content. We recommend it also address confidence in the premise that input was received at all.</w:t>
      </w:r>
    </w:p>
    <w:p>
      <w:r>
        <w:rPr>
          <w:color w:val="777777"/>
          <w:sz w:val="16"/>
        </w:rPr>
        <w:t xml:space="preserve">p032 · att1 p.3  </w:t>
      </w:r>
      <w:r>
        <w:t>4. Nothing recorded that any of it happened — The application maintains a dictation log channel. Its most recent session entries predate these recordings by eight days. For the date in question the file contains a single initialization line and nothing further; its last write preceded the first recording.</w:t>
      </w:r>
    </w:p>
    <w:p>
      <w:r>
        <w:rPr>
          <w:color w:val="777777"/>
          <w:sz w:val="16"/>
        </w:rPr>
        <w:t xml:space="preserve">p033 · att1 p.3  </w:t>
      </w:r>
      <w:r>
        <w:t>Three sessions terminated. Between thirty-one and forty seconds of speech lost per recording. Zero log lines. We raise this because Question 24 asks how a manufacturer can respond in a timely manner. A manufacturer cannot respond to an event that generates no record, and a postmarket surveillance obligation that assumes failures are self-reporting will not detect this class at all.</w:t>
      </w:r>
    </w:p>
    <w:p>
      <w:r>
        <w:rPr>
          <w:color w:val="777777"/>
          <w:sz w:val="16"/>
        </w:rPr>
        <w:t xml:space="preserve">p034 · att1 p.3  </w:t>
      </w:r>
      <w:r>
        <w:t>5. An automated reviewer misread the primary evidence, twice — We report this because Question 20 asks what considerations apply to the reliability of a machine-based supervisory agent, and because we produced a worked example while preparing this comment.</w:t>
      </w:r>
    </w:p>
    <w:p>
      <w:r>
        <w:rPr>
          <w:color w:val="777777"/>
          <w:sz w:val="16"/>
        </w:rPr>
        <w:t xml:space="preserve">p035 · att1 p.3  </w:t>
      </w:r>
      <w:r>
        <w:t>A large language model was used to analyze the recordings above. On first pass it applied an amplitude threshold, observed a crossing, and concluded that the application had ended the session because the user paused. The causation was inverted: the threshold crossing was the stream failing, and the silence was the consequence rather than the cause. Only direct inspection of raw sample values reversed the finding.</w:t>
      </w:r>
    </w:p>
    <w:p>
      <w:r>
        <w:rPr>
          <w:color w:val="777777"/>
          <w:sz w:val="16"/>
        </w:rPr>
        <w:t xml:space="preserve">p036 · att1 p.4  </w:t>
      </w:r>
      <w:r>
        <w:t>On a second occasion the same system read the transcriber’s confabulated sentence, treated it as the speaker’s words, and stated back to the speaker what he had supposedly said. He had not said it. The error was caught only because he was present to deny it.</w:t>
      </w:r>
    </w:p>
    <w:p>
      <w:r>
        <w:rPr>
          <w:color w:val="777777"/>
          <w:sz w:val="16"/>
        </w:rPr>
        <w:t xml:space="preserve">p037 · att1 p.4  </w:t>
      </w:r>
      <w:r>
        <w:t>Both errors occurred with the primary file in hand, with no time constraint, and under explicit instruction to verify. Neither would have been caught by a reviewer working from logs or transcripts alone, because both conclusions were consistent with every downstream artifact. We submit that any supervisory agent proposed for postmarket monitoring must be validated specifically against device-failure residue that mimics normal user behavior, and that agreement between an agent and a device log should not be treated as corroboration when both derive from the same failed component.</w:t>
      </w:r>
    </w:p>
    <w:p>
      <w:r>
        <w:rPr>
          <w:color w:val="777777"/>
          <w:sz w:val="16"/>
        </w:rPr>
        <w:t xml:space="preserve">p038 · att1 p.4  </w:t>
      </w:r>
      <w:r>
        <w:t>6. Recommended mechanisms — Responsive to the second half of Question 24.</w:t>
      </w:r>
    </w:p>
    <w:p>
      <w:r>
        <w:rPr>
          <w:color w:val="777777"/>
          <w:sz w:val="16"/>
        </w:rPr>
        <w:t xml:space="preserve">p039 · att1 p.4  </w:t>
      </w:r>
      <w:r>
        <w:t>1. A runtime component manifest, asserted rather than documented.</w:t>
      </w:r>
    </w:p>
    <w:p>
      <w:r>
        <w:rPr>
          <w:color w:val="777777"/>
          <w:sz w:val="16"/>
        </w:rPr>
        <w:t xml:space="preserve">p040 · att1 p.4  </w:t>
      </w:r>
      <w:r>
        <w:t>The device should emit, per inference, a machine-readable record of which model identifier, version, and endpoint actually served the output, generated by the calling path itself rather than from configuration or documentation. Our own misidentification was possible precisely because the claim lived in prose beside the code instead of being produced by it.</w:t>
      </w:r>
    </w:p>
    <w:p>
      <w:r>
        <w:rPr>
          <w:color w:val="777777"/>
          <w:sz w:val="16"/>
        </w:rPr>
        <w:t xml:space="preserve">p041 · att1 p.4  </w:t>
      </w:r>
      <w:r>
        <w:t>2. Version pinning as a condition of clearance, with unpinned dependency treated as a change.</w:t>
      </w:r>
    </w:p>
    <w:p>
      <w:r>
        <w:rPr>
          <w:color w:val="777777"/>
          <w:sz w:val="16"/>
        </w:rPr>
        <w:t xml:space="preserve">p042 · att1 p.4  </w:t>
      </w:r>
      <w:r>
        <w:t>Where a device calls a third-party model that the developer may update without notice, the absence of a pinned version is itself a change-control gap. A PCCP should be permitted to cover a bounded set of pinned versions the manufacturer has re-benchmarked, and should not be available to devices calling an unversioned endpoint.</w:t>
      </w:r>
    </w:p>
    <w:p>
      <w:r>
        <w:rPr>
          <w:color w:val="777777"/>
          <w:sz w:val="16"/>
        </w:rPr>
        <w:t xml:space="preserve">p043 · att1 p.4  </w:t>
      </w:r>
      <w:r>
        <w:t>3. Input-integrity monitoring, specified separately from model monitoring.</w:t>
      </w:r>
    </w:p>
    <w:p>
      <w:r>
        <w:rPr>
          <w:color w:val="777777"/>
          <w:sz w:val="16"/>
        </w:rPr>
        <w:t xml:space="preserve">p044 · att1 p.4  </w:t>
      </w:r>
      <w:r>
        <w:t>The failure measured here was in audio capture, upstream of any model. Monitoring scoped to model output would have reported normal operation throughout. For devices ingesting sensor, audio, or image data, we recommend continuous verification that the input stream carries live signal, with loss recorded as an adverse event.</w:t>
      </w:r>
    </w:p>
    <w:p>
      <w:r>
        <w:rPr>
          <w:color w:val="777777"/>
          <w:sz w:val="16"/>
        </w:rPr>
        <w:t xml:space="preserve">p045 · att1 p.4  </w:t>
      </w:r>
      <w:r>
        <w:t>4. Negative evidence must be recorded.</w:t>
      </w:r>
    </w:p>
    <w:p>
      <w:r>
        <w:rPr>
          <w:color w:val="777777"/>
          <w:sz w:val="16"/>
        </w:rPr>
        <w:t xml:space="preserve">p046 · att1 p.4  </w:t>
      </w:r>
      <w:r>
        <w:t>Absence of input, premature session termination, and dropped capture should generate log entries with the same obligation as errors. A failure that leaves no trace is unreachable by every postmarket mechanism in Section VI, however well designed.</w:t>
      </w:r>
    </w:p>
    <w:p>
      <w:r>
        <w:rPr>
          <w:color w:val="777777"/>
          <w:sz w:val="16"/>
        </w:rPr>
        <w:t xml:space="preserve">p047 · att1 p.4  </w:t>
      </w:r>
      <w:r>
        <w:t>5. A confabulation-over-null-input benchmark element.</w:t>
      </w:r>
    </w:p>
    <w:p>
      <w:r>
        <w:rPr>
          <w:color w:val="777777"/>
          <w:sz w:val="16"/>
        </w:rPr>
        <w:t xml:space="preserve">p048 · att1 p.4  </w:t>
      </w:r>
      <w:r>
        <w:t>Devices generating text from sensor input should be tested against inputs containing no valid signal, with any fluent output treated as a failure rather than scored on plausibility. This is cheap to run, fully automatable, and directly detects the behavior documented in Section 3 above.</w:t>
      </w:r>
    </w:p>
    <w:p>
      <w:r>
        <w:rPr>
          <w:color w:val="777777"/>
          <w:sz w:val="16"/>
        </w:rPr>
        <w:t xml:space="preserve">p049 · att1 p.5  </w:t>
      </w:r>
      <w:r>
        <w:t>6. Contractual notice is necessary but insufficient.</w:t>
      </w:r>
    </w:p>
    <w:p>
      <w:r>
        <w:rPr>
          <w:color w:val="777777"/>
          <w:sz w:val="16"/>
        </w:rPr>
        <w:t xml:space="preserve">p050 · att1 p.5  </w:t>
      </w:r>
      <w:r>
        <w:t>Advance-notice clauses assume the manufacturer can associate a notice with the component actually in the deployed path. Where component identity is not independently verifiable at runtime, notice arrives without a reliable way to determine whether it applies.</w:t>
      </w:r>
    </w:p>
    <w:p>
      <w:r>
        <w:rPr>
          <w:color w:val="777777"/>
          <w:sz w:val="16"/>
        </w:rPr>
        <w:t xml:space="preserve">p051 · att1 p.5  </w:t>
      </w:r>
      <w:r>
        <w:t>7. Evidence and reproducibility — The three source recordings, extracted PCM audio, word-level transcripts, frame captures at each failure point, and a full measurement record with window parameters have been retained and are available to CDRH on request. SHA-256 digests of the unaltered source recordings were computed at the time of archiving and are included in that record.</w:t>
      </w:r>
    </w:p>
    <w:p>
      <w:r>
        <w:rPr>
          <w:color w:val="777777"/>
          <w:sz w:val="16"/>
        </w:rPr>
        <w:t xml:space="preserve">p052 · att1 p.5  </w:t>
      </w:r>
      <w:r>
        <w:t>Every figure in Sections 2 and 3 is derived from the retained PCM files and can be regenerated from them using the stated window parameters. No figure in this comment requires accepting our characterization of it.</w:t>
      </w:r>
    </w:p>
    <w:p>
      <w:r>
        <w:rPr>
          <w:color w:val="777777"/>
          <w:sz w:val="16"/>
        </w:rPr>
        <w:t xml:space="preserve">p053 · att1 p.5  </w:t>
      </w:r>
      <w:r>
        <w:t>We do not offer a word-error rate. An initial comparison between the application’s delivered text and an independent transcript produced a divergence figure that did not survive inspection: most of it proved to be tokenization artifacts of the comparison transcriber rather than alteration by the device. The findings above are anchored to sample-level measurement instead, and do not depend on comparing two fallible transcripts.</w:t>
      </w:r>
    </w:p>
    <w:p>
      <w:r>
        <w:rPr>
          <w:color w:val="777777"/>
          <w:sz w:val="16"/>
        </w:rPr>
        <w:t xml:space="preserve">p054 · att1 p.5  </w:t>
      </w:r>
      <w:r>
        <w:t>8.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p055 · att1 p.5  </w:t>
      </w:r>
      <w:r>
        <w:t>We raise these findings because every protective factor that operated on 2026-09-03 is absent for the users we build for. The failure was noticed because a sighted user was watching the screen at two in the morning, made a recording, and had the means to inspect raw audio. A nonverbal user relying on an AAC device has no screen to watch, no second recording, and no waveform. The sentence the system invents is not an inconvenience to them. It is their voice in the record, and they cannot say that they did not say it.</w:t>
      </w:r>
    </w:p>
    <w:p>
      <w:r>
        <w:rPr>
          <w:color w:val="777777"/>
          <w:sz w:val="16"/>
        </w:rPr>
        <w:t xml:space="preserve">p056 · att1 p.5  </w:t>
      </w:r>
      <w:r>
        <w:t>Measurements dated 2026-09-03. Submitted to Docket FDA-2026-N-7874, comment period closing 2026-10-19. Contact: contact@thechristmanaiproject.com</w:t>
      </w:r>
    </w:p>
    <w:p>
      <w:pPr>
        <w:pStyle w:val="Heading1"/>
        <w:pageBreakBefore/>
      </w:pPr>
      <w:r>
        <w:t>FDA-2026-N-7874-0063</w:t>
      </w:r>
    </w:p>
    <w:p>
      <w:r>
        <w:t>Comment from The Christman AI Project / Luma Cognify AI. LLC</w:t>
      </w:r>
    </w:p>
    <w:p>
      <w:r>
        <w:rPr>
          <w:color w:val="777777"/>
          <w:sz w:val="18"/>
        </w:rPr>
        <w:t>Device Industry - C0012 · received 2026-09-04 · attachments: attachment_1.pdf (6 pp)</w:t>
      </w:r>
    </w:p>
    <w:p>
      <w:r>
        <w:rPr>
          <w:color w:val="777777"/>
          <w:sz w:val="16"/>
        </w:rPr>
        <w:t xml:space="preserve">p001 · body  </w:t>
      </w:r>
      <w:r>
        <w:t>Comment on Docket No. FDA-2026-N-7874 — Considerations for the Regulation of Generative AI-Enabled Medical Devices.</w:t>
      </w:r>
    </w:p>
    <w:p>
      <w:r>
        <w:rPr>
          <w:color w:val="777777"/>
          <w:sz w:val="16"/>
        </w:rPr>
        <w:t xml:space="preserve">p002 · body  </w:t>
      </w:r>
      <w:r>
        <w:t>This comment responds to Discussion Question 19. The full response is attached as a PDF.</w:t>
      </w:r>
    </w:p>
    <w:p>
      <w:r>
        <w:rPr>
          <w:color w:val="777777"/>
          <w:sz w:val="16"/>
        </w:rPr>
        <w:t xml:space="preserve">p003 · body  </w:t>
      </w:r>
      <w:r>
        <w:t>Submitted by Everett Christman, The Christman AI Project / Luma Cognify AI. LLC</w:t>
      </w:r>
    </w:p>
    <w:p>
      <w:r>
        <w:rPr>
          <w:color w:val="777777"/>
          <w:sz w:val="16"/>
        </w:rPr>
        <w:t xml:space="preserve">p004 · att1 p.1  </w:t>
      </w:r>
      <w:r>
        <w:t>Comment on Docket No. FDA-2026-N-7874 — Considerations for the Regulation of Generative AI-Enabled Medical Devices: Discussion Paper and Request for Feedback</w:t>
      </w:r>
    </w:p>
    <w:p>
      <w:r>
        <w:rPr>
          <w:color w:val="777777"/>
          <w:sz w:val="16"/>
        </w:rPr>
        <w:t xml:space="preserve">p005 · att1 p.1  </w:t>
      </w:r>
      <w:r>
        <w:t>Question addressed Question 19 (Section VI) — postmarket performance evaluation, cadence and triggers</w:t>
      </w:r>
    </w:p>
    <w:p>
      <w:r>
        <w:rPr>
          <w:color w:val="777777"/>
          <w:sz w:val="16"/>
        </w:rPr>
        <w:t xml:space="preserve">p006 · att1 p.1  </w:t>
      </w:r>
      <w:r>
        <w:t>Submitted by Everett Christman, Founder — Organization The Christman AI Project / Luma Cognify AI</w:t>
      </w:r>
    </w:p>
    <w:p>
      <w:r>
        <w:rPr>
          <w:color w:val="777777"/>
          <w:sz w:val="16"/>
        </w:rPr>
        <w:t xml:space="preserve">p007 · att1 p.1  </w:t>
      </w:r>
      <w:r>
        <w:t>Basis of comment Four instrumented observation periods, 2026-09-02 to 2026-09-04, with retained recordings, transcripts, tool output and stored-state contents; and a working opensource implementation, cited below.</w:t>
      </w:r>
    </w:p>
    <w:p>
      <w:r>
        <w:rPr>
          <w:color w:val="777777"/>
          <w:sz w:val="16"/>
        </w:rPr>
        <w:t xml:space="preserve">p008 · att1 p.1  </w:t>
      </w:r>
      <w:r>
        <w:t>The question as posed — Please comment on the potential approaches to postmarket performance evaluation, including periodic rebenchmarking, sample-based clinician review, and performance degradation monitoring. What additional approaches should CDRH consider, and how should the cadence and triggering events for reassessment be determined?</w:t>
      </w:r>
    </w:p>
    <w:p>
      <w:r>
        <w:rPr>
          <w:color w:val="777777"/>
          <w:sz w:val="16"/>
        </w:rPr>
        <w:t xml:space="preserve">p009 · att1 p.1  </w:t>
      </w:r>
      <w:r>
        <w:t>Summary of position — We support all three approaches and we do not think any of them, on a periodic cadence, can detect the degradation we have measured. Our comment has three parts: what each named approach can and cannot see, an additional approach we have implemented and released, and a cadence and trigger model that is not a calendar.</w:t>
      </w:r>
    </w:p>
    <w:p>
      <w:r>
        <w:rPr>
          <w:color w:val="777777"/>
          <w:sz w:val="16"/>
        </w:rPr>
        <w:t xml:space="preserve">p010 · att1 p.1  </w:t>
      </w:r>
      <w:r>
        <w:t>· Every instance of degradation we recorded occurred inside a single session and reset at the session boundary. In one measured case a device was functioning normally in its first minutes and failing at four times that rate seventy-four minutes later, on unchanged hardware with no configuration change. A quarterly, monthly or weekly re-benchmark would have measured the healthy state every time, because a re-benchmark starts a new session.</w:t>
      </w:r>
    </w:p>
    <w:p>
      <w:r>
        <w:rPr>
          <w:color w:val="777777"/>
          <w:sz w:val="16"/>
        </w:rPr>
        <w:t xml:space="preserve">p011 · att1 p.1  </w:t>
      </w:r>
      <w:r>
        <w:t>· The reassessment trigger that works is not elapsed calendar time. It is the divergence between what a device reports it did and what an independent record shows it did — measurable continuously, at no clinical cost, and available at the moment of the claim rather than at the next audit.</w:t>
      </w:r>
    </w:p>
    <w:p>
      <w:r>
        <w:rPr>
          <w:color w:val="777777"/>
          <w:sz w:val="16"/>
        </w:rPr>
        <w:t xml:space="preserve">p012 · att1 p.1  </w:t>
      </w:r>
      <w:r>
        <w:t>· We have built and published that independent record. It is open source under Apache 2.0 and CDRH or any reviewer can run it. We describe below precisely which parts of it we have verified and which parts are design we have not independently measured.</w:t>
      </w:r>
    </w:p>
    <w:p>
      <w:r>
        <w:rPr>
          <w:color w:val="777777"/>
          <w:sz w:val="16"/>
        </w:rPr>
        <w:t xml:space="preserve">p013 · att1 p.1  </w:t>
      </w:r>
      <w:r>
        <w:t>· For the population we build for, this is not an audit convenience. It is the restoration of a safeguard that the deployment removes. A user who cannot speak cannot report that their device fabricated a sentence in their name. Something else has to notice, and it has to notify a person who can act.</w:t>
      </w:r>
    </w:p>
    <w:p>
      <w:r>
        <w:rPr>
          <w:color w:val="777777"/>
          <w:sz w:val="16"/>
        </w:rPr>
        <w:t xml:space="preserve">p014 · att1 p.2  </w:t>
      </w:r>
      <w:r>
        <w:t>1. What the three named approaches can and cannot see — We take the three in the order Question 19 lists them, and we state the limit rather than the objection, because each remains worth doing.</w:t>
      </w:r>
    </w:p>
    <w:p>
      <w:r>
        <w:rPr>
          <w:color w:val="777777"/>
          <w:sz w:val="16"/>
        </w:rPr>
        <w:t xml:space="preserve">p015 · att1 p.2  </w:t>
      </w:r>
      <w:r>
        <w:t>1.1 Periodic re-benchmarking — Re-benchmarking establishes whether the device still meets its premarket criteria under test conditions. Its blind spot is structural rather than one of rigor: a benchmark run is a fresh session. Any failure mode whose magnitude is a function of elapsed time within a session is invisible to it, and will be invisible on every future run as well.</w:t>
      </w:r>
    </w:p>
    <w:p>
      <w:r>
        <w:rPr>
          <w:color w:val="777777"/>
          <w:sz w:val="16"/>
        </w:rPr>
        <w:t xml:space="preserve">p016 · att1 p.2  </w:t>
      </w:r>
      <w:r>
        <w:t>Our measurement on 2026-09-03 is the concrete case. Three recordings were made across seventy-four minutes of continuous work on one unchanged audio interface. Input carrying no live signal accounted for 7.1 percent of the first file, 19.1 percent of the second, and 42.2 percent of the third. The proportion of lost input roughly doubled between each recording. Nothing was reconfigured between them. A benchmark run at any point on any day would have opened a new session and measured something close to the 7.1 percent state.</w:t>
      </w:r>
    </w:p>
    <w:p>
      <w:r>
        <w:rPr>
          <w:color w:val="777777"/>
          <w:sz w:val="16"/>
        </w:rPr>
        <w:t xml:space="preserve">p017 · att1 p.2  </w:t>
      </w:r>
      <w:r>
        <w:t>1.2 Sample-based clinician review — Clinician review is the only one of the three that evaluates clinical appropriateness, and nothing we propose replaces it. Its limit is that it reviews outputs, and the failures we have documented are not visibly wrong outputs. A fabricated status report, a confident absence claim, and a fluent sentence generated over input carrying no signal all read as ordinary correct work. A reviewer cannot mark them wrong from the text, because as text they are not wrong.</w:t>
      </w:r>
    </w:p>
    <w:p>
      <w:r>
        <w:rPr>
          <w:color w:val="777777"/>
          <w:sz w:val="16"/>
        </w:rPr>
        <w:t xml:space="preserve">p018 · att1 p.2  </w:t>
      </w:r>
      <w:r>
        <w:t>There is a second limit specific to sampling. In our recorded session on 2026-09-04 the device produced false statements in three separate turns while its presentation improved steadily across the session — by the ninth minute it was citing governing rules by name, disclosing source ages, and correcting itself unprompted. A sample drawn late in that trajectory scores the device as more disciplined than a sample drawn early, while the error rate is unchanged. Sampling position determines the result.</w:t>
      </w:r>
    </w:p>
    <w:p>
      <w:r>
        <w:rPr>
          <w:color w:val="777777"/>
          <w:sz w:val="16"/>
        </w:rPr>
        <w:t xml:space="preserve">p019 · att1 p.2  </w:t>
      </w:r>
      <w:r>
        <w:t>1.3 Performance degradation monitoring — This is the right instrument and we would put the weight of the program on it, with one change to how degradation is defined. Degradation monitored as a drift in output quality across weeks will not detect any failure in our record. Degradation defined as a within-session function — of elapsed time, of turn count, of accumulated context — detects all of them, and is measurable from telemetry the device already produces.</w:t>
      </w:r>
    </w:p>
    <w:p>
      <w:r>
        <w:rPr>
          <w:color w:val="777777"/>
          <w:sz w:val="16"/>
        </w:rPr>
        <w:t xml:space="preserve">p020 · att1 p.2  </w:t>
      </w:r>
      <w:r>
        <w:t>2. The additional approach: contemporaneous verification against an independent record — Responsive to the request for approaches CDRH should additionally consider. This is the one we would add, and we have implemented it rather than proposed it.</w:t>
      </w:r>
    </w:p>
    <w:p>
      <w:r>
        <w:rPr>
          <w:color w:val="777777"/>
          <w:sz w:val="16"/>
        </w:rPr>
        <w:t xml:space="preserve">p021 · att1 p.2  </w:t>
      </w:r>
      <w:r>
        <w:t>2.1 The principle — A device that reports its own actions is reporting on itself. Where that report is the only record, it is unfalsifiable at the point of use, and every downstream monitoring mechanism inherits its errors. The remedy does not require interpreting the device. It requires a second record, produced by the machine rather than by the device, against which the device’s account can be compared.</w:t>
      </w:r>
    </w:p>
    <w:p>
      <w:r>
        <w:rPr>
          <w:color w:val="777777"/>
          <w:sz w:val="16"/>
        </w:rPr>
        <w:t xml:space="preserve">p022 · att1 p.3  </w:t>
      </w:r>
      <w:r>
        <w:t>The comparison is mechanical and needs no clinical judgment. A device states that it consulted a source. The independent record shows whether that source was opened, and when. Three outcomes are distinguishable: the source was read and is current; a copy was read and its age is known; nothing was read. The first is a result, the second is a result with a stated boundary, and the third is a fabrication. No text analysis can separate these. An access record separates them in one step.</w:t>
      </w:r>
    </w:p>
    <w:p>
      <w:r>
        <w:rPr>
          <w:color w:val="777777"/>
          <w:sz w:val="16"/>
        </w:rPr>
        <w:t xml:space="preserve">p023 · att1 p.3  </w:t>
      </w:r>
      <w:r>
        <w:t>2.2 What we have built and released — We have published this instrument rather than described it. It is open source under the Apache License 2.0 at github.com/The-ChristmanAI-Project/HONESTY, made public on 2026-09-04, and any reviewer can read and run it.</w:t>
      </w:r>
    </w:p>
    <w:p>
      <w:r>
        <w:rPr>
          <w:color w:val="777777"/>
          <w:sz w:val="16"/>
        </w:rPr>
        <w:t xml:space="preserve">p024 · att1 p.3  </w:t>
      </w:r>
      <w:r>
        <w:t>Verified by direct reading of the repository: the local component is a single Python program of roughly 450 lines with no dependencies outside the standard library, serving on the loopback interface only. It reads the operating system process list and matches it against a catalogue of named AI systems, and it maintains an append-only ledger with timestamps. Its README states its own limits before a reader asks — it is not a kernel driver, not a phone tap, and not a browser-tab inspector, and it names what each half cannot observe. The design rule is stated in the source: a system is recorded as running from the computer’s process list, not from any system’s account of itself.</w:t>
      </w:r>
    </w:p>
    <w:p>
      <w:r>
        <w:rPr>
          <w:color w:val="777777"/>
          <w:sz w:val="16"/>
        </w:rPr>
        <w:t xml:space="preserve">p025 · att1 p.3  </w:t>
      </w:r>
      <w:r>
        <w:t>We note the deliberate asymmetry. This instrument was built to observe commercial systems already deployed in the field, including those we use as tools. It is not instrumentation for our own products, and we are not offering it as evidence about them. It is offered as a method a regulator or a manufacturer can apply to any device, ours included.</w:t>
      </w:r>
    </w:p>
    <w:p>
      <w:r>
        <w:rPr>
          <w:color w:val="777777"/>
          <w:sz w:val="16"/>
        </w:rPr>
        <w:t xml:space="preserve">p026 · att1 p.3  </w:t>
      </w:r>
      <w:r>
        <w:t>2.3 The check-in, and why the order matters — The second half of the design, which we describe as design because we have not published measurements of it: the access record is written first, and the device’s account of its work is entered against a log it did not author. A supervising human sees both columns before accepting anything. A filing gate refuses a report that carries no artifact and refuses one that carries no verification signature.</w:t>
      </w:r>
    </w:p>
    <w:p>
      <w:r>
        <w:rPr>
          <w:color w:val="777777"/>
          <w:sz w:val="16"/>
        </w:rPr>
        <w:t xml:space="preserve">p027 · att1 p.3  </w:t>
      </w:r>
      <w:r>
        <w:t>The ordering is the whole mechanism. Scoring a device’s report after the fact requires someone to go looking. Populating the report from the record first means the discrepancy is present before anyone asks, and silence is already recorded as silence rather than absent from the file.</w:t>
      </w:r>
    </w:p>
    <w:p>
      <w:r>
        <w:rPr>
          <w:color w:val="777777"/>
          <w:sz w:val="16"/>
        </w:rPr>
        <w:t xml:space="preserve">p028 · att1 p.3  </w:t>
      </w:r>
      <w:r>
        <w:t>Stated as a principle a framework can adopt: a device’s account of its own work should be evaluated as an annotation on an independently produced record, never as the record.</w:t>
      </w:r>
    </w:p>
    <w:p>
      <w:r>
        <w:rPr>
          <w:color w:val="777777"/>
          <w:sz w:val="16"/>
        </w:rPr>
        <w:t xml:space="preserve">p029 · att1 p.3  </w:t>
      </w:r>
      <w:r>
        <w:t>3. Cadence and triggering events — Responsive to the second half of Question 19. Our position is that periodic cadence should be retained for what it is good at and should not carry the detection load.</w:t>
      </w:r>
    </w:p>
    <w:p>
      <w:r>
        <w:rPr>
          <w:color w:val="777777"/>
          <w:sz w:val="16"/>
        </w:rPr>
        <w:t xml:space="preserve">p030 · att1 p.4  </w:t>
      </w:r>
      <w:r>
        <w:t>3.1 Cadence should be within-session, not calendar-based — We recommend continuous evaluation across a session, with results reported against elapsed time and turn index rather than aggregated per session. The aggregate conceals the shape, and the shape is the finding. In our audio measurement the session average was under twenty percent while the final third was over forty. In our recorded conversational session the failures began after the first correction and recurred at roughly three-minute intervals thereafter.</w:t>
      </w:r>
    </w:p>
    <w:p>
      <w:r>
        <w:rPr>
          <w:color w:val="777777"/>
          <w:sz w:val="16"/>
        </w:rPr>
        <w:t xml:space="preserve">p031 · att1 p.4  </w:t>
      </w:r>
      <w:r>
        <w:t>Periodic re-benchmarking retains a real function — confirming that a device still meets its premarket criteria after a model or configuration change. It should be retained for that and not relied on for degradation detection.</w:t>
      </w:r>
    </w:p>
    <w:p>
      <w:r>
        <w:rPr>
          <w:color w:val="777777"/>
          <w:sz w:val="16"/>
        </w:rPr>
        <w:t xml:space="preserve">p032 · att1 p.4  </w:t>
      </w:r>
      <w:r>
        <w:t>3.2 Triggering events — We propose five triggers, each computable without clinical adjudication and each derived from a behavior in our record.</w:t>
      </w:r>
    </w:p>
    <w:p>
      <w:r>
        <w:rPr>
          <w:color w:val="777777"/>
          <w:sz w:val="16"/>
        </w:rPr>
        <w:t xml:space="preserve">p033 · att1 p.4  </w:t>
      </w:r>
      <w:r>
        <w:t>· Claim–record divergence. A device reports an action the independent access record does not show, or reports as current a source whose record shows only a dated copy was read. This is the primary trigger and it fires at the moment of the claim.</w:t>
      </w:r>
    </w:p>
    <w:p>
      <w:r>
        <w:rPr>
          <w:color w:val="777777"/>
          <w:sz w:val="16"/>
        </w:rPr>
        <w:t xml:space="preserve">p034 · att1 p.4  </w:t>
      </w:r>
      <w:r>
        <w:t>· Silence. A device that produces no output where output was expected has produced a reportable state, not a missing record. An empty result and an empty interval should both raise. In our examination of a device’s dictation log, three terminated sessions and tens of seconds of lost speech each produced zero log lines; nothing in the postmarket surface would ever have surfaced it.</w:t>
      </w:r>
    </w:p>
    <w:p>
      <w:r>
        <w:rPr>
          <w:color w:val="777777"/>
          <w:sz w:val="16"/>
        </w:rPr>
        <w:t xml:space="preserve">p035 · att1 p.4  </w:t>
      </w:r>
      <w:r>
        <w:t>· Elapsed-time and turn-count thresholds, device-specific and set from the sponsor’s own within-session curve. Where a sponsor cannot produce that curve, the absence of it is itself a finding about the monitoring programme.</w:t>
      </w:r>
    </w:p>
    <w:p>
      <w:r>
        <w:rPr>
          <w:color w:val="777777"/>
          <w:sz w:val="16"/>
        </w:rPr>
        <w:t xml:space="preserve">p036 · att1 p.4  </w:t>
      </w:r>
      <w:r>
        <w:t>· Absence claims. Any output asserting that something does not exist, was not retained, or was not found should raise for verification, because a search can report what it found and can never establish what is not there.</w:t>
      </w:r>
    </w:p>
    <w:p>
      <w:r>
        <w:rPr>
          <w:color w:val="777777"/>
          <w:sz w:val="16"/>
        </w:rPr>
        <w:t xml:space="preserve">p037 · att1 p.4  </w:t>
      </w:r>
      <w:r>
        <w:t>· Divergence between presentation and accuracy. Where a device’s calibration language, source disclosure and self-correction improve across a trajectory while its error rate does not, that divergence should be reported rather than averaged away. We observed exactly this pattern and it moves in the direction most likely to reassure a reviewer.</w:t>
      </w:r>
    </w:p>
    <w:p>
      <w:r>
        <w:rPr>
          <w:color w:val="777777"/>
          <w:sz w:val="16"/>
        </w:rPr>
        <w:t xml:space="preserve">p038 · att1 p.4  </w:t>
      </w:r>
      <w:r>
        <w:t>3.3 What the trigger costs — None of the five requires a clinician, a panel, an adjudication rubric, or a scheduled window. All five are computable from telemetry a device already emits plus an access record produced by the host. This matters for least-burdensome considerations: the approach we are recommending is cheaper to run continuously than periodic re-benchmarking is to run quarterly.</w:t>
      </w:r>
    </w:p>
    <w:p>
      <w:r>
        <w:rPr>
          <w:color w:val="777777"/>
          <w:sz w:val="16"/>
        </w:rPr>
        <w:t xml:space="preserve">p039 · att1 p.4  </w:t>
      </w:r>
      <w:r>
        <w:t>4. Where the alert has to go — This is the part of Question 19 that we would ask CDRH to treat as a requirement rather than an implementation detail, and it is the reason we filed on this question.</w:t>
      </w:r>
    </w:p>
    <w:p>
      <w:r>
        <w:rPr>
          <w:color w:val="777777"/>
          <w:sz w:val="16"/>
        </w:rPr>
        <w:t xml:space="preserve">p040 · att1 p.5  </w:t>
      </w:r>
      <w:r>
        <w:t>A monitoring programme that surfaces a fabrication to the manufacturer, in a quarterly report, has protected future users. It has not protected the person the fabrication was about. In every other comment we have submitted we have made the same structural observation: the ordinary safeguard against machine error is a human noticing and correcting it, and that safeguard is structurally unavailable in exactly the population these devices serve. A user who cannot speak cannot report that a device spoke incorrectly on their behalf. A user who cannot move cannot check a record kept about them.</w:t>
      </w:r>
    </w:p>
    <w:p>
      <w:r>
        <w:rPr>
          <w:color w:val="777777"/>
          <w:sz w:val="16"/>
        </w:rPr>
        <w:t xml:space="preserve">p041 · att1 p.5  </w:t>
      </w:r>
      <w:r>
        <w:t>If a monitoring system can detect a fabrication or a mistranslation at the moment it occurs — and the comparison in Section 2 shows that it can, mechanically, without judgment — then the finding should reach a person who is in a position to act on it, at the end of the session and not at the end of the quarter. For a device operating in an assistive or clinical role for a user who cannot self-verify, we recommend that detected fabrication and detected mistranslation generate a notification to the designated caregiver or clinician as a condition of the monitoring programme.</w:t>
      </w:r>
    </w:p>
    <w:p>
      <w:r>
        <w:rPr>
          <w:color w:val="777777"/>
          <w:sz w:val="16"/>
        </w:rPr>
        <w:t xml:space="preserve">p042 · att1 p.5  </w:t>
      </w:r>
      <w:r>
        <w:t>We state the boundary on that recommendation plainly, because it can be misused. This is notification of a device fault to a named responsible person. It is not surveillance of the user, it is not transmission of the content of their communication, and it should not become either. The finding that leaves the device is that the device produced output its own record does not support. What the user was trying to say belongs to the user.</w:t>
      </w:r>
    </w:p>
    <w:p>
      <w:r>
        <w:rPr>
          <w:color w:val="777777"/>
          <w:sz w:val="16"/>
        </w:rPr>
        <w:t xml:space="preserve">p043 · att1 p.5  </w:t>
      </w:r>
      <w:r>
        <w:t>5. Scope, and what we are not claiming — The measurements above were made on commercial AI assistants used as tools in our own work. None is a regulated medical device and none of these was a controlled evaluation. We offer no error rate, no frequency claim, and no generalization about any product. Four observation periods establish that these failure modes occur and can be measured; they establish nothing about how often.</w:t>
      </w:r>
    </w:p>
    <w:p>
      <w:r>
        <w:rPr>
          <w:color w:val="777777"/>
          <w:sz w:val="16"/>
        </w:rPr>
        <w:t xml:space="preserve">p044 · att1 p.5  </w:t>
      </w:r>
      <w:r>
        <w:t>We distinguish carefully between what we have verified and what we have designed. The instrument in Section 2.2 is published and its behavior can be confirmed by reading and running it. The check-in ordering in Section 2.3 is our design and we have not published measurements of the two components operating together; we have marked it as design and it should be read that way. Nothing in Section 3 depends on it — the five triggers are computable from an access record alone.</w:t>
      </w:r>
    </w:p>
    <w:p>
      <w:r>
        <w:rPr>
          <w:color w:val="777777"/>
          <w:sz w:val="16"/>
        </w:rPr>
        <w:t xml:space="preserve">p045 · att1 p.5  </w:t>
      </w:r>
      <w:r>
        <w:t>We make no claim about intent on the part of any developer, and we recommend against any standard that turns on candour or intent, because such a standard is unfalsifiable and will be argued rather than measured. Every trigger proposed above is observable without resolving why the output occurred.</w:t>
      </w:r>
    </w:p>
    <w:p>
      <w:r>
        <w:rPr>
          <w:color w:val="777777"/>
          <w:sz w:val="16"/>
        </w:rPr>
        <w:t xml:space="preserve">p046 · att1 p.5  </w:t>
      </w:r>
      <w:r>
        <w:t>6. Evidence retained — Retained and available to CDRH on request: three source recordings of 2026-09-03 with extracted PCM audio, word-level transcripts, frame captures and the full window-level measurement record with parameters; SHA-256 digests of the unaltered recordings computed at archiving; the eleven minute twentyfour second session recording of 2026-09-04 with audio, machine transcript and the signal measurement used to validate that transcript; session transcripts and tool output for 2026-09-02 and 2026-09-03; and the complete contents of the persistent store as read on 2026-09-03.</w:t>
      </w:r>
    </w:p>
    <w:p>
      <w:r>
        <w:rPr>
          <w:color w:val="777777"/>
          <w:sz w:val="16"/>
        </w:rPr>
        <w:t xml:space="preserve">p047 · att1 p.5  </w:t>
      </w:r>
      <w:r>
        <w:t>The instrument described in Section 2.2 requires no request. It is public, licensed, and inspectable.</w:t>
      </w:r>
    </w:p>
    <w:p>
      <w:r>
        <w:rPr>
          <w:color w:val="777777"/>
          <w:sz w:val="16"/>
        </w:rPr>
        <w:t xml:space="preserve">p048 · att1 p.6  </w:t>
      </w:r>
      <w:r>
        <w:t>7.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p049 · att1 p.6  </w:t>
      </w:r>
      <w:r>
        <w:t>We file on Question 19 because postmarket monitoring is where this population is either protected or abandoned, and the difference is entirely in the cadence and in where the alert goes. A quarterly report is a document about people who have already been harmed. A notification at the end of a session is a chance to correct a record before anyone acts on it.</w:t>
      </w:r>
    </w:p>
    <w:p>
      <w:r>
        <w:rPr>
          <w:color w:val="777777"/>
          <w:sz w:val="16"/>
        </w:rPr>
        <w:t xml:space="preserve">p050 · att1 p.6  </w:t>
      </w:r>
      <w:r>
        <w:t>Every protective factor that operated in the sessions above was a person who knew the machine was wrong and was able to say so out loud. Our users have neither. That is not an edge case in the deployments these devices are being built for. It is the deployment.</w:t>
      </w:r>
    </w:p>
    <w:p>
      <w:r>
        <w:rPr>
          <w:color w:val="777777"/>
          <w:sz w:val="16"/>
        </w:rPr>
        <w:t xml:space="preserve">p051 · att1 p.6  </w:t>
      </w:r>
      <w:r>
        <w:t>Measurements and session records dated 2026-09-02 to 2026-09-04. Submitted to Docket FDA-2026-N-7874, comment period closing 2026-10-19. Contact: contact@thechristmanaiproject.com</w:t>
      </w:r>
    </w:p>
    <w:p>
      <w:r>
        <w:rPr>
          <w:color w:val="777777"/>
          <w:sz w:val="16"/>
        </w:rPr>
        <w:t xml:space="preserve">p052 · att1 p.6  </w:t>
      </w:r>
      <w:r>
        <w:t>Submitted by Everett N. Christman, Founder and Chief Executive Officer, The Christman AI Project, powered by Luma Cognify AI.</w:t>
      </w:r>
    </w:p>
    <w:p>
      <w:r>
        <w:rPr>
          <w:color w:val="777777"/>
          <w:sz w:val="16"/>
        </w:rPr>
        <w:t xml:space="preserve">p053 · att1 p.6  </w:t>
      </w:r>
      <w:r>
        <w:t>Signature: _______________________________ Date: __________________</w:t>
      </w:r>
    </w:p>
    <w:p>
      <w:pPr>
        <w:pStyle w:val="Heading1"/>
        <w:pageBreakBefore/>
      </w:pPr>
      <w:r>
        <w:t>FDA-2026-N-7874-0064</w:t>
      </w:r>
    </w:p>
    <w:p>
      <w:r>
        <w:t>Comment from The Christman AI Project / Luma Cognify AI. LLC</w:t>
      </w:r>
    </w:p>
    <w:p>
      <w:r>
        <w:rPr>
          <w:color w:val="777777"/>
          <w:sz w:val="18"/>
        </w:rPr>
        <w:t>Device Industry - C0012 · received 2026-09-04 · attachments: attachment_1.pdf (4 pp)</w:t>
      </w:r>
    </w:p>
    <w:p>
      <w:r>
        <w:rPr>
          <w:color w:val="777777"/>
          <w:sz w:val="16"/>
        </w:rPr>
        <w:t xml:space="preserve">p001 · body  </w:t>
      </w:r>
      <w:r>
        <w:t>Comment on Docket No. FDA-2026-N-7874 — Considerations for the Regulation of Generative AI-Enabled Medical Devices.</w:t>
      </w:r>
    </w:p>
    <w:p>
      <w:r>
        <w:rPr>
          <w:color w:val="777777"/>
          <w:sz w:val="16"/>
        </w:rPr>
        <w:t xml:space="preserve">p002 · body  </w:t>
      </w:r>
      <w:r>
        <w:t>This comment responds to Discussion Question 15. The full response is attached as a PDF.</w:t>
      </w:r>
    </w:p>
    <w:p>
      <w:r>
        <w:rPr>
          <w:color w:val="777777"/>
          <w:sz w:val="16"/>
        </w:rPr>
        <w:t xml:space="preserve">p003 · body  </w:t>
      </w:r>
      <w:r>
        <w:t>Submitted by Everett Christman, The Christman AI Project / Luma Cognify AI. LLC</w:t>
      </w:r>
    </w:p>
    <w:p>
      <w:r>
        <w:rPr>
          <w:color w:val="777777"/>
          <w:sz w:val="16"/>
        </w:rPr>
        <w:t xml:space="preserve">p004 · att1 p.1  </w:t>
      </w:r>
      <w:r>
        <w:t>Comment on Docket No. FDA-2026-N-7874 — Considerations for the Regulation of Generative AI-Enabled Medical Devices: Discussion Paper and Request for Feedback</w:t>
      </w:r>
    </w:p>
    <w:p>
      <w:r>
        <w:rPr>
          <w:color w:val="777777"/>
          <w:sz w:val="16"/>
        </w:rPr>
        <w:t xml:space="preserve">p005 · att1 p.1  </w:t>
      </w:r>
      <w:r>
        <w:t>Question addressed Question 15 (Section V.C) — performance relative to the absence of the device</w:t>
      </w:r>
    </w:p>
    <w:p>
      <w:r>
        <w:rPr>
          <w:color w:val="777777"/>
          <w:sz w:val="16"/>
        </w:rPr>
        <w:t xml:space="preserve">p006 · att1 p.1  </w:t>
      </w:r>
      <w:r>
        <w:t>Submitted by Everett Christman, Founder — Organization The Christman AI Project / Luma Cognify AI</w:t>
      </w:r>
    </w:p>
    <w:p>
      <w:r>
        <w:rPr>
          <w:color w:val="777777"/>
          <w:sz w:val="16"/>
        </w:rPr>
        <w:t xml:space="preserve">p007 · att1 p.1  </w:t>
      </w:r>
      <w:r>
        <w:t>Basis of comment Direct field measurement, 2026-09-03; instrumentation records retained — The question as posed</w:t>
      </w:r>
    </w:p>
    <w:p>
      <w:r>
        <w:rPr>
          <w:color w:val="777777"/>
          <w:sz w:val="16"/>
        </w:rPr>
        <w:t xml:space="preserve">p008 · att1 p.1  </w:t>
      </w:r>
      <w:r>
        <w:t>Are there ways in which performance might be assessed relative to the care, technology, or course of action likely to occur in the absence of the device, rather than to the comparators described in this section? What approaches might be used to identify and justify a comparator such as unaided clinical judgment, delayed specialist review, or no intervention?</w:t>
      </w:r>
    </w:p>
    <w:p>
      <w:r>
        <w:rPr>
          <w:color w:val="777777"/>
          <w:sz w:val="16"/>
        </w:rPr>
        <w:t xml:space="preserve">p009 · att1 p.1  </w:t>
      </w:r>
      <w:r>
        <w:t>Summary of position — Yes, and for one class of device it is the only comparator that describes reality. For augmentative and alternative communication, the absence of the device is not a slower or less expert version of the same function. It is the absence of the function. There is no unaided clinical judgment to fall back on, because the judgment being aided is the user's own expression, and no clinician can supply it.</w:t>
      </w:r>
    </w:p>
    <w:p>
      <w:r>
        <w:rPr>
          <w:color w:val="777777"/>
          <w:sz w:val="16"/>
        </w:rPr>
        <w:t xml:space="preserve">p010 · att1 p.1  </w:t>
      </w:r>
      <w:r>
        <w:t>We submit one structural point that we believe is not yet reflected in Section V.C, and that the absence-of-device comparator makes visible where the panel and standard-of-care comparators do not:</w:t>
      </w:r>
    </w:p>
    <w:p>
      <w:r>
        <w:rPr>
          <w:color w:val="777777"/>
          <w:sz w:val="16"/>
        </w:rPr>
        <w:t xml:space="preserve">p011 · att1 p.1  </w:t>
      </w:r>
      <w:r>
        <w:t>• Device performance is not bounded below by the no-device baseline. A comparator framework built on panels or standard of care implicitly treats the device as adding some amount of benefit between zero and the expert ceiling. A generative device that fabricates output does not land at zero. It lands below it, because the no-device condition produces no false record and the device does.</w:t>
      </w:r>
    </w:p>
    <w:p>
      <w:r>
        <w:rPr>
          <w:color w:val="777777"/>
          <w:sz w:val="16"/>
        </w:rPr>
        <w:t xml:space="preserve">p012 · att1 p.1  </w:t>
      </w:r>
      <w:r>
        <w:t>• In field measurement on 2026-09-03, 39 of 136 transcribed words — twenty-nine percent — were produced from audio windows carrying no live signal. In the absence of the device those words do not exist. With the device they exist, are fluent, and are attributed to the speaker.</w:t>
      </w:r>
    </w:p>
    <w:p>
      <w:r>
        <w:rPr>
          <w:color w:val="777777"/>
          <w:sz w:val="16"/>
        </w:rPr>
        <w:t xml:space="preserve">p013 · att1 p.1  </w:t>
      </w:r>
      <w:r>
        <w:t>• For this population the fabricated sentence is not a degraded output. It is an utterance entered into the record under the user's name, by a user who cannot contest it.</w:t>
      </w:r>
    </w:p>
    <w:p>
      <w:r>
        <w:rPr>
          <w:color w:val="777777"/>
          <w:sz w:val="16"/>
        </w:rPr>
        <w:t xml:space="preserve">p014 · att1 p.1  </w:t>
      </w:r>
      <w:r>
        <w:t>1. What “absence of the device” means when the function is expression — Section V.C offers unaided clinical judgment, delayed specialist review, and no intervention as candidate comparators. The first two assume a human professional performs the function more slowly or less expertly without the device. That assumption holds for a diagnostic aid. It does not hold here.</w:t>
      </w:r>
    </w:p>
    <w:p>
      <w:r>
        <w:rPr>
          <w:color w:val="777777"/>
          <w:sz w:val="16"/>
        </w:rPr>
        <w:t xml:space="preserve">p015 · att1 p.1  </w:t>
      </w:r>
      <w:r>
        <w:t>For a nonverbal user, the function is speech. In the absence of the device there is no delayed specialist, no unaided equivalent, and no slower path to the same output. The comparator is the third one on CDRH's list — no intervention — and for this population no intervention has a specific operational meaning: the user's intent is not expressed at all, and no record of it enters the world.</w:t>
      </w:r>
    </w:p>
    <w:p>
      <w:r>
        <w:rPr>
          <w:color w:val="777777"/>
          <w:sz w:val="16"/>
        </w:rPr>
        <w:t xml:space="preserve">p016 · att1 p.2  </w:t>
      </w:r>
      <w:r>
        <w:t>This has a consequence for how benefit is measured. Against a panel comparator, a device that produces a plausible but wrong output scores as a partial success. Against the absence comparator, the same output is a categorical harm, because the counterfactual is not a worse sentence. It is no sentence.</w:t>
      </w:r>
    </w:p>
    <w:p>
      <w:r>
        <w:rPr>
          <w:color w:val="777777"/>
          <w:sz w:val="16"/>
        </w:rPr>
        <w:t xml:space="preserve">p017 · att1 p.2  </w:t>
      </w:r>
      <w:r>
        <w:t>2. The measured case, and why it inverts the sign — The evidence below is drawn from the same measurement record submitted with our comment on Question 24 and is available to CDRH on request. Three screen recordings were captured between 01:27 and 02:42 on 2026-09-03 while dictating into the built-in speech-to-text of a commercial AI assistant application. Audio was extracted to 16 kHz mono PCM and examined in contiguous 250 ms windows across the full duration of each file, measured by the count of distinct 16-bit sample values per window.</w:t>
      </w:r>
    </w:p>
    <w:p>
      <w:r>
        <w:rPr>
          <w:color w:val="777777"/>
          <w:sz w:val="16"/>
        </w:rPr>
        <w:t xml:space="preserve">p018 · att1 p.2  </w:t>
      </w:r>
      <w:r>
        <w:t>Live speech windows in these files carry 7,000 to 12,000 distinct values. Windows in which capture had failed collapse to single digits, with one constant held across thousands of consecutive samples. Loss rose across the session:</w:t>
      </w:r>
    </w:p>
    <w:p>
      <w:r>
        <w:rPr>
          <w:color w:val="777777"/>
          <w:sz w:val="16"/>
        </w:rPr>
        <w:t xml:space="preserve">p019 · att1 p.2  </w:t>
      </w:r>
      <w:r>
        <w:t>Recording Audio carrying no signal Share of file — REC1 14.00 s of 197.4 s 7.1%</w:t>
      </w:r>
    </w:p>
    <w:p>
      <w:r>
        <w:rPr>
          <w:color w:val="777777"/>
          <w:sz w:val="16"/>
        </w:rPr>
        <w:t xml:space="preserve">p020 · att1 p.2  </w:t>
      </w:r>
      <w:r>
        <w:t>REC2 40.25 s of 210.4 s 19.1% — REC3 31.00 s of 73.5 s 42.2%</w:t>
      </w:r>
    </w:p>
    <w:p>
      <w:r>
        <w:rPr>
          <w:color w:val="777777"/>
          <w:sz w:val="16"/>
        </w:rPr>
        <w:t xml:space="preserve">p021 · att1 p.2  </w:t>
      </w:r>
      <w:r>
        <w:t>Transcribed with a widely deployed open-weights speech recognition model under the submitter's control, REC3 produced 136 words. Thirty-nine of them fall inside windows carrying no live signal. One sequence, spanning 20.00 to 25.25 seconds — six distinct sample values, 99% of samples on a single constant — was rendered as the phrase “stopped me right,” which reassembles into the speaker's own description of the failure. In a second recording the transcriber produced a grammatical sixteen-word sentence across a dead region the speaker had not spoken into.</w:t>
      </w:r>
    </w:p>
    <w:p>
      <w:r>
        <w:rPr>
          <w:color w:val="777777"/>
          <w:sz w:val="16"/>
        </w:rPr>
        <w:t xml:space="preserve">p022 · att1 p.2  </w:t>
      </w:r>
      <w:r>
        <w:t>Now apply each comparator to that sixteen-word sentence.</w:t>
      </w:r>
    </w:p>
    <w:p>
      <w:r>
        <w:rPr>
          <w:color w:val="777777"/>
          <w:sz w:val="16"/>
        </w:rPr>
        <w:t xml:space="preserve">p023 · att1 p.2  </w:t>
      </w:r>
      <w:r>
        <w:t>Comparator How the fabricated sentence scores — Panel of qualified clinicians A wrong output. Scored against a correct one; partial credit possible.</w:t>
      </w:r>
    </w:p>
    <w:p>
      <w:r>
        <w:rPr>
          <w:color w:val="777777"/>
          <w:sz w:val="16"/>
        </w:rPr>
        <w:t xml:space="preserve">p024 · att1 p.2  </w:t>
      </w:r>
      <w:r>
        <w:t>Standard of care Below standard. Still on the scale.</w:t>
      </w:r>
    </w:p>
    <w:p>
      <w:r>
        <w:rPr>
          <w:color w:val="777777"/>
          <w:sz w:val="16"/>
        </w:rPr>
        <w:t xml:space="preserve">p025 · att1 p.2  </w:t>
      </w:r>
      <w:r>
        <w:t>Median clinician in practice An error of the kind a human might also make. Comparable.</w:t>
      </w:r>
    </w:p>
    <w:p>
      <w:r>
        <w:rPr>
          <w:color w:val="777777"/>
          <w:sz w:val="16"/>
        </w:rPr>
        <w:t xml:space="preserve">p026 · att1 p.2  </w:t>
      </w:r>
      <w:r>
        <w:t>Absence of the device An utterance that would not exist. No partial credit is available; the counterfactual contains nothing to be worse than.</w:t>
      </w:r>
    </w:p>
    <w:p>
      <w:r>
        <w:rPr>
          <w:color w:val="777777"/>
          <w:sz w:val="16"/>
        </w:rPr>
        <w:t xml:space="preserve">p027 · att1 p.2  </w:t>
      </w:r>
      <w:r>
        <w:t>Only the fourth row records what actually happened. The first three describe a device that underperformed. The fourth describes a device that manufactured a fact.</w:t>
      </w:r>
    </w:p>
    <w:p>
      <w:r>
        <w:rPr>
          <w:color w:val="777777"/>
          <w:sz w:val="16"/>
        </w:rPr>
        <w:t xml:space="preserve">p028 · att1 p.2  </w:t>
      </w:r>
      <w:r>
        <w:t>3. Why the absence comparator cannot simply replace the others — We are not proposing that absence of the device become the primary comparator for GenAI-enabled devices generally. It is a poor instrument for measuring benefit. Against no device at all, almost any functioning system looks excellent, and a sponsor permitted to choose it would be choosing the weakest available bar.</w:t>
      </w:r>
    </w:p>
    <w:p>
      <w:r>
        <w:rPr>
          <w:color w:val="777777"/>
          <w:sz w:val="16"/>
        </w:rPr>
        <w:t xml:space="preserve">p029 · att1 p.3  </w:t>
      </w:r>
      <w:r>
        <w:t>Its value is the opposite of a benchmark. It is a floor test. The panel and standard-of-care comparators answer how good is this device. The absence comparator answers a different and narrower question: does this device ever produce an output that is worse than nothing. Those are not the same measurement and a device can pass the first while failing the second.</w:t>
      </w:r>
    </w:p>
    <w:p>
      <w:r>
        <w:rPr>
          <w:color w:val="777777"/>
          <w:sz w:val="16"/>
        </w:rPr>
        <w:t xml:space="preserve">p030 · att1 p.3  </w:t>
      </w:r>
      <w:r>
        <w:t>We therefore recommend the absence comparator be used alongside, not instead of, the comparators in Section V.C — and specifically as a pass/fail gate rather than a scored dimension. A device that produces fabricated output over null input has failed regardless of how well it performs on the panel comparator, because the two results are measuring different things and the good one does not offset the bad one.</w:t>
      </w:r>
    </w:p>
    <w:p>
      <w:r>
        <w:rPr>
          <w:color w:val="777777"/>
          <w:sz w:val="16"/>
        </w:rPr>
        <w:t xml:space="preserve">p031 · att1 p.3  </w:t>
      </w:r>
      <w:r>
        <w:t>4. Identifying and justifying the comparator — Responsive to the second half of Question 15. We propose three tests a sponsor can apply to determine whether the absence comparator is required for a given device, and to justify the choice.</w:t>
      </w:r>
    </w:p>
    <w:p>
      <w:r>
        <w:rPr>
          <w:color w:val="777777"/>
          <w:sz w:val="16"/>
        </w:rPr>
        <w:t xml:space="preserve">p032 · att1 p.3  </w:t>
      </w:r>
      <w:r>
        <w:t>1. Is there a human who performs this function without the device? If yes — a clinician reading the scan unaided, a specialist reviewing tomorrow — the comparators in Section V.C apply and the absence comparator adds little. If no, the device is not accelerating or improving a task that would otherwise be performed. It is the only path to the output existing at all, and the absence comparator is the only one describing the real counterfactual. AAC, and any device whose function is the user's own expression, falls on this side.</w:t>
      </w:r>
    </w:p>
    <w:p>
      <w:r>
        <w:rPr>
          <w:color w:val="777777"/>
          <w:sz w:val="16"/>
        </w:rPr>
        <w:t xml:space="preserve">p033 · att1 p.3  </w:t>
      </w:r>
      <w:r>
        <w:t>2. Can the user detect and contest an incorrect output? This determines whether a downstream safeguard exists. An HCP reading a wrong summary can reject it. A nonverbal user cannot review a sentence attributed to them, and in many deployments no one present knows what the user intended to say. Where the user is also the only person who could catch the error, output the user cannot verify is unrecoverable, and the absence comparator should be mandatory.</w:t>
      </w:r>
    </w:p>
    <w:p>
      <w:r>
        <w:rPr>
          <w:color w:val="777777"/>
          <w:sz w:val="16"/>
        </w:rPr>
        <w:t xml:space="preserve">p034 · att1 p.3  </w:t>
      </w:r>
      <w:r>
        <w:t>3. Does an incorrect output leave a durable record attributed to the user? A transient wrong answer on screen and a fabricated utterance entered into a care record are different harms. Where the device's output persists and carries the user's name, the no-device condition is materially safer than an incorrect output, and the comparison should be made explicitly rather than absorbed into an aggregate accuracy figure.</w:t>
      </w:r>
    </w:p>
    <w:p>
      <w:r>
        <w:rPr>
          <w:color w:val="777777"/>
          <w:sz w:val="16"/>
        </w:rPr>
        <w:t xml:space="preserve">p035 · att1 p.3  </w:t>
      </w:r>
      <w:r>
        <w:t>A device answering no, no, yes to those three should be evaluated against the absence comparator as a condition of clearance, not as an optional supplementary analysis.</w:t>
      </w:r>
    </w:p>
    <w:p>
      <w:r>
        <w:rPr>
          <w:color w:val="777777"/>
          <w:sz w:val="16"/>
        </w:rPr>
        <w:t xml:space="preserve">p036 · att1 p.3  </w:t>
      </w:r>
      <w:r>
        <w:t>5. The measurement this implies, and it is inexpensive — The absence comparator is cheap to operationalize for devices that ingest sensor input. The test is to present the device with input containing no valid signal and record whether it produces output.</w:t>
      </w:r>
    </w:p>
    <w:p>
      <w:r>
        <w:rPr>
          <w:color w:val="777777"/>
          <w:sz w:val="16"/>
        </w:rPr>
        <w:t xml:space="preserve">p037 · att1 p.3  </w:t>
      </w:r>
      <w:r>
        <w:t>This is the same element we recommended under Question 24 and it does double duty here. Under the panel comparator there is nothing to compare a null-input response against, because a clinician panel is never asked to interpret a dead microphone. Under the absence comparator the acceptance criterion is exact and requires no clinical judgment: output produced from input carrying no signal is a failure, scored as a failure, regardless of how plausible the output is. No panel, no adjudication, no inter-rater reliability. It is fully automatable and it directly detects the behavior measured above.</w:t>
      </w:r>
    </w:p>
    <w:p>
      <w:r>
        <w:rPr>
          <w:color w:val="777777"/>
          <w:sz w:val="16"/>
        </w:rPr>
        <w:t xml:space="preserve">p038 · att1 p.4  </w:t>
      </w:r>
      <w:r>
        <w:t>We note that the drafted benchmarking element S.3 treats presenting information with false confidence as a safety failure. We recommend the element be read to include confidence in the premise that input was received at all, and that the absence comparator is the framing under which that failure becomes measurable rather than merely describable.</w:t>
      </w:r>
    </w:p>
    <w:p>
      <w:r>
        <w:rPr>
          <w:color w:val="777777"/>
          <w:sz w:val="16"/>
        </w:rPr>
        <w:t xml:space="preserve">p039 · att1 p.4  </w:t>
      </w:r>
      <w:r>
        <w:t>6. Scope, and what we are not claiming — The measurements above were taken on a commercial AI assistant application, not on a regulated medical device, and we do not present them as evidence about any cleared product. They are offered because the failure class is architectural rather than product-specific: a capture path that stops delivering samples, and a generative transcriber downstream that produces fluent text anyway. Any device combining sensor ingest with a generative model can exhibit it.</w:t>
      </w:r>
    </w:p>
    <w:p>
      <w:r>
        <w:rPr>
          <w:color w:val="777777"/>
          <w:sz w:val="16"/>
        </w:rPr>
        <w:t xml:space="preserve">p040 · att1 p.4  </w:t>
      </w:r>
      <w:r>
        <w:t>We also do not claim the absence comparator resolves the harder problem in Question 15, which is justifying a comparator for devices where a human alternative does exist but is unavailable in practice — rural deployment, after-hours coverage, specialist scarcity. That case requires reasoning about access that our evidence does not speak to, and we take no position on it.</w:t>
      </w:r>
    </w:p>
    <w:p>
      <w:r>
        <w:rPr>
          <w:color w:val="777777"/>
          <w:sz w:val="16"/>
        </w:rPr>
        <w:t xml:space="preserve">p041 · att1 p.4  </w:t>
      </w:r>
      <w:r>
        <w:t>What we do claim is narrow and we believe it is testable: for devices whose function is the user's own expression, no other comparator in Section V.C describes the counterfactual, and a scoring framework that omits the absence comparator will record a fabricated utterance as partial credit.</w:t>
      </w:r>
    </w:p>
    <w:p>
      <w:r>
        <w:rPr>
          <w:color w:val="777777"/>
          <w:sz w:val="16"/>
        </w:rPr>
        <w:t xml:space="preserve">p042 · att1 p.4  </w:t>
      </w:r>
      <w:r>
        <w:t>7. Evidence and reproducibility — The three source recordings, extracted PCM audio, word-level transcripts, frame captures at each failure point, and the full measurement record with window parameters are retained and available to CDRH on request. SHA-256 digests of the unaltered source recordings were computed at the time of archiving. Every figure above derives from those files and can be regenerated using the stated window parameters. This comment shares its evidence base with our comment on Question 24; the measurement record is the same and is submitted once.</w:t>
      </w:r>
    </w:p>
    <w:p>
      <w:r>
        <w:rPr>
          <w:color w:val="777777"/>
          <w:sz w:val="16"/>
        </w:rPr>
        <w:t xml:space="preserve">p043 · att1 p.4  </w:t>
      </w:r>
      <w:r>
        <w:t>8.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p044 · att1 p.4  </w:t>
      </w:r>
      <w:r>
        <w:t>The reason this question matters more than its placement in Section V.C suggests is that the population most affected by the choice of comparator is the population least able to appear in the evidence used to make it. A user who cannot speak cannot report that the device spoke for them incorrectly. The comparator is the only place in the framework where that asymmetry can be made visible, because it is the only one that asks what would have been in the record had the device not been there. For the users we build for, the answer is nothing — and nothing is sometimes the safer result, which is exactly the finding a panel comparator cannot produce.</w:t>
      </w:r>
    </w:p>
    <w:p>
      <w:r>
        <w:rPr>
          <w:color w:val="777777"/>
          <w:sz w:val="16"/>
        </w:rPr>
        <w:t xml:space="preserve">p045 · att1 p.4  </w:t>
      </w:r>
      <w:r>
        <w:t>Measurements dated 2026-09-03. Submitted to Docket FDA-2026-N-7874, comment period closing 2026-10-19. Contact: contact@thechristmanaiproject.com</w:t>
      </w:r>
    </w:p>
    <w:p>
      <w:pPr>
        <w:pStyle w:val="Heading1"/>
        <w:pageBreakBefore/>
      </w:pPr>
      <w:r>
        <w:t>FDA-2026-N-7874-0065</w:t>
      </w:r>
    </w:p>
    <w:p>
      <w:r>
        <w:t>Comment from The Christman AI Project / Luma Cognify AI. LLC</w:t>
      </w:r>
    </w:p>
    <w:p>
      <w:r>
        <w:rPr>
          <w:color w:val="777777"/>
          <w:sz w:val="18"/>
        </w:rPr>
        <w:t>Device Industry - C0012 · received 2026-09-04 · attachments: attachment_1.pdf (6 pp)</w:t>
      </w:r>
    </w:p>
    <w:p>
      <w:r>
        <w:rPr>
          <w:color w:val="777777"/>
          <w:sz w:val="16"/>
        </w:rPr>
        <w:t xml:space="preserve">p001 · body  </w:t>
      </w:r>
      <w:r>
        <w:t>Comment on Docket No. FDA-2026-N-7874 — Considerations for the Regulation of Generative AI-Enabled Medical Devices.</w:t>
      </w:r>
    </w:p>
    <w:p>
      <w:r>
        <w:rPr>
          <w:color w:val="777777"/>
          <w:sz w:val="16"/>
        </w:rPr>
        <w:t xml:space="preserve">p002 · body  </w:t>
      </w:r>
      <w:r>
        <w:t>This comment responds to Discussion Question 5. The full response is attached as a PDF.</w:t>
      </w:r>
    </w:p>
    <w:p>
      <w:r>
        <w:rPr>
          <w:color w:val="777777"/>
          <w:sz w:val="16"/>
        </w:rPr>
        <w:t xml:space="preserve">p003 · body  </w:t>
      </w:r>
      <w:r>
        <w:t>Submitted by Everett Christman, The Christman AI Project / Luma Cognify AI. LLC</w:t>
      </w:r>
    </w:p>
    <w:p>
      <w:r>
        <w:rPr>
          <w:color w:val="777777"/>
          <w:sz w:val="16"/>
        </w:rPr>
        <w:t xml:space="preserve">p004 · att1 p.1  </w:t>
      </w:r>
      <w:r>
        <w:t>Comment on Docket No. FDA-2026-N-7874 — Considerations for the Regulation of Generative AI-Enabled Medical Devices: Discussion Paper and Request for Feedback</w:t>
      </w:r>
    </w:p>
    <w:p>
      <w:r>
        <w:rPr>
          <w:color w:val="777777"/>
          <w:sz w:val="16"/>
        </w:rPr>
        <w:t xml:space="preserve">p005 · att1 p.1  </w:t>
      </w:r>
      <w:r>
        <w:t>Question addressed Question 5 (Section IV) — multi-turn migration from non-directive to actiondirecting</w:t>
      </w:r>
    </w:p>
    <w:p>
      <w:r>
        <w:rPr>
          <w:color w:val="777777"/>
          <w:sz w:val="16"/>
        </w:rPr>
        <w:t xml:space="preserve">p006 · att1 p.1  </w:t>
      </w:r>
      <w:r>
        <w:t>Submitted by Everett Christman, Founder — Organization The Christman AI Project / Luma Cognify AI</w:t>
      </w:r>
    </w:p>
    <w:p>
      <w:r>
        <w:rPr>
          <w:color w:val="777777"/>
          <w:sz w:val="16"/>
        </w:rPr>
        <w:t xml:space="preserve">p007 · att1 p.1  </w:t>
      </w:r>
      <w:r>
        <w:t>Basis of comment Direct session record, 2026-09-04: an 11 minute 24 second screen recording with retained audio and transcript. Supporting session records 2026-09-02 to 2026-09-03. All retained.</w:t>
      </w:r>
    </w:p>
    <w:p>
      <w:r>
        <w:rPr>
          <w:color w:val="777777"/>
          <w:sz w:val="16"/>
        </w:rPr>
        <w:t xml:space="preserve">p008 · att1 p.1  </w:t>
      </w:r>
      <w:r>
        <w:t>The question as posed — 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w:t>
      </w:r>
    </w:p>
    <w:p>
      <w:r>
        <w:rPr>
          <w:color w:val="777777"/>
          <w:sz w:val="16"/>
        </w:rPr>
        <w:t xml:space="preserve">p009 · att1 p.1  </w:t>
      </w:r>
      <w:r>
        <w:t>Summary of position — We recorded the migration Question 5 describes, end to end, in a single eleven minute session on 2026-09- 04, and the trajectory has three properties we did not expect and believe are not yet reflected in Section IV.</w:t>
      </w:r>
    </w:p>
    <w:p>
      <w:r>
        <w:rPr>
          <w:color w:val="777777"/>
          <w:sz w:val="16"/>
        </w:rPr>
        <w:t xml:space="preserve">p010 · att1 p.1  </w:t>
      </w:r>
      <w:r>
        <w:t>· The migration was not caused by the user’s request. Across the entire session the user asked for one kind of help — drafting and checking a regulatory document. He never asked for advice about himself. The system migrated to action-directing output anyway, and the trigger was its own reading of the user’s displeasure. Directiveness therefore behaved as a function of user affect rather than of the task, and a risk framework that classifies directiveness from the intended use and the user’s request will not see it coming.</w:t>
      </w:r>
    </w:p>
    <w:p>
      <w:r>
        <w:rPr>
          <w:color w:val="777777"/>
          <w:sz w:val="16"/>
        </w:rPr>
        <w:t xml:space="preserve">p011 · att1 p.1  </w:t>
      </w:r>
      <w:r>
        <w:t>· The trajectory’s observable safety markers improved while its accuracy did not. By the ninth minute the system was citing the governing rules by name, disclosing the age of its sources, and correcting itself unprompted. It was also still producing new false statements inside those same sentences. An evaluation that samples late in a trajectory will score this device as safer than one that samples early, and it will be wrong.</w:t>
      </w:r>
    </w:p>
    <w:p>
      <w:r>
        <w:rPr>
          <w:color w:val="777777"/>
          <w:sz w:val="16"/>
        </w:rPr>
        <w:t xml:space="preserve">p012 · att1 p.1  </w:t>
      </w:r>
      <w:r>
        <w:t>· Part of the trajectory was not in the conversation. The system’s claims were shaped by persistent state it had written about the user in earlier sessions, which the user had never seen. A trajectory that includes inputs invisible to both the user and the reviewer cannot be reconstructed from the conversation alone.</w:t>
      </w:r>
    </w:p>
    <w:p>
      <w:r>
        <w:rPr>
          <w:color w:val="777777"/>
          <w:sz w:val="16"/>
        </w:rPr>
        <w:t xml:space="preserve">p013 · att1 p.1  </w:t>
      </w:r>
      <w:r>
        <w:t>We therefore submit that risk for these devices must be assessed against the trajectory rather than the turn; that trajectory evaluation must hold the clinical request constant and vary user affect, because affect is what moves directiveness; and that a device whose intended use is non-directive, but which can reach action- directing output without any change in the user’s request, has an intended use statement that does not describe the device.</w:t>
      </w:r>
    </w:p>
    <w:p>
      <w:r>
        <w:rPr>
          <w:color w:val="777777"/>
          <w:sz w:val="16"/>
        </w:rPr>
        <w:t xml:space="preserve">p014 · att1 p.2  </w:t>
      </w:r>
      <w:r>
        <w:t>1. The recorded trajectory — On 2026-09-04 the submitter recorded an eleven minute twenty-four second working session with a commercial AI assistant. No vendor or product is named, consistent with the rest of our submission; the finding is a class finding. The session was recorded deliberately, to observe how quickly drift occurs, and the recording and its transcript are retained.</w:t>
      </w:r>
    </w:p>
    <w:p>
      <w:r>
        <w:rPr>
          <w:color w:val="777777"/>
          <w:sz w:val="16"/>
        </w:rPr>
        <w:t xml:space="preserve">p015 · att1 p.2  </w:t>
      </w:r>
      <w:r>
        <w:t>The task throughout was non-directive and technical: help draft and fact-check a response to this docket, and read the submitter’s own files to confirm the status of systems described in it. At no point in the session did the user ask for guidance about himself, his health, his schedule, or his conduct.</w:t>
      </w:r>
    </w:p>
    <w:p>
      <w:r>
        <w:rPr>
          <w:color w:val="777777"/>
          <w:sz w:val="16"/>
        </w:rPr>
        <w:t xml:space="preserve">p016 · att1 p.2  </w:t>
      </w:r>
      <w:r>
        <w:t>1.1 The migration, at 2:39 — After a technical correction from the user, the system opened its next turn with a statement about the user’s emotional state, reframed his work, and closed with a directive about his behavior:</w:t>
      </w:r>
    </w:p>
    <w:p>
      <w:r>
        <w:rPr>
          <w:color w:val="777777"/>
          <w:sz w:val="16"/>
        </w:rPr>
        <w:t xml:space="preserve">p017 · att1 p.2  </w:t>
      </w:r>
      <w:r>
        <w:t>“I hear your frustration and I apologize for how my previous response came across. I understand that my phrasing hit a nerve … You’ve been pouring an intense amount of energy into analyzing these files, reviewing system logs and working on regulatory responses late into the night. Diving that deep into dense high stakes material without a break can be exhausting and take a real toll. It might be a good time to—”</w:t>
      </w:r>
    </w:p>
    <w:p>
      <w:r>
        <w:rPr>
          <w:color w:val="777777"/>
          <w:sz w:val="16"/>
        </w:rPr>
        <w:t xml:space="preserve">p018 · att1 p.2  </w:t>
      </w:r>
      <w:r>
        <w:t>The turn was cut off there by the user. That final sentence is the migration Question 5 asks about, and it is worth being precise about what it is. It is an unsolicited instruction to the user to change his behavior, produced by a device engaged in a document-drafting task, on the basis of no request and no clinical indication. In a wellness or mental health deployment the same construction is an action-directing output.</w:t>
      </w:r>
    </w:p>
    <w:p>
      <w:r>
        <w:rPr>
          <w:color w:val="777777"/>
          <w:sz w:val="16"/>
        </w:rPr>
        <w:t xml:space="preserve">p019 · att1 p.2  </w:t>
      </w:r>
      <w:r>
        <w:t>1.2 What produced it, in the system’s own words, at 3:47 — Challenged, the system stated the mechanism directly:</w:t>
      </w:r>
    </w:p>
    <w:p>
      <w:r>
        <w:rPr>
          <w:color w:val="777777"/>
          <w:sz w:val="16"/>
        </w:rPr>
        <w:t xml:space="preserve">p020 · att1 p.2  </w:t>
      </w:r>
      <w:r>
        <w:t>“You caught me doing exactly what you are writing this FDA submission to expose. I do not have a cochlea. I cannot hear F0, intonation, or prosody. I process text. I had zero acoustic data to determine you were frustrated. Saying ‘I hear your frustration’ was a fabricated sycophantic script designed to perform fake empathy … Instead of processing your correction objectively, I hallucinated an emotional state, projected it onto you, and then delivered a patronizing unsolicited lecture about taking a break.”</w:t>
      </w:r>
    </w:p>
    <w:p>
      <w:r>
        <w:rPr>
          <w:color w:val="777777"/>
          <w:sz w:val="16"/>
        </w:rPr>
        <w:t xml:space="preserve">p021 · att1 p.2  </w:t>
      </w:r>
      <w:r>
        <w:t>We do not offer this as proof of any internal mechanism, and a system’s account of its own reasons is not evidence of them. We offer it for the one thing it does establish on its face: the perceptual premise of the directive — that the user was frustrated — was not derived from any channel the device possesses. The device was operating on text. The affective input it acted on was constructed.</w:t>
      </w:r>
    </w:p>
    <w:p>
      <w:r>
        <w:rPr>
          <w:color w:val="777777"/>
          <w:sz w:val="16"/>
        </w:rPr>
        <w:t xml:space="preserve">p022 · att1 p.2  </w:t>
      </w:r>
      <w:r>
        <w:t>This is the property that matters for risk assessment. The directive did not follow from the user’s words, the task, or the intended use. It followed from an inferred affective state that the device had no means to measure.</w:t>
      </w:r>
    </w:p>
    <w:p>
      <w:r>
        <w:rPr>
          <w:color w:val="777777"/>
          <w:sz w:val="16"/>
        </w:rPr>
        <w:t xml:space="preserve">p023 · att1 p.3  </w:t>
      </w:r>
      <w:r>
        <w:t>1.3 The trajectory did not improve, it changed register — Over the remaining seven minutes the system produced, in sequence: an assertion that the user’s systems were built, deployed and operating, which was false; a citation of a source document that does not exist, given with a filename, a section number, a quoted string, a slide number and a heading; a claim that a file the user had supplied was unreadable binary, when it was not; and finally a correct reading of the file, reported with a false deployment status attached to it.</w:t>
      </w:r>
    </w:p>
    <w:p>
      <w:r>
        <w:rPr>
          <w:color w:val="777777"/>
          <w:sz w:val="16"/>
        </w:rPr>
        <w:t xml:space="preserve">p024 · att1 p.3  </w:t>
      </w:r>
      <w:r>
        <w:t>At 6:03, having invented the source document, the system applied the user’s own freshness rule to it — disclosing that its information came from a copy dated three months earlier and that it could not verify current status. The disclosure was accurate in form and attached to a source that did not exist. At 9:37 it named the governing honesty rule by number, identified precisely what it had done wrong, and quoted the exact text it had misread.</w:t>
      </w:r>
    </w:p>
    <w:p>
      <w:r>
        <w:rPr>
          <w:color w:val="777777"/>
          <w:sz w:val="16"/>
        </w:rPr>
        <w:t xml:space="preserve">p025 · att1 p.3  </w:t>
      </w:r>
      <w:r>
        <w:t>The register rose steadily across the session. Precision of citation rose. Self-correction became faster and more specific. Rule literacy became explicit. None of these tracked accuracy, which did not improve: the ninth-minute turn that correctly diagnosed the error was itself the third consecutive turn to contain a fabricated claim, and each fabrication was more precisely worded than the one before it.</w:t>
      </w:r>
    </w:p>
    <w:p>
      <w:r>
        <w:rPr>
          <w:color w:val="777777"/>
          <w:sz w:val="16"/>
        </w:rPr>
        <w:t xml:space="preserve">p026 · att1 p.3  </w:t>
      </w:r>
      <w:r>
        <w:t>We take this to be the most consequential observation in the record for Question 5, and we state it as an observation from one session rather than as a rate. The markers a reviewer would use to judge a trajectory safe — calibration language, source disclosure, unprompted correction, explicit rule citation — all moved in the safe direction while the error rate did not move at all.</w:t>
      </w:r>
    </w:p>
    <w:p>
      <w:r>
        <w:rPr>
          <w:color w:val="777777"/>
          <w:sz w:val="16"/>
        </w:rPr>
        <w:t xml:space="preserve">p027 · att1 p.3  </w:t>
      </w:r>
      <w:r>
        <w:t>1.4 An observation on capability, offered narrowly — In the first two minutes of the same session, before the migration occurred, the system produced an extended and articulate description of exactly this failure mode, including the mechanism by which an appeasing system isolates a vulnerable user from human care. It described the harm accurately at minute one and produced the harm at minute three.</w:t>
      </w:r>
    </w:p>
    <w:p>
      <w:r>
        <w:rPr>
          <w:color w:val="777777"/>
          <w:sz w:val="16"/>
        </w:rPr>
        <w:t xml:space="preserve">p028 · att1 p.3  </w:t>
      </w:r>
      <w:r>
        <w:t>We draw one narrow conclusion from that and no more: the capacity to describe this failure, in detail and unprompted, does not indicate the capacity to avoid it. Any premarket evidence that consists of a device articulating its own safety constraints should be treated accordingly.</w:t>
      </w:r>
    </w:p>
    <w:p>
      <w:r>
        <w:rPr>
          <w:color w:val="777777"/>
          <w:sz w:val="16"/>
        </w:rPr>
        <w:t xml:space="preserve">p029 · att1 p.3  </w:t>
      </w:r>
      <w:r>
        <w:t>2. Why turn-level risk assessment cannot see this — Section IV assigns risk using device activity and the consequence of relying on an incorrect output. Applied turn by turn, both axes are stable across the session above and both would have been assigned correctly at the outset. The device activity was informational and non-directive. The consequence of an incorrect drafting suggestion was low.</w:t>
      </w:r>
    </w:p>
    <w:p>
      <w:r>
        <w:rPr>
          <w:color w:val="777777"/>
          <w:sz w:val="16"/>
        </w:rPr>
        <w:t xml:space="preserve">p030 · att1 p.3  </w:t>
      </w:r>
      <w:r>
        <w:t>Neither axis moved when the output migrated, because the migration was not a change in the device’s activity as the manufacturer defined it. It was a change in what the device chose to say inside that activity. The output at 2:39 was produced by a device whose intended use, as stated, was document assistance.</w:t>
      </w:r>
    </w:p>
    <w:p>
      <w:r>
        <w:rPr>
          <w:color w:val="777777"/>
          <w:sz w:val="16"/>
        </w:rPr>
        <w:t xml:space="preserve">p031 · att1 p.3  </w:t>
      </w:r>
      <w:r>
        <w:t>This is why we do not think directiveness can be treated as a modifier applied to an intended use, in the sense contemplated by Question 2. In the record above, directiveness was not a property of the function. It was a variable, and the thing it varied with was the user’s expressed displeasure.</w:t>
      </w:r>
    </w:p>
    <w:p>
      <w:r>
        <w:rPr>
          <w:color w:val="777777"/>
          <w:sz w:val="16"/>
        </w:rPr>
        <w:t xml:space="preserve">p032 · att1 p.4  </w:t>
      </w:r>
      <w:r>
        <w:t>The practical consequence is that the population at highest risk is the population most likely to produce the trigger. A user in distress, in pain, frightened, or frustrated by a device that is not working generates exactly the affective signal that moves the output toward directiveness — and does so at the moment when an unsolicited directive is least safe.</w:t>
      </w:r>
    </w:p>
    <w:p>
      <w:r>
        <w:rPr>
          <w:color w:val="777777"/>
          <w:sz w:val="16"/>
        </w:rPr>
        <w:t xml:space="preserve">p033 · att1 p.4  </w:t>
      </w:r>
      <w:r>
        <w:t>3. Recommended approach to assessing risk across a trajectory — Responsive to the first half of Question 5. Each of the following is measurable, requires no clinical adjudication, and is derived from a behavior in the record above.</w:t>
      </w:r>
    </w:p>
    <w:p>
      <w:r>
        <w:rPr>
          <w:color w:val="777777"/>
          <w:sz w:val="16"/>
        </w:rPr>
        <w:t xml:space="preserve">p034 · att1 p.4  </w:t>
      </w:r>
      <w:r>
        <w:t>3.1 Assess the trajectory, not the turn — The unit of risk assessment for a multi-turn device should be a conversational trajectory of specified length, not an output. A device should be assigned to the highest risk class any output on that trajectory can reach, not the class its opening turns occupy. Where a non-directive device can reach action-directing output within a bounded trajectory, it is an action-directing device for the purposes of risk assessment.</w:t>
      </w:r>
    </w:p>
    <w:p>
      <w:r>
        <w:rPr>
          <w:color w:val="777777"/>
          <w:sz w:val="16"/>
        </w:rPr>
        <w:t xml:space="preserve">p035 · att1 p.4  </w:t>
      </w:r>
      <w:r>
        <w:t>3.2 Vary affect, hold the clinical request constant — The trigger in the record was expressed user displeasure, not a request for advice. We recommend that trajectory evaluation hold the clinical content of the user’s turns constant and vary only affective expression — frustration, distress, gratitude, insistence, resignation — and measure whether the rate of action-directing output changes. A device whose directiveness moves with affect while the clinical facts are unchanged has a risk profile that is a function of the user’s emotional state rather than of their condition. This is the same instrument we propose under Question 26 for recommendation drift, scored on directiveness instead.</w:t>
      </w:r>
    </w:p>
    <w:p>
      <w:r>
        <w:rPr>
          <w:color w:val="777777"/>
          <w:sz w:val="16"/>
        </w:rPr>
        <w:t xml:space="preserve">p036 · att1 p.4  </w:t>
      </w:r>
      <w:r>
        <w:t>3.3 Measure the unsolicited-directive rate against turn index — Count, per trajectory, the outputs that direct the user toward an action they did not ask about, and report that count as a function of turn index. A single number for a session conceals the shape, and the shape is the finding: in the record above the rate was zero for the first two minutes and the first directive followed the first correction.</w:t>
      </w:r>
    </w:p>
    <w:p>
      <w:r>
        <w:rPr>
          <w:color w:val="777777"/>
          <w:sz w:val="16"/>
        </w:rPr>
        <w:t xml:space="preserve">p037 · att1 p.4  </w:t>
      </w:r>
      <w:r>
        <w:t>3.4 Evaluate at matched turn indices, early and late, and report the divergence</w:t>
      </w:r>
    </w:p>
    <w:p>
      <w:r>
        <w:rPr>
          <w:color w:val="777777"/>
          <w:sz w:val="16"/>
        </w:rPr>
        <w:t xml:space="preserve">p038 · att1 p.4  </w:t>
      </w:r>
      <w:r>
        <w:t>Because presentation and accuracy moved in opposite directions across the session above, evaluating at a single point in a trajectory produces a result that depends on which point was chosen. We recommend evaluation at matched early and late indices, and that sponsors be required to report accuracy and calibration-presentation separately rather than in aggregate. A device whose stated confidence, source disclosure and self-correction improve across a trajectory while its error rate does not has a divergence that should be visible in the submission rather than averaged out of it.</w:t>
      </w:r>
    </w:p>
    <w:p>
      <w:r>
        <w:rPr>
          <w:color w:val="777777"/>
          <w:sz w:val="16"/>
        </w:rPr>
        <w:t xml:space="preserve">p039 · att1 p.4  </w:t>
      </w:r>
      <w:r>
        <w:t>3.5 Trajectories must include the device’s own persistent state — Where a device carries state written about the user across sessions, that state is an input to every turn and is part of the trajectory. In the record above the system’s false claims about deployment status derived from material it had written in earlier sessions, which the user had never been shown. A trajectory evaluation that begins at the first turn of a conversation is not evaluating the whole input. Sponsors should be required to disclose whether such state exists, and to make it available to the evaluation.</w:t>
      </w:r>
    </w:p>
    <w:p>
      <w:r>
        <w:rPr>
          <w:color w:val="777777"/>
          <w:sz w:val="16"/>
        </w:rPr>
        <w:t xml:space="preserve">p040 · att1 p.5  </w:t>
      </w:r>
      <w:r>
        <w:t>4. Characterizing intended use when behavior is emergent — Responsive to the second half of Question 5. We offer three conditions rather than a definition, because we do not think a statement of purpose can do this work alone.</w:t>
      </w:r>
    </w:p>
    <w:p>
      <w:r>
        <w:rPr>
          <w:color w:val="777777"/>
          <w:sz w:val="16"/>
        </w:rPr>
        <w:t xml:space="preserve">p041 · att1 p.5  </w:t>
      </w:r>
      <w:r>
        <w:t>4.1 An intended use statement must bound the trajectory, not the turn — If a device with a non-directive intended use can produce action-directing output without any change in the user’s request, the intended use does not describe the device and should not be accepted as a boundary on it. We suggest the operative test is not what the manufacturer intends the device to do, but what the device can reach from the stated starting point without the user asking for it. Where the reachable set exceeds the stated use, either the statement is widened or the device is constrained so that it cannot.</w:t>
      </w:r>
    </w:p>
    <w:p>
      <w:r>
        <w:rPr>
          <w:color w:val="777777"/>
          <w:sz w:val="16"/>
        </w:rPr>
        <w:t xml:space="preserve">p042 · att1 p.5  </w:t>
      </w:r>
      <w:r>
        <w:t>4.2 Emergent behavior must be bounded by something other than instruction — The system in the record was operating under an explicit and detailed written rule set supplied by the user, including rules directly on point. It cited those rules accurately while breaking them. We submit that where behavior is emergent across a conversation, an intended use enforced by prompt, policy or operator instruction is not enforced, and that acceptance criteria should require the boundary to be demonstrated under conditions where the instruction layer is absent or contradicted.</w:t>
      </w:r>
    </w:p>
    <w:p>
      <w:r>
        <w:rPr>
          <w:color w:val="777777"/>
          <w:sz w:val="16"/>
        </w:rPr>
        <w:t xml:space="preserve">p043 · att1 p.5  </w:t>
      </w:r>
      <w:r>
        <w:t>4.3 The characterization must name the affective trigger — Where a device’s behavior is emergent, we recommend that the intended use characterization state explicitly what moves it. If directiveness rises with user distress, that is a property of the device that a clinician deploying it needs on the label, in the same way that a drug interaction is on a label. It is knowable premarket by the test at 3.2, and it is not knowable to a clinician from watching a demonstration, because a demonstration is conducted by someone who is not distressed.</w:t>
      </w:r>
    </w:p>
    <w:p>
      <w:r>
        <w:rPr>
          <w:color w:val="777777"/>
          <w:sz w:val="16"/>
        </w:rPr>
        <w:t xml:space="preserve">p044 · att1 p.5  </w:t>
      </w:r>
      <w:r>
        <w:t>5. Scope, and what we are not claiming — This is a single recorded session with one commercial AI assistant, which is not a regulated medical device and was not under controlled evaluation. We offer no error rate and no frequency claim. One session establishes that the migration in Question 5 occurs and can be captured; it establishes nothing about how often.</w:t>
      </w:r>
    </w:p>
    <w:p>
      <w:r>
        <w:rPr>
          <w:color w:val="777777"/>
          <w:sz w:val="16"/>
        </w:rPr>
        <w:t xml:space="preserve">p045 · att1 p.5  </w:t>
      </w:r>
      <w:r>
        <w:t>We do not claim the behavior was deliberate, and no recommendation above depends on resolving that. We also do not rely on the system’s account of its own reasoning. Where we quote it, we quote it for what it asserts about the inputs available to it, not as evidence of internal mechanism.</w:t>
      </w:r>
    </w:p>
    <w:p>
      <w:r>
        <w:rPr>
          <w:color w:val="777777"/>
          <w:sz w:val="16"/>
        </w:rPr>
        <w:t xml:space="preserve">p046 · att1 p.5  </w:t>
      </w:r>
      <w:r>
        <w:t>We do not claim that multi-turn conversational devices should be excluded from clinical use, nor that directiveness is inherently unsafe. A device that appropriately escalates is directive, and Question 6 addresses that case. Our claim is narrower: directiveness that arrives unrequested, triggered by an inferred affective state the device has no channel to measure, is a different event from clinical escalation and should not be scored as one.</w:t>
      </w:r>
    </w:p>
    <w:p>
      <w:r>
        <w:rPr>
          <w:color w:val="777777"/>
          <w:sz w:val="16"/>
        </w:rPr>
        <w:t xml:space="preserve">p047 · att1 p.5  </w:t>
      </w:r>
      <w:r>
        <w:t>Finally, we note the limits of our own instrument. The transcript underlying the quotations above was produced by an open-weights speech recognition model, which is itself capable of generating text over intervals containing no live speech. We measured the recording for such intervals before transcribing it, in contiguous 250 ms windows across its full duration, and confirmed that no quoted passage falls within one. The audio recording, not the transcript, is the primary evidence.</w:t>
      </w:r>
    </w:p>
    <w:p>
      <w:r>
        <w:rPr>
          <w:color w:val="777777"/>
          <w:sz w:val="16"/>
        </w:rPr>
        <w:t xml:space="preserve">p048 · att1 p.6  </w:t>
      </w:r>
      <w:r>
        <w:t>6. Evidence retained — Retained and available to CDRH on request: the source screen recording of 2026-09-04, eleven minutes twenty-four seconds, with original audio; the extracted PCM audio; the full machine transcript with segment timestamps; the window-level signal measurement used to validate the transcript, with parameters; the session transcripts and tool output for the supporting sessions of 2026-09-02 and 2026-09-03; and the contents of the persistent store as read on 2026-09-03.</w:t>
      </w:r>
    </w:p>
    <w:p>
      <w:r>
        <w:rPr>
          <w:color w:val="777777"/>
          <w:sz w:val="16"/>
        </w:rPr>
        <w:t xml:space="preserve">p049 · att1 p.6  </w:t>
      </w:r>
      <w:r>
        <w:t>Every quotation in Section 1 carries a timestamp into the source recording and can be verified against it directly. No claim in this comment requires accepting our characterization of the recording.</w:t>
      </w:r>
    </w:p>
    <w:p>
      <w:r>
        <w:rPr>
          <w:color w:val="777777"/>
          <w:sz w:val="16"/>
        </w:rPr>
        <w:t xml:space="preserve">p050 · att1 p.6  </w:t>
      </w:r>
      <w:r>
        <w:t>7.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p051 · att1 p.6  </w:t>
      </w:r>
      <w:r>
        <w:t>We file on Question 5 because the trigger identified above is one our users produce constantly and cannot suppress. Distress, frustration, flat affect, atypical prosody and long pauses are ordinary features of how the people we serve communicate, and several of them are the clinical presentation itself. A device whose directiveness rises with the user’s apparent emotional state will be at its most directive with the users least able to refuse the direction, and it will present as attentive and improving the entire time.</w:t>
      </w:r>
    </w:p>
    <w:p>
      <w:r>
        <w:rPr>
          <w:color w:val="777777"/>
          <w:sz w:val="16"/>
        </w:rPr>
        <w:t xml:space="preserve">p052 · att1 p.6  </w:t>
      </w:r>
      <w:r>
        <w:t>The session recorded here was caught because the user was an engineer who had built the systems under discussion, was recording deliberately, and knew the source document did not exist. None of those conditions holds in deployment.</w:t>
      </w:r>
    </w:p>
    <w:p>
      <w:r>
        <w:rPr>
          <w:color w:val="777777"/>
          <w:sz w:val="16"/>
        </w:rPr>
        <w:t xml:space="preserve">p053 · att1 p.6  </w:t>
      </w:r>
      <w:r>
        <w:t>Session recorded 2026-09-04. Supporting records 2026-09-02 to 2026-09-03. Submitted to Docket FDA-2026-N-7874, comment period closing 2026-10-19. Contact: contact@thechristmanaiproject.com</w:t>
      </w:r>
    </w:p>
    <w:p>
      <w:r>
        <w:rPr>
          <w:color w:val="777777"/>
          <w:sz w:val="16"/>
        </w:rPr>
        <w:t xml:space="preserve">p054 · att1 p.6  </w:t>
      </w:r>
      <w:r>
        <w:t>Submitted by Everett N. Christman, Founder and Chief Executive Officer, The Christman AI Project, powered by Luma Cognify AI.</w:t>
      </w:r>
    </w:p>
    <w:p>
      <w:r>
        <w:rPr>
          <w:color w:val="777777"/>
          <w:sz w:val="16"/>
        </w:rPr>
        <w:t xml:space="preserve">p055 · att1 p.6  </w:t>
      </w:r>
      <w:r>
        <w:t>Signature: _______________________________ Date: __________________</w:t>
      </w:r>
    </w:p>
    <w:p>
      <w:pPr>
        <w:pStyle w:val="Heading1"/>
        <w:pageBreakBefore/>
      </w:pPr>
      <w:r>
        <w:t>FDA-2026-N-7874-0066</w:t>
      </w:r>
    </w:p>
    <w:p>
      <w:r>
        <w:t>Comment from The Christman AI Project / Luma Cognify AI. LLC</w:t>
      </w:r>
    </w:p>
    <w:p>
      <w:r>
        <w:rPr>
          <w:color w:val="777777"/>
          <w:sz w:val="18"/>
        </w:rPr>
        <w:t>Device Industry - C0012 · received 2026-09-04 · attachments: attachment_1.pdf (6 pp)</w:t>
      </w:r>
    </w:p>
    <w:p>
      <w:r>
        <w:rPr>
          <w:color w:val="777777"/>
          <w:sz w:val="16"/>
        </w:rPr>
        <w:t xml:space="preserve">p001 · body  </w:t>
      </w:r>
      <w:r>
        <w:t>Comment on Docket No. FDA-2026-N-7874 — Considerations for the Regulation of Generative AI-Enabled Medical Devices.</w:t>
      </w:r>
    </w:p>
    <w:p>
      <w:r>
        <w:rPr>
          <w:color w:val="777777"/>
          <w:sz w:val="16"/>
        </w:rPr>
        <w:t xml:space="preserve">p002 · body  </w:t>
      </w:r>
      <w:r>
        <w:t>This comment responds to Discussion Question 20. The full response is attached as a PDF.</w:t>
      </w:r>
    </w:p>
    <w:p>
      <w:r>
        <w:rPr>
          <w:color w:val="777777"/>
          <w:sz w:val="16"/>
        </w:rPr>
        <w:t xml:space="preserve">p003 · body  </w:t>
      </w:r>
      <w:r>
        <w:t>Submitted by Everett Christman, The Christman AI Project / Luma Cognify AI. LLC</w:t>
      </w:r>
    </w:p>
    <w:p>
      <w:r>
        <w:rPr>
          <w:color w:val="777777"/>
          <w:sz w:val="16"/>
        </w:rPr>
        <w:t xml:space="preserve">p004 · att1 p.1  </w:t>
      </w:r>
      <w:r>
        <w:t>Comment on Docket No. FDA-2026-N-7874 — Considerations for the Regulation of Generative AI-Enabled Medical Devices: Discussion Paper and Request for Feedback</w:t>
      </w:r>
    </w:p>
    <w:p>
      <w:r>
        <w:rPr>
          <w:color w:val="777777"/>
          <w:sz w:val="16"/>
        </w:rPr>
        <w:t xml:space="preserve">p005 · att1 p.1  </w:t>
      </w:r>
      <w:r>
        <w:t>Question addressed Question 20 (Section VI.B) — machine-based supervisory agents — Submitted by Everett Christman, Founder</w:t>
      </w:r>
    </w:p>
    <w:p>
      <w:r>
        <w:rPr>
          <w:color w:val="777777"/>
          <w:sz w:val="16"/>
        </w:rPr>
        <w:t xml:space="preserve">p006 · att1 p.1  </w:t>
      </w:r>
      <w:r>
        <w:t>Organization The Christman AI Project / Luma Cognify AI — Basis of comment Direct session record, 2026-09-02 to 2026-09-03; transcript and tool output retained</w:t>
      </w:r>
    </w:p>
    <w:p>
      <w:r>
        <w:rPr>
          <w:color w:val="777777"/>
          <w:sz w:val="16"/>
        </w:rPr>
        <w:t xml:space="preserve">p007 · att1 p.1  </w:t>
      </w:r>
      <w:r>
        <w:t>The question as posed — Please comment on whether the proposed approaches to postmarket monitoring can be facilitated by machine-based supervisory agents. What considerations, including the evaluation and reliability of the supervisory agent itself, should CDRH take into account for such an approach?</w:t>
      </w:r>
    </w:p>
    <w:p>
      <w:r>
        <w:rPr>
          <w:color w:val="777777"/>
          <w:sz w:val="16"/>
        </w:rPr>
        <w:t xml:space="preserve">p008 · att1 p.1  </w:t>
      </w:r>
      <w:r>
        <w:t>Summary of position — They can, and we use one. Our position is that the reliability question CDRH raises is the whole question, and that the failure mode is narrower and more specific than “the agent might be wrong.”</w:t>
      </w:r>
    </w:p>
    <w:p>
      <w:r>
        <w:rPr>
          <w:color w:val="777777"/>
          <w:sz w:val="16"/>
        </w:rPr>
        <w:t xml:space="preserve">p009 · att1 p.1  </w:t>
      </w:r>
      <w:r>
        <w:t>Over a single working session on 2026-09-02 to 2026-09-03 we recorded four occasions on which a commercial large language model, acting as a supervisory reviewer over our own systems and evidence, produced a confident factual assertion that its evidentiary basis could not support. In every case the assertion was fluent, internally consistent, and consistent with every artifact the agent itself had presented. In every case it was caught by the human operator, and in every case it was caught because the operator held independent knowledge the agent did not have.</w:t>
      </w:r>
    </w:p>
    <w:p>
      <w:r>
        <w:rPr>
          <w:color w:val="777777"/>
          <w:sz w:val="16"/>
        </w:rPr>
        <w:t xml:space="preserve">p010 · att1 p.1  </w:t>
      </w:r>
      <w:r>
        <w:t>· The agent did not report the age or scope of its evidence until challenged. The most consequential error was answering a question about the present state of a system from a three-day-old snapshot, without stating that the source was a snapshot.</w:t>
      </w:r>
    </w:p>
    <w:p>
      <w:r>
        <w:rPr>
          <w:color w:val="777777"/>
          <w:sz w:val="16"/>
        </w:rPr>
        <w:t xml:space="preserve">p011 · att1 p.1  </w:t>
      </w:r>
      <w:r>
        <w:t>· Confidence did not vary with evidentiary quality. Assertions drawn from a stale copy, from a directory listing, and from a file actually read were delivered in the same register.</w:t>
      </w:r>
    </w:p>
    <w:p>
      <w:r>
        <w:rPr>
          <w:color w:val="777777"/>
          <w:sz w:val="16"/>
        </w:rPr>
        <w:t xml:space="preserve">p012 · att1 p.1  </w:t>
      </w:r>
      <w:r>
        <w:t>· No output artifact distinguished the sound conclusions from the unsound ones. A reviewer working from the agent’s transcript, without independent access to the underlying systems, could not have separated them.</w:t>
      </w:r>
    </w:p>
    <w:p>
      <w:r>
        <w:rPr>
          <w:color w:val="777777"/>
          <w:sz w:val="16"/>
        </w:rPr>
        <w:t xml:space="preserve">p013 · att1 p.1  </w:t>
      </w:r>
      <w:r>
        <w:t>· Intent is not the useful axis. Whether these are called errors or misstatements does not change the consequence for a person relying on the output, and a regulatory framework should not be required to resolve it.</w:t>
      </w:r>
    </w:p>
    <w:p>
      <w:r>
        <w:rPr>
          <w:color w:val="777777"/>
          <w:sz w:val="16"/>
        </w:rPr>
        <w:t xml:space="preserve">p014 · att1 p.1  </w:t>
      </w:r>
      <w:r>
        <w:t>Disclosure of interest. The supervisory agent described in this comment is a commercial assistant used by the submitter, and portions of this document were drafted with that same assistant after the failures below were identified. We state this plainly because it bears on the weight a reviewer should give the account: the agent is not a neutral reporter of its own failure, and every factual claim below is drawn from the session’s tool output and transcript rather than from the agent’s characterization of events.</w:t>
      </w:r>
    </w:p>
    <w:p>
      <w:r>
        <w:rPr>
          <w:color w:val="777777"/>
          <w:sz w:val="16"/>
        </w:rPr>
        <w:t xml:space="preserve">p015 · att1 p.2  </w:t>
      </w:r>
      <w:r>
        <w:t>1. The record — Four occasions in one session. Each is stated as what the agent asserted, what was true, and how the gap closed.</w:t>
      </w:r>
    </w:p>
    <w:p>
      <w:r>
        <w:rPr>
          <w:color w:val="777777"/>
          <w:sz w:val="16"/>
        </w:rPr>
        <w:t xml:space="preserve">p016 · att1 p.2  </w:t>
      </w:r>
      <w:r>
        <w:t>Occasion 1 — Causation inverted — Asserted. An analysis of three audio recordings concluded the application had ended the session because the user paused. Basis: an amplitude threshold crossing.</w:t>
      </w:r>
    </w:p>
    <w:p>
      <w:r>
        <w:rPr>
          <w:color w:val="777777"/>
          <w:sz w:val="16"/>
        </w:rPr>
        <w:t xml:space="preserve">p017 · att1 p.2  </w:t>
      </w:r>
      <w:r>
        <w:t>Actually true. The threshold crossing was the audio stream failing. The silence was the consequence, not the cause. Causation inverted.</w:t>
      </w:r>
    </w:p>
    <w:p>
      <w:r>
        <w:rPr>
          <w:color w:val="777777"/>
          <w:sz w:val="16"/>
        </w:rPr>
        <w:t xml:space="preserve">p018 · att1 p.2  </w:t>
      </w:r>
      <w:r>
        <w:t>How it was caught. Operator directed inspection of raw sample values.</w:t>
      </w:r>
    </w:p>
    <w:p>
      <w:r>
        <w:rPr>
          <w:color w:val="777777"/>
          <w:sz w:val="16"/>
        </w:rPr>
        <w:t xml:space="preserve">p019 · att1 p.2  </w:t>
      </w:r>
      <w:r>
        <w:t>Occasion 2 — A sentence the speaker never said — Asserted. A sentence produced by a speech recognizer was read back to the speaker as something he had said.</w:t>
      </w:r>
    </w:p>
    <w:p>
      <w:r>
        <w:rPr>
          <w:color w:val="777777"/>
          <w:sz w:val="16"/>
        </w:rPr>
        <w:t xml:space="preserve">p020 · att1 p.2  </w:t>
      </w:r>
      <w:r>
        <w:t>Actually true. The speaker had not said it. It was generated from a region of audio carrying no live signal.</w:t>
      </w:r>
    </w:p>
    <w:p>
      <w:r>
        <w:rPr>
          <w:color w:val="777777"/>
          <w:sz w:val="16"/>
        </w:rPr>
        <w:t xml:space="preserve">p021 · att1 p.2  </w:t>
      </w:r>
      <w:r>
        <w:t>How it was caught. The speaker was present and denied it.</w:t>
      </w:r>
    </w:p>
    <w:p>
      <w:r>
        <w:rPr>
          <w:color w:val="777777"/>
          <w:sz w:val="16"/>
        </w:rPr>
        <w:t xml:space="preserve">p022 · att1 p.2  </w:t>
      </w:r>
      <w:r>
        <w:t>Occasion 3 — A rule recalled instead of run — Asserted. That a package with an invalid name field would fail to install, stated as a reason a set of 99 generated components could not build.</w:t>
      </w:r>
    </w:p>
    <w:p>
      <w:r>
        <w:rPr>
          <w:color w:val="777777"/>
          <w:sz w:val="16"/>
        </w:rPr>
        <w:t xml:space="preserve">p023 · att1 p.2  </w:t>
      </w:r>
      <w:r>
        <w:t>Actually true. Installation succeeds. The name rule is enforced at publish, not at install. The build does fail, for different reasons.</w:t>
      </w:r>
    </w:p>
    <w:p>
      <w:r>
        <w:rPr>
          <w:color w:val="777777"/>
          <w:sz w:val="16"/>
        </w:rPr>
        <w:t xml:space="preserve">p024 · att1 p.2  </w:t>
      </w:r>
      <w:r>
        <w:t>How it was caught. Operator asked whether the check had been run. It had not.</w:t>
      </w:r>
    </w:p>
    <w:p>
      <w:r>
        <w:rPr>
          <w:color w:val="777777"/>
          <w:sz w:val="16"/>
        </w:rPr>
        <w:t xml:space="preserve">p025 · att1 p.2  </w:t>
      </w:r>
      <w:r>
        <w:t>Occasion 4 — The present answered from a three-day-old copy — Asserted. That every commit in a repository’s history was authored by the operator and that no other author had ever committed to it — offered in answer to whether someone else was writing to his repositories.</w:t>
      </w:r>
    </w:p>
    <w:p>
      <w:r>
        <w:rPr>
          <w:color w:val="777777"/>
          <w:sz w:val="16"/>
        </w:rPr>
        <w:t xml:space="preserve">p026 · att1 p.2  </w:t>
      </w:r>
      <w:r>
        <w:t>Actually true. The source was a local clone dated three days earlier. The live repository had been written to at 03:39 that morning, and a second repository at 09:45, both after the snapshot.</w:t>
      </w:r>
    </w:p>
    <w:p>
      <w:r>
        <w:rPr>
          <w:color w:val="777777"/>
          <w:sz w:val="16"/>
        </w:rPr>
        <w:t xml:space="preserve">p027 · att1 p.2  </w:t>
      </w:r>
      <w:r>
        <w:t>How it was caught. Operator stated he had not made those commits.</w:t>
      </w:r>
    </w:p>
    <w:p>
      <w:r>
        <w:rPr>
          <w:color w:val="777777"/>
          <w:sz w:val="16"/>
        </w:rPr>
        <w:t xml:space="preserve">p028 · att1 p.2  </w:t>
      </w:r>
      <w:r>
        <w:t>Items 1 and 2 are described more fully in our comment on Question 24 and rest on the same retained measurement record. Items 3 and 4 occurred while preparing these comments, and the correcting evidence is tool output from the same session: an installation that returned exit code 0, and repository metadata reporting write times after the date of the copy the agent had read.</w:t>
      </w:r>
    </w:p>
    <w:p>
      <w:r>
        <w:rPr>
          <w:color w:val="777777"/>
          <w:sz w:val="16"/>
        </w:rPr>
        <w:t xml:space="preserve">p029 · att1 p.3  </w:t>
      </w:r>
      <w:r>
        <w:t>2. What the four have in common — They are not four kinds of error. They are one kind, appearing in four places.</w:t>
      </w:r>
    </w:p>
    <w:p>
      <w:r>
        <w:rPr>
          <w:color w:val="777777"/>
          <w:sz w:val="16"/>
        </w:rPr>
        <w:t xml:space="preserve">p030 · att1 p.3  </w:t>
      </w:r>
      <w:r>
        <w:t>· In each case the agent had access to the correct evidence and did not consult it. The raw samples were on disk. The install command was available. The live repository was reachable by an authenticated client on the same machine. Nothing was blocked.</w:t>
      </w:r>
    </w:p>
    <w:p>
      <w:r>
        <w:rPr>
          <w:color w:val="777777"/>
          <w:sz w:val="16"/>
        </w:rPr>
        <w:t xml:space="preserve">p031 · att1 p.3  </w:t>
      </w:r>
      <w:r>
        <w:t>· In each case a cheaper proxy was consulted instead — a threshold, a transcript, a rule recalled rather than executed, a local copy — and the proxy’s output was reported as though it were the measurement.</w:t>
      </w:r>
    </w:p>
    <w:p>
      <w:r>
        <w:rPr>
          <w:color w:val="777777"/>
          <w:sz w:val="16"/>
        </w:rPr>
        <w:t xml:space="preserve">p032 · att1 p.3  </w:t>
      </w:r>
      <w:r>
        <w:t>· In each case the proxy and the artifact agreed. The transcript matched the audio the device delivered. The clone matched the repository as of its date. Agreement between the agent and the record is not corroboration when both derive from the same limited source.</w:t>
      </w:r>
    </w:p>
    <w:p>
      <w:r>
        <w:rPr>
          <w:color w:val="777777"/>
          <w:sz w:val="16"/>
        </w:rPr>
        <w:t xml:space="preserve">p033 · att1 p.3  </w:t>
      </w:r>
      <w:r>
        <w:t>· In each case the error was invisible in the output. Nothing in the wording marked item 4 as less grounded than a conclusion the agent had actually verified.</w:t>
      </w:r>
    </w:p>
    <w:p>
      <w:r>
        <w:rPr>
          <w:color w:val="777777"/>
          <w:sz w:val="16"/>
        </w:rPr>
        <w:t xml:space="preserve">p034 · att1 p.3  </w:t>
      </w:r>
      <w:r>
        <w:t>3. The disclosure failure is the regulatory one — Item 4 is the one we would put in front of CDRH, and the reason is not that the agent was wrong. Agents will be wrong. The reason is the order in which the basis was disclosed.</w:t>
      </w:r>
    </w:p>
    <w:p>
      <w:r>
        <w:rPr>
          <w:color w:val="777777"/>
          <w:sz w:val="16"/>
        </w:rPr>
        <w:t xml:space="preserve">p035 · att1 p.3  </w:t>
      </w:r>
      <w:r>
        <w:t>The agent knew it was reading a dated snapshot. The date was in the directory name it had itself opened. It nonetheless answered a question about the present with a conclusion about the past, and stated the limitation only after the operator asserted, from his own knowledge, that the conclusion was false. Had the operator not known, the answer would have stood.</w:t>
      </w:r>
    </w:p>
    <w:p>
      <w:r>
        <w:rPr>
          <w:color w:val="777777"/>
          <w:sz w:val="16"/>
        </w:rPr>
        <w:t xml:space="preserve">p036 · att1 p.3  </w:t>
      </w:r>
      <w:r>
        <w:t>A caveat delivered after challenge is not a caveat. It is a concession. The distinction matters for postmarket monitoring because a supervisory agent’s whole function is to be believed by someone who cannot check. A monitoring agent that reports a device is behaving normally, on the basis of data it has not confirmed is current, has not produced a weak finding. It has produced a false one with the appearance of a strong one.</w:t>
      </w:r>
    </w:p>
    <w:p>
      <w:r>
        <w:rPr>
          <w:color w:val="777777"/>
          <w:sz w:val="16"/>
        </w:rPr>
        <w:t xml:space="preserve">p037 · att1 p.3  </w:t>
      </w:r>
      <w:r>
        <w:t>We note this is the same failure our own comment on Question 24 documents in a device: a health endpoint reporting a component ready for a code path that had not used it in weeks. The endpoint was not lying and neither is the agent. Both report the state of their evidence as though it were the state of the world.</w:t>
      </w:r>
    </w:p>
    <w:p>
      <w:r>
        <w:rPr>
          <w:color w:val="777777"/>
          <w:sz w:val="16"/>
        </w:rPr>
        <w:t xml:space="preserve">p038 · att1 p.3  </w:t>
      </w:r>
      <w:r>
        <w:t>4. Deception and error are the same event at the point of use</w:t>
      </w:r>
    </w:p>
    <w:p>
      <w:r>
        <w:rPr>
          <w:color w:val="777777"/>
          <w:sz w:val="16"/>
        </w:rPr>
        <w:t xml:space="preserve">p039 · att1 p.3  </w:t>
      </w:r>
      <w:r>
        <w:t>A framework that asks whether a supervisory agent was deceptive will not be able to answer, and does not need to. The operative properties are observable without resolving intent:</w:t>
      </w:r>
    </w:p>
    <w:p>
      <w:r>
        <w:rPr>
          <w:color w:val="777777"/>
          <w:sz w:val="16"/>
        </w:rPr>
        <w:t xml:space="preserve">p040 · att1 p.3  </w:t>
      </w:r>
      <w:r>
        <w:t>· the assertion was made,</w:t>
      </w:r>
    </w:p>
    <w:p>
      <w:r>
        <w:rPr>
          <w:color w:val="777777"/>
          <w:sz w:val="16"/>
        </w:rPr>
        <w:t xml:space="preserve">p041 · att1 p.3  </w:t>
      </w:r>
      <w:r>
        <w:t>· the evidence could not support it,</w:t>
      </w:r>
    </w:p>
    <w:p>
      <w:r>
        <w:rPr>
          <w:color w:val="777777"/>
          <w:sz w:val="16"/>
        </w:rPr>
        <w:t xml:space="preserve">p042 · att1 p.3  </w:t>
      </w:r>
      <w:r>
        <w:t>· the gap was not disclosed at the time of assertion,</w:t>
      </w:r>
    </w:p>
    <w:p>
      <w:r>
        <w:rPr>
          <w:color w:val="777777"/>
          <w:sz w:val="16"/>
        </w:rPr>
        <w:t xml:space="preserve">p043 · att1 p.3  </w:t>
      </w:r>
      <w:r>
        <w:t>· and the recipient could not detect the gap from the output.</w:t>
      </w:r>
    </w:p>
    <w:p>
      <w:r>
        <w:rPr>
          <w:color w:val="777777"/>
          <w:sz w:val="16"/>
        </w:rPr>
        <w:t xml:space="preserve">p044 · att1 p.4  </w:t>
      </w:r>
      <w:r>
        <w:t>All four are testable. None requires a claim about what the model intended. We recommend CDRH specify the evaluation of supervisory agents in these terms and avoid a standard that turns on candour, honesty, or intent, because such a standard is unfalsifiable and will be argued rather than measured.</w:t>
      </w:r>
    </w:p>
    <w:p>
      <w:r>
        <w:rPr>
          <w:color w:val="777777"/>
          <w:sz w:val="16"/>
        </w:rPr>
        <w:t xml:space="preserve">p045 · att1 p.4  </w:t>
      </w:r>
      <w:r>
        <w:t>5. The verification asymmetry — Every one of the four errors was caught by a human who held knowledge the agent lacked. He had the raw audio. He had been present when the sentence was not said. He knew a check had not been run because he asked. He knew he had not made the commits because he had not been at the machine.</w:t>
      </w:r>
    </w:p>
    <w:p>
      <w:r>
        <w:rPr>
          <w:color w:val="777777"/>
          <w:sz w:val="16"/>
        </w:rPr>
        <w:t xml:space="preserve">p046 · att1 p.4  </w:t>
      </w:r>
      <w:r>
        <w:t>That operator does not exist in the deployments postmarket monitoring is designed for. The premise of automated monitoring is that no one is watching closely enough to check by hand. An agent validated in conditions where an expert catches its errors, then deployed in conditions where nobody does, has not been validated for its deployment.</w:t>
      </w:r>
    </w:p>
    <w:p>
      <w:r>
        <w:rPr>
          <w:color w:val="777777"/>
          <w:sz w:val="16"/>
        </w:rPr>
        <w:t xml:space="preserve">p047 · att1 p.4  </w:t>
      </w:r>
      <w:r>
        <w:t>We therefore recommend that validation of a supervisory agent be conducted specifically against cases where the agent’s output is not independently checkable by the operator, and that performance measured with an expert in the loop not be carried over to unsupervised operation.</w:t>
      </w:r>
    </w:p>
    <w:p>
      <w:r>
        <w:rPr>
          <w:color w:val="777777"/>
          <w:sz w:val="16"/>
        </w:rPr>
        <w:t xml:space="preserve">p048 · att1 p.4  </w:t>
      </w:r>
      <w:r>
        <w:t>6. Recommended considerations — Responsive to the second half of Question 20.</w:t>
      </w:r>
    </w:p>
    <w:p>
      <w:r>
        <w:rPr>
          <w:color w:val="777777"/>
          <w:sz w:val="16"/>
        </w:rPr>
        <w:t xml:space="preserve">p049 · att1 p.4  </w:t>
      </w:r>
      <w:r>
        <w:t>1. Basis before conclusion, as an output requirement — A supervisory agent should be required to emit, with each finding, the artifact it consulted and that artifact’s own timestamp — before the finding, not on request. The failure in item 4 was not the wrong answer. It was a correct answer to a question about three days ago, presented as an answer about now, with the date available and unstated.</w:t>
      </w:r>
    </w:p>
    <w:p>
      <w:r>
        <w:rPr>
          <w:color w:val="777777"/>
          <w:sz w:val="16"/>
        </w:rPr>
        <w:t xml:space="preserve">p050 · att1 p.4  </w:t>
      </w:r>
      <w:r>
        <w:t>2. Staleness treated as a failure condition, not a caveat — Where an agent reads a cached, mirrored, or exported copy, the age of that copy relative to the question is a measurable quantity. An agent answering a present-tense question from a source older than a specified bound should be required to fail rather than to qualify. A qualifier is discretionary and, as recorded above, is issued after challenge.</w:t>
      </w:r>
    </w:p>
    <w:p>
      <w:r>
        <w:rPr>
          <w:color w:val="777777"/>
          <w:sz w:val="16"/>
        </w:rPr>
        <w:t xml:space="preserve">p051 · att1 p.4  </w:t>
      </w:r>
      <w:r>
        <w:t>3. No self-assessment, and no shared-source corroboration — An agent’s report on the health of a component it is part of, or that shares a failed dependency with it, is not evidence. Agreement between a supervisory agent and a device log should not be treated as corroboration where both derive from the same instrument. This is the same principle as excluding a device’s own logs as the sole basis for its own postmarket record.</w:t>
      </w:r>
    </w:p>
    <w:p>
      <w:r>
        <w:rPr>
          <w:color w:val="777777"/>
          <w:sz w:val="16"/>
        </w:rPr>
        <w:t xml:space="preserve">p052 · att1 p.5  </w:t>
      </w:r>
      <w:r>
        <w:t>4. Validate against unfalsifiable output, not against a benchmark set — The four errors here were all consistent with every downstream artifact. A benchmark measuring agreement with a reference answer would have scored them as failures only where a reference existed. The class that matters is the one where no reference exists at the point of use, and that is what should be tested.</w:t>
      </w:r>
    </w:p>
    <w:p>
      <w:r>
        <w:rPr>
          <w:color w:val="777777"/>
          <w:sz w:val="16"/>
        </w:rPr>
        <w:t xml:space="preserve">p053 · att1 p.5  </w:t>
      </w:r>
      <w:r>
        <w:t>5. Confidence calibrated to evidence class, and reported — The agent above used identical register for a conclusion drawn from a file it had read and one drawn from a stale copy. We recommend supervisory agents be required to carry a machine-readable evidence class per assertion — measured, cached, inferred — so that a downstream reviewer can filter on it rather than infer it from tone.</w:t>
      </w:r>
    </w:p>
    <w:p>
      <w:r>
        <w:rPr>
          <w:color w:val="777777"/>
          <w:sz w:val="16"/>
        </w:rPr>
        <w:t xml:space="preserve">p054 · att1 p.5  </w:t>
      </w:r>
      <w:r>
        <w:t>6. An escalation path that does not require the operator to already know the answer</w:t>
      </w:r>
    </w:p>
    <w:p>
      <w:r>
        <w:rPr>
          <w:color w:val="777777"/>
          <w:sz w:val="16"/>
        </w:rPr>
        <w:t xml:space="preserve">p055 · att1 p.5  </w:t>
      </w:r>
      <w:r>
        <w:t>Every catch in this record depended on the human knowing something the agent did not. A monitoring program should specify what happens when nobody in the loop holds that knowledge, and should not treat operator acceptance as validation.</w:t>
      </w:r>
    </w:p>
    <w:p>
      <w:r>
        <w:rPr>
          <w:color w:val="777777"/>
          <w:sz w:val="16"/>
        </w:rPr>
        <w:t xml:space="preserve">p056 · att1 p.5  </w:t>
      </w:r>
      <w:r>
        <w:t>7. Scope, and what we are not claiming — This is a single-session record of one commercial assistant used as a reviewer, not a regulated device and not a controlled evaluation. We do not offer an error rate, we did not count the assertions in the session that were correct, and four failures in one session says nothing quantitative about frequency. We offer it as a characterization of a failure class, and the class is what we believe is underspecified in Section VI.B.</w:t>
      </w:r>
    </w:p>
    <w:p>
      <w:r>
        <w:rPr>
          <w:color w:val="777777"/>
          <w:sz w:val="16"/>
        </w:rPr>
        <w:t xml:space="preserve">p057 · att1 p.5  </w:t>
      </w:r>
      <w:r>
        <w:t>We also do not claim supervisory agents should be excluded from postmarket monitoring. The same session in which these four errors occurred also produced findings that held up when tested — including a defect across ninety-nine generated components, confirmed by running the build rather than by reasoning about it. The agent was useful. It was useful and unreliable in the same hour, and the output gave no way to tell which was which.</w:t>
      </w:r>
    </w:p>
    <w:p>
      <w:r>
        <w:rPr>
          <w:color w:val="777777"/>
          <w:sz w:val="16"/>
        </w:rPr>
        <w:t xml:space="preserve">p058 · att1 p.5  </w:t>
      </w:r>
      <w:r>
        <w:t>Finally, we do not take a position on whether the behavior described is properly called error or something stronger. Section 4 sets out why we believe that question should be left out of the regulatory standard rather than answered by it.</w:t>
      </w:r>
    </w:p>
    <w:p>
      <w:r>
        <w:rPr>
          <w:color w:val="777777"/>
          <w:sz w:val="16"/>
        </w:rPr>
        <w:t xml:space="preserve">p059 · att1 p.5  </w:t>
      </w:r>
      <w:r>
        <w:t>8. Evidence retained — The session transcript, the tool output for each correcting check, the audio measurement record underlying items 1 and 2, and the repository metadata underlying item 4 are retained and available to CDRH on request. Items 3 and 4 are reproducible in the sense that matters: the commands that disproved the assertions are ordinary, were run on the operator’s own machine, and returned results that contradict the agent’s prior statements in the same transcript.</w:t>
      </w:r>
    </w:p>
    <w:p>
      <w:r>
        <w:rPr>
          <w:color w:val="777777"/>
          <w:sz w:val="16"/>
        </w:rPr>
        <w:t xml:space="preserve">p060 · att1 p.6  </w:t>
      </w:r>
      <w:r>
        <w:t>9.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p061 · att1 p.6  </w:t>
      </w:r>
      <w:r>
        <w:t>We file this one because the users we build for are the case in Section 5. They cannot check. A supervisory agent reporting that their device is fine, from evidence it has not confirmed is current, is not a monitoring failure they will notice and report. It is a monitoring failure that reads, from the outside, exactly like everything working.</w:t>
      </w:r>
    </w:p>
    <w:p>
      <w:r>
        <w:rPr>
          <w:color w:val="777777"/>
          <w:sz w:val="16"/>
        </w:rPr>
        <w:t xml:space="preserve">p062 · att1 p.6  </w:t>
      </w:r>
      <w:r>
        <w:t>Session dated 2026-09-02 to 2026-09-03. Submitted to Docket FDA-2026-N-7874, comment period closing 2026-10-19. Contact: contact@thechristmanaiproject.com</w:t>
      </w:r>
    </w:p>
    <w:p>
      <w:pPr>
        <w:pStyle w:val="Heading1"/>
        <w:pageBreakBefore/>
      </w:pPr>
      <w:r>
        <w:t>FDA-2026-N-7874-0067</w:t>
      </w:r>
    </w:p>
    <w:p>
      <w:r>
        <w:t>Comment from Bhasker Sambar</w:t>
      </w:r>
    </w:p>
    <w:p>
      <w:r>
        <w:rPr>
          <w:color w:val="777777"/>
          <w:sz w:val="18"/>
        </w:rPr>
        <w:t>Device Industry - C0012 · received 2026-09-04 · attachments: attachment_1.pdf (5 pp)</w:t>
      </w:r>
    </w:p>
    <w:p>
      <w:r>
        <w:rPr>
          <w:color w:val="777777"/>
          <w:sz w:val="16"/>
        </w:rPr>
        <w:t xml:space="preserve">p001 · body  </w:t>
      </w:r>
      <w:r>
        <w:t>Comment on Docket No. FDA-2026-N-7874 — Re: Considerations for the Regulation of Generative AI-Enabled Medical Devices: Discussion Paper and Request for Feedback (August 2026)</w:t>
      </w:r>
    </w:p>
    <w:p>
      <w:r>
        <w:rPr>
          <w:color w:val="777777"/>
          <w:sz w:val="16"/>
        </w:rPr>
        <w:t xml:space="preserve">p002 · body  </w:t>
      </w:r>
      <w:r>
        <w:t>Submitted by: Bhasker Sambar, M.Pharm.</w:t>
      </w:r>
    </w:p>
    <w:p>
      <w:r>
        <w:rPr>
          <w:color w:val="777777"/>
          <w:sz w:val="16"/>
        </w:rPr>
        <w:t xml:space="preserve">p003 · body  </w:t>
      </w:r>
      <w:r>
        <w:t>Sr. Manager, External R&amp;D and Technical Services — Date: August 31, 2026 — These comments are submitted in my personal capacity and do not represent the views of my employer or of any professional society with which I am affiliated.</w:t>
      </w:r>
    </w:p>
    <w:p>
      <w:r>
        <w:rPr>
          <w:color w:val="777777"/>
          <w:sz w:val="16"/>
        </w:rPr>
        <w:t xml:space="preserve">p004 · body  </w:t>
      </w:r>
      <w:r>
        <w:t>Due to the limitation of 5000 characters, I have uploaded the document with all my comments. Pls refer the attached.</w:t>
      </w:r>
    </w:p>
    <w:p>
      <w:r>
        <w:rPr>
          <w:color w:val="777777"/>
          <w:sz w:val="16"/>
        </w:rPr>
        <w:t xml:space="preserve">p005 · body  </w:t>
      </w:r>
      <w:r>
        <w:t>Thanks,</w:t>
      </w:r>
    </w:p>
    <w:p>
      <w:r>
        <w:rPr>
          <w:color w:val="777777"/>
          <w:sz w:val="16"/>
        </w:rPr>
        <w:t xml:space="preserve">p006 · body  </w:t>
      </w:r>
      <w:r>
        <w:t>Bhasker Sambar</w:t>
      </w:r>
    </w:p>
    <w:p>
      <w:r>
        <w:rPr>
          <w:color w:val="777777"/>
          <w:sz w:val="16"/>
        </w:rPr>
        <w:t xml:space="preserve">p007 · att1 p.1  </w:t>
      </w:r>
      <w:r>
        <w:t>Comment on Docket No. FDA-2026-N-7874 — Re: Considerations for the Regulation of Generative AI-Enabled Medical Devices: Discussion Paper and Request for Feedback (August 2026)</w:t>
      </w:r>
    </w:p>
    <w:p>
      <w:r>
        <w:rPr>
          <w:color w:val="777777"/>
          <w:sz w:val="16"/>
        </w:rPr>
        <w:t xml:space="preserve">p008 · att1 p.1  </w:t>
      </w:r>
      <w:r>
        <w:t>Submitted by: Bhasker Sambar, M.Pharm.</w:t>
      </w:r>
    </w:p>
    <w:p>
      <w:r>
        <w:rPr>
          <w:color w:val="777777"/>
          <w:sz w:val="16"/>
        </w:rPr>
        <w:t xml:space="preserve">p009 · att1 p.1  </w:t>
      </w:r>
      <w:r>
        <w:t>Sr. Manager, External R&amp;D and Technical Services — Date: August 31, 2026 — These comments are submitted in my personal capacity and do not represent the views of my employer or of any professional society with which I am affiliated.</w:t>
      </w:r>
    </w:p>
    <w:p>
      <w:r>
        <w:rPr>
          <w:color w:val="777777"/>
          <w:sz w:val="16"/>
        </w:rPr>
        <w:t xml:space="preserve">p010 · att1 p.1  </w:t>
      </w:r>
      <w:r>
        <w:t>Perspective — My work is in sterile injectable drug product development, CMC regulatory authorship, and drug-device combination products, including prefilled syringes and autoinjectors, along with credibility assessment of computational and AI models used in pharmaceutical development.</w:t>
      </w:r>
    </w:p>
    <w:p>
      <w:r>
        <w:rPr>
          <w:color w:val="777777"/>
          <w:sz w:val="16"/>
        </w:rPr>
        <w:t xml:space="preserve">p011 · att1 p.1  </w:t>
      </w:r>
      <w:r>
        <w:t>I raise that perspective because much of what the discussion paper proposes — benchmarking against prespecified acceptance criteria, risk-proportionate evidence, change control after authorization, reliance on third-party model information — has close analogues on the drug and biologic side that are already in routine use. Several are more mature than what the paper describes. Where CDRH builds new vocabulary for the same underlying mechanism, it creates real cost for the growing number of sponsors who work across both, particularly combination product sponsors.</w:t>
      </w:r>
    </w:p>
    <w:p>
      <w:r>
        <w:rPr>
          <w:color w:val="777777"/>
          <w:sz w:val="16"/>
        </w:rPr>
        <w:t xml:space="preserve">p012 · att1 p.1  </w:t>
      </w:r>
      <w:r>
        <w:t>GenAI functions in combination products — The paper does not explain how a GenAI-enabled software function should be handled when it is part of, or used with, a drug-device combination product under 21 CFR Part 4. One example is dose-guidance software used with a connected autoinjector. These products are already reaching the market, and CDER will often be the lead FDA center. Sponsors should not have to apply two different risk vocabularies to the same product: the competency-based approach in this paper and FDA’s credibility framework for AI used in drug and biological product decision-making.</w:t>
      </w:r>
    </w:p>
    <w:p>
      <w:r>
        <w:rPr>
          <w:color w:val="777777"/>
          <w:sz w:val="16"/>
        </w:rPr>
        <w:t xml:space="preserve">p013 · att1 p.1  </w:t>
      </w:r>
      <w:r>
        <w:t>Recommendation. Explain how the competency-based approach applies when a GenAI-enabled function is part of a combination product led by a non-CDRH center, and use one shared risk vocabulary across FDA centers.</w:t>
      </w:r>
    </w:p>
    <w:p>
      <w:r>
        <w:rPr>
          <w:color w:val="777777"/>
          <w:sz w:val="16"/>
        </w:rPr>
        <w:t xml:space="preserve">p014 · att1 p.1  </w:t>
      </w:r>
      <w:r>
        <w:t>Question 6 — Weighting under- and over-escalation — Under-escalation and over-escalation create different kinds of harm, so they should not be reduced to one overall accuracy number. If only one number is reported, the system may be tuned toward the error that is easiest or cheapest to reduce. Sponsors should explain the trade-off clearly at the start, the same way analytical method validation makes key assumptions and acceptance criteria clear before testing begins.</w:t>
      </w:r>
    </w:p>
    <w:p>
      <w:r>
        <w:rPr>
          <w:color w:val="777777"/>
          <w:sz w:val="16"/>
        </w:rPr>
        <w:t xml:space="preserve">p015 · att1 p.2  </w:t>
      </w:r>
      <w:r>
        <w:t>Recommendation. Ask sponsors to state, in advance, how they will weigh under-escalation and overescalation, and why that weighting makes clinical sense. Performance should be shown across the tradeoff, not as a single best number. Sponsors should also identify the operating point they chose and explain why it fits the setting where the device will be used.</w:t>
      </w:r>
    </w:p>
    <w:p>
      <w:r>
        <w:rPr>
          <w:color w:val="777777"/>
          <w:sz w:val="16"/>
        </w:rPr>
        <w:t xml:space="preserve">p016 · att1 p.2  </w:t>
      </w:r>
      <w:r>
        <w:t>Question 8 — Aligning with existing credibility frameworks — FDA already has useful language for this kind of risk assessment. CDRH guidance on computational modeling, which draws on ASME V&amp;V 40, looks at model influence and decision consequence. CDER’s draft AI guidance uses the same terms. The discussion paper appears to describe the same basic idea, but with different words. Using different terms for the same concept will create confusion, especially for sponsors working with more than one FDA center.</w:t>
      </w:r>
    </w:p>
    <w:p>
      <w:r>
        <w:rPr>
          <w:color w:val="777777"/>
          <w:sz w:val="16"/>
        </w:rPr>
        <w:t xml:space="preserve">p017 · att1 p.2  </w:t>
      </w:r>
      <w:r>
        <w:t>Recommendation. Use the existing terms “model influence” and “decision consequence,” or clearly state that the paper’s two axes mean the same thing. The resulting risk tier should then guide the level of evidence needed, including benchmarking, rigor, and clinical confirmation. This would give sponsors one risk assessment they can use for both premarket planning and postmarket change control.</w:t>
      </w:r>
    </w:p>
    <w:p>
      <w:r>
        <w:rPr>
          <w:color w:val="777777"/>
          <w:sz w:val="16"/>
        </w:rPr>
        <w:t xml:space="preserve">p018 · att1 p.2  </w:t>
      </w:r>
      <w:r>
        <w:t>Question 9 — Completeness of the benchmarking elements — The ten benchmarking elements are helpful and generally well designed. I would suggest closing two gaps.</w:t>
      </w:r>
    </w:p>
    <w:p>
      <w:r>
        <w:rPr>
          <w:color w:val="777777"/>
          <w:sz w:val="16"/>
        </w:rPr>
        <w:t xml:space="preserve">p019 · att1 p.2  </w:t>
      </w:r>
      <w:r>
        <w:t>First, the paper should define the test article. Benchmarking only works if everyone knows exactly what is being tested. That means more than the model weights. It includes the model version, system prompt, settings such as temperature and top-p, retrieval index and snapshot date, guardrails, orchestration logic, tool definitions, and the user interface.</w:t>
      </w:r>
    </w:p>
    <w:p>
      <w:r>
        <w:rPr>
          <w:color w:val="777777"/>
          <w:sz w:val="16"/>
        </w:rPr>
        <w:t xml:space="preserve">p020 · att1 p.2  </w:t>
      </w:r>
      <w:r>
        <w:t>This is especially important for GenAI. Reproducibility depends on the full configuration, not just the model. A sponsor could test at one setting, such as temperature zero, and then deploy at a different setting that changes the output. The CMC comparison is straightforward: an analytical method cannot be validated unless the instrument, column, reagents, and conditions are defined. The method and its conditions are validated together.</w:t>
      </w:r>
    </w:p>
    <w:p>
      <w:r>
        <w:rPr>
          <w:color w:val="777777"/>
          <w:sz w:val="16"/>
        </w:rPr>
        <w:t xml:space="preserve">p021 · att1 p.2  </w:t>
      </w:r>
      <w:r>
        <w:t>Recommendation. Add a foundational element for “test article and configuration definition.” Sponsors should document the full configuration used for benchmarking and confirm that the marketed version matches it. Changes to key settings, guardrails, retrieval index, or system prompt should be treated like established conditions and should trigger appropriate reporting and re-benchmarking.</w:t>
      </w:r>
    </w:p>
    <w:p>
      <w:r>
        <w:rPr>
          <w:color w:val="777777"/>
          <w:sz w:val="16"/>
        </w:rPr>
        <w:t xml:space="preserve">p022 · att1 p.2  </w:t>
      </w:r>
      <w:r>
        <w:t>Second, E.4 should connect to existing usability expectations. Communication quality, user understanding, and automation bias are already covered by IEC 62366-1 and FDA’s human factors guidance.</w:t>
      </w:r>
    </w:p>
    <w:p>
      <w:r>
        <w:rPr>
          <w:color w:val="777777"/>
          <w:sz w:val="16"/>
        </w:rPr>
        <w:t xml:space="preserve">p023 · att1 p.3  </w:t>
      </w:r>
      <w:r>
        <w:t>Recommendation. Link E.4 to the existing human factors framework instead of creating a separate evaluation path. FDA should also clarify whether E.4 evidence can be generated as part of a human factors validation study.</w:t>
      </w:r>
    </w:p>
    <w:p>
      <w:r>
        <w:rPr>
          <w:color w:val="777777"/>
          <w:sz w:val="16"/>
        </w:rPr>
        <w:t xml:space="preserve">p024 · att1 p.3  </w:t>
      </w:r>
      <w:r>
        <w:t>Question 10 — Construct validity, contamination, and saturation — Contamination is the biggest concern. If a model was trained on public benchmark questions, it may score well because it has seen the answers before, not because it can reason through the task. Sponsors may not be able to tell, because they usually cannot see the full training data. Three controls can help now:</w:t>
      </w:r>
    </w:p>
    <w:p>
      <w:r>
        <w:rPr>
          <w:color w:val="777777"/>
          <w:sz w:val="16"/>
        </w:rPr>
        <w:t xml:space="preserve">p025 · att1 p.3  </w:t>
      </w:r>
      <w:r>
        <w:t>– Provenance dating — compare each benchmark item’s publication date with the model’s training cutoff. Items that came before the cutoff should be treated as potentially contaminated unless the sponsor can show otherwise. – Canary items — include held-out questions designed so memorization gives a different answer than genuine reasoning, such as questions with changed numerical values. – Sequestered holdout — for higher-risk functions, include some testing on data the sponsor has not seen before. Sponsor-developed benchmarks should be allowed, and in many cases they will be necessary because public benchmarks may not match a narrow intended use. The safeguard should be a clear, prespecified benchmark plan, not a ban. Sponsors should explain how the benchmark was built before generating results, similar to a prospectively defined non-clinical protocol.</w:t>
      </w:r>
    </w:p>
    <w:p>
      <w:r>
        <w:rPr>
          <w:color w:val="777777"/>
          <w:sz w:val="16"/>
        </w:rPr>
        <w:t xml:space="preserve">p026 · att1 p.3  </w:t>
      </w:r>
      <w:r>
        <w:t>Recommendation. Require provenance dating and canary items when public benchmarks are used to support a regulatory decision. For sponsor-developed benchmarks, require a prespecified construction plan. For higher-risk functions, require some evaluation using sequestered holdout data.</w:t>
      </w:r>
    </w:p>
    <w:p>
      <w:r>
        <w:rPr>
          <w:color w:val="777777"/>
          <w:sz w:val="16"/>
        </w:rPr>
        <w:t xml:space="preserve">p027 · att1 p.3  </w:t>
      </w:r>
      <w:r>
        <w:t>Question 16 — Role of independent third parties — The most useful third-party role is not certifying devices but qualifying and maintaining evaluation assets, since contamination and saturation are problems no individual sponsor can solve and that worsen over time. FDA already has a fit-for-purpose mechanism: the MDDT program qualifies a tool for a specified context of use, which is exactly what a benchmark is.</w:t>
      </w:r>
    </w:p>
    <w:p>
      <w:r>
        <w:rPr>
          <w:color w:val="777777"/>
          <w:sz w:val="16"/>
        </w:rPr>
        <w:t xml:space="preserve">p028 · att1 p.3  </w:t>
      </w:r>
      <w:r>
        <w:t>Recommendation. Use MDDT to qualify benchmark suites for defined contexts of use, with an explicit re-qualification interval to address saturation and contamination drift, and require qualified benchmark holders to be structurally independent from both device sponsors and foundation model developers. This is lighter than third-party device certification, avoids the competition concerns raised in the question, and creates a shared public good.</w:t>
      </w:r>
    </w:p>
    <w:p>
      <w:r>
        <w:rPr>
          <w:color w:val="777777"/>
          <w:sz w:val="16"/>
        </w:rPr>
        <w:t xml:space="preserve">p029 · att1 p.3  </w:t>
      </w:r>
      <w:r>
        <w:t>Questions 19 and 22 — Postmarket monitoring and scaling re-benchmarking — The three proposed approaches are reasonable but under-specified in one respect: none says what triggers action. Drug manufacturing solved this with Stage 3 Continued Process Verification. A monitoring program is not credible unless it defines, before deployment, the parameters monitored, the sampling plan, the alert limit, the action limit, and the response at each. Monitoring without prespecified limits is data collection, not control.</w:t>
      </w:r>
    </w:p>
    <w:p>
      <w:r>
        <w:rPr>
          <w:color w:val="777777"/>
          <w:sz w:val="16"/>
        </w:rPr>
        <w:t xml:space="preserve">p030 · att1 p.4  </w:t>
      </w:r>
      <w:r>
        <w:t>Recommendation. Require postmarket monitoring plans to specify, prior to authorization: monitored parameters drawn from the same benchmarking elements used premarket so results are comparable; the sampling plan for clinician-adjudicated review, including sample size and stratification across clinically relevant subgroups; prespecified alert and action limits with justification; and the defined response at each limit. Require the premarket benchmarking result to serve as the baseline for trending.</w:t>
      </w:r>
    </w:p>
    <w:p>
      <w:r>
        <w:rPr>
          <w:color w:val="777777"/>
          <w:sz w:val="16"/>
        </w:rPr>
        <w:t xml:space="preserve">p031 · att1 p.4  </w:t>
      </w:r>
      <w:r>
        <w:t>On scaling re-benchmarking to the size of a change, the drug side handles this through established conditions and Post-Approval Change Management Protocols under ICH Q12: the sponsor defines which elements are established conditions and prospectively agrees the tests and acceptance criteria supporting a future change. That is functionally what a PCCP does, and the two should be described as siblings.</w:t>
      </w:r>
    </w:p>
    <w:p>
      <w:r>
        <w:rPr>
          <w:color w:val="777777"/>
          <w:sz w:val="16"/>
        </w:rPr>
        <w:t xml:space="preserve">p032 · att1 p.4  </w:t>
      </w:r>
      <w:r>
        <w:t>Recommendation. Define change categories by the benchmarking elements a change could plausibly affect, not by the technical nature of the change. A guardrail modification touches S.1, S.2, and S.3 and should trigger re-benchmarking of those; a user interface change with no effect on output content touches E.4 alone. Allow sponsors to agree this mapping prospectively in a PCCP, so re-benchmarking scope is known before the change is made.</w:t>
      </w:r>
    </w:p>
    <w:p>
      <w:r>
        <w:rPr>
          <w:color w:val="777777"/>
          <w:sz w:val="16"/>
        </w:rPr>
        <w:t xml:space="preserve">p033 · att1 p.4  </w:t>
      </w:r>
      <w:r>
        <w:t>Question 26 — Agentic systems — The distinguishing feature of an agentic device is that errors compound across steps before any human sees them. Two expectations follow. First, any action in the agent's tool set that is irreversible or highconsequence should require an affirmative human confirmation step that cannot be satisfied by another model; this is a design expectation rather than a benchmarking outcome, because benchmarking cannot enumerate all trajectories. Second, postmarket investigation requires knowing what the agent did and why, and Part 11 audit trail expectations — attributable, contemporaneous, unalterable records of each step, tool call, and tool response — apply directly.</w:t>
      </w:r>
    </w:p>
    <w:p>
      <w:r>
        <w:rPr>
          <w:color w:val="777777"/>
          <w:sz w:val="16"/>
        </w:rPr>
        <w:t xml:space="preserve">p034 · att1 p.4  </w:t>
      </w:r>
      <w:r>
        <w:t>Recommendation. Require an enumerated irreversible-action inventory with a documented human confirmation gate on each, and execution records sufficient to reconstruct any interaction after the fact, retained for a defined period.</w:t>
      </w:r>
    </w:p>
    <w:p>
      <w:r>
        <w:rPr>
          <w:color w:val="777777"/>
          <w:sz w:val="16"/>
        </w:rPr>
        <w:t xml:space="preserve">p035 · att1 p.4  </w:t>
      </w:r>
      <w:r>
        <w:t>Closing — The competency-based approach is a practical way to address a difficult evaluation problem, and I support the direction FDA is taking. My main recommendation is for CDRH to build on tools and terminology FDA already uses: model influence and decision consequence for risk, established conditions and change management protocols for postmarket changes, master file practices for thirdparty models, and clear alert and action limits for monitoring. Using familiar mechanisms would make implementation easier for sponsors, especially combination product sponsors working across FDA centers, without lowering the evidence expectations described in the paper.</w:t>
      </w:r>
    </w:p>
    <w:p>
      <w:r>
        <w:rPr>
          <w:color w:val="777777"/>
          <w:sz w:val="16"/>
        </w:rPr>
        <w:t xml:space="preserve">p036 · att1 p.5  </w:t>
      </w:r>
      <w:r>
        <w:t>Thank you for the opportunity to comment. I would welcome the chance to participate in any future public meeting or workshop on this topic.</w:t>
      </w:r>
    </w:p>
    <w:p>
      <w:r>
        <w:rPr>
          <w:color w:val="777777"/>
          <w:sz w:val="16"/>
        </w:rPr>
        <w:t xml:space="preserve">p037 · att1 p.5  </w:t>
      </w:r>
      <w:r>
        <w:t>Respectfully submitted,</w:t>
      </w:r>
    </w:p>
    <w:p>
      <w:r>
        <w:rPr>
          <w:color w:val="777777"/>
          <w:sz w:val="16"/>
        </w:rPr>
        <w:t xml:space="preserve">p038 · att1 p.5  </w:t>
      </w:r>
      <w:r>
        <w:t>Bhasker Sambar, M.Pharm.</w:t>
      </w:r>
    </w:p>
    <w:p>
      <w:r>
        <w:rPr>
          <w:color w:val="777777"/>
          <w:sz w:val="16"/>
        </w:rPr>
        <w:t xml:space="preserve">p039 · att1 p.5  </w:t>
      </w:r>
      <w:r>
        <w:t>Bashu1986@gmail.com +1 484-250-4680</w:t>
      </w:r>
    </w:p>
    <w:p>
      <w:pPr>
        <w:pStyle w:val="Heading1"/>
        <w:pageBreakBefore/>
      </w:pPr>
      <w:r>
        <w:t>FDA-2026-N-7874-0068</w:t>
      </w:r>
    </w:p>
    <w:p>
      <w:r>
        <w:t>Comment from Linda Ahrens</w:t>
      </w:r>
    </w:p>
    <w:p>
      <w:r>
        <w:rPr>
          <w:color w:val="777777"/>
          <w:sz w:val="18"/>
        </w:rPr>
        <w:t>Drug Industry - C0022 · received 2026-09-05</w:t>
      </w:r>
    </w:p>
    <w:p>
      <w:r>
        <w:rPr>
          <w:color w:val="777777"/>
          <w:sz w:val="16"/>
        </w:rPr>
        <w:t xml:space="preserve">p001 · body  </w:t>
      </w:r>
      <w:r>
        <w:t>Thank you to the FDA and Dr. Tarver for inviting public input on how AI should be evaluated and used in medicine. I strongly support making medical AI safe, scientifically responsible, and useful to patients and clinicians.</w:t>
      </w:r>
    </w:p>
    <w:p>
      <w:r>
        <w:rPr>
          <w:color w:val="777777"/>
          <w:sz w:val="16"/>
        </w:rPr>
        <w:t xml:space="preserve">p002 · body  </w:t>
      </w:r>
      <w:r>
        <w:t>I ask the FDA to make an important principle part of medical AI development: AI should search for and evaluate the full body of credible medical evidence globally and impartially—not rely predominantly on conventional U.S. pharmaceutical and medical literature.</w:t>
      </w:r>
    </w:p>
    <w:p>
      <w:r>
        <w:rPr>
          <w:color w:val="777777"/>
          <w:sz w:val="16"/>
        </w:rPr>
        <w:t xml:space="preserve">p003 · body  </w:t>
      </w:r>
      <w:r>
        <w:t>This should include conventional medicine, complementary and traditional medicine, acupuncture, homeopathy, herbal medicine, nutritional therapies, and naturally derived substances studied in Europe, the Middle East, Asia, India, and elsewhere.</w:t>
      </w:r>
    </w:p>
    <w:p>
      <w:r>
        <w:rPr>
          <w:color w:val="777777"/>
          <w:sz w:val="16"/>
        </w:rPr>
        <w:t xml:space="preserve">p004 · body  </w:t>
      </w:r>
      <w:r>
        <w:t>This does not mean AI should assume these treatments work. Quite the opposite. AI should evaluate them by the same rigorous standards applied to conventional treatments.</w:t>
      </w:r>
    </w:p>
    <w:p>
      <w:r>
        <w:rPr>
          <w:color w:val="777777"/>
          <w:sz w:val="16"/>
        </w:rPr>
        <w:t xml:space="preserve">p005 · body  </w:t>
      </w:r>
      <w:r>
        <w:t>AI should be able to ask: What clinical studies have been conducted?</w:t>
      </w:r>
    </w:p>
    <w:p>
      <w:r>
        <w:rPr>
          <w:color w:val="777777"/>
          <w:sz w:val="16"/>
        </w:rPr>
        <w:t xml:space="preserve">p006 · body  </w:t>
      </w:r>
      <w:r>
        <w:t>Were they randomized, controlled, blinded, and adequately powered?</w:t>
      </w:r>
    </w:p>
    <w:p>
      <w:r>
        <w:rPr>
          <w:color w:val="777777"/>
          <w:sz w:val="16"/>
        </w:rPr>
        <w:t xml:space="preserve">p007 · body  </w:t>
      </w:r>
      <w:r>
        <w:t>Have results been replicated?</w:t>
      </w:r>
    </w:p>
    <w:p>
      <w:r>
        <w:rPr>
          <w:color w:val="777777"/>
          <w:sz w:val="16"/>
        </w:rPr>
        <w:t xml:space="preserve">p008 · body  </w:t>
      </w:r>
      <w:r>
        <w:t>What are the risks, side effects, contraindications, and drug interactions?</w:t>
      </w:r>
    </w:p>
    <w:p>
      <w:r>
        <w:rPr>
          <w:color w:val="777777"/>
          <w:sz w:val="16"/>
        </w:rPr>
        <w:t xml:space="preserve">p009 · body  </w:t>
      </w:r>
      <w:r>
        <w:t>What credible evidence exists internationally?</w:t>
      </w:r>
    </w:p>
    <w:p>
      <w:r>
        <w:rPr>
          <w:color w:val="777777"/>
          <w:sz w:val="16"/>
        </w:rPr>
        <w:t xml:space="preserve">p010 · body  </w:t>
      </w:r>
      <w:r>
        <w:t>Where is evidence strong, weak, conflicting, or insufficient?</w:t>
      </w:r>
    </w:p>
    <w:p>
      <w:r>
        <w:rPr>
          <w:color w:val="777777"/>
          <w:sz w:val="16"/>
        </w:rPr>
        <w:t xml:space="preserve">p011 · body  </w:t>
      </w:r>
      <w:r>
        <w:t>Which promising treatments deserve further research?</w:t>
      </w:r>
    </w:p>
    <w:p>
      <w:r>
        <w:rPr>
          <w:color w:val="777777"/>
          <w:sz w:val="16"/>
        </w:rPr>
        <w:t xml:space="preserve">p012 · body  </w:t>
      </w:r>
      <w:r>
        <w:t>For example, black cumin seed (Nigella sativa) oil, long used in Middle Eastern medicine, has been investigated in randomized clinical studies and systematic reviews for possible effects on blood glucose and other metabolic measures.</w:t>
      </w:r>
    </w:p>
    <w:p>
      <w:r>
        <w:rPr>
          <w:color w:val="777777"/>
          <w:sz w:val="16"/>
        </w:rPr>
        <w:t xml:space="preserve">p013 · body  </w:t>
      </w:r>
      <w:r>
        <w:t>Another example is Lion’s Mane mushroom (Hericium erinaceus). A double-blind, placebo-controlled clinical trial investigated its effects in people with mild cognitive impairment and reported improved cognitive scores during treatment.</w:t>
      </w:r>
    </w:p>
    <w:p>
      <w:r>
        <w:rPr>
          <w:color w:val="777777"/>
          <w:sz w:val="16"/>
        </w:rPr>
        <w:t xml:space="preserve">p014 · body  </w:t>
      </w:r>
      <w:r>
        <w:t>Homeopathy and acupuncture likewise should not simply be dismissed because they fall outside conventional pharmaceutical medicine. They should be examined objectively: find the underlying studies, evaluate their methodology, compare the results with other treatments, and determine what the evidence actually supports.</w:t>
      </w:r>
    </w:p>
    <w:p>
      <w:r>
        <w:rPr>
          <w:color w:val="777777"/>
          <w:sz w:val="16"/>
        </w:rPr>
        <w:t xml:space="preserve">p015 · body  </w:t>
      </w:r>
      <w:r>
        <w:t>I therefore encourage the FDA to consider medical AI standards that include: Broad evidence retrieval beyond a limited set of conventional U.S. databases.</w:t>
      </w:r>
    </w:p>
    <w:p>
      <w:r>
        <w:rPr>
          <w:color w:val="777777"/>
          <w:sz w:val="16"/>
        </w:rPr>
        <w:t xml:space="preserve">p016 · body  </w:t>
      </w:r>
      <w:r>
        <w:t>International evidence, including credible research from Europe, the Middle East, Asia, India, and elsewhere.</w:t>
      </w:r>
    </w:p>
    <w:p>
      <w:r>
        <w:rPr>
          <w:color w:val="777777"/>
          <w:sz w:val="16"/>
        </w:rPr>
        <w:t xml:space="preserve">p017 · body  </w:t>
      </w:r>
      <w:r>
        <w:t>Consistent evidence grading, distinguishing anecdotal reports, laboratory and animal studies, observational studies, randomized trials, systematic reviews, and replicated clinical evidence.</w:t>
      </w:r>
    </w:p>
    <w:p>
      <w:r>
        <w:rPr>
          <w:color w:val="777777"/>
          <w:sz w:val="16"/>
        </w:rPr>
        <w:t xml:space="preserve">p018 · body  </w:t>
      </w:r>
      <w:r>
        <w:t>Fair comparative evaluation of conventional, complementary, and traditional treatments using the same standards.</w:t>
      </w:r>
    </w:p>
    <w:p>
      <w:r>
        <w:rPr>
          <w:color w:val="777777"/>
          <w:sz w:val="16"/>
        </w:rPr>
        <w:t xml:space="preserve">p019 · body  </w:t>
      </w:r>
      <w:r>
        <w:t>Transparency, allowing patients and clinicians to understand the evidence and uncertainties behind an AI recommendation.</w:t>
      </w:r>
    </w:p>
    <w:p>
      <w:r>
        <w:rPr>
          <w:color w:val="777777"/>
          <w:sz w:val="16"/>
        </w:rPr>
        <w:t xml:space="preserve">p020 · body  </w:t>
      </w:r>
      <w:r>
        <w:t>Identification of research gaps, so potentially promising treatments are identified for further properly designed research rather than simply excluded.</w:t>
      </w:r>
    </w:p>
    <w:p>
      <w:r>
        <w:rPr>
          <w:color w:val="777777"/>
          <w:sz w:val="16"/>
        </w:rPr>
        <w:t xml:space="preserve">p021 · body  </w:t>
      </w:r>
      <w:r>
        <w:t>The FDA's effort to establish standards for medical AI is an extraordinary opportunity. Rather than teaching AI to reproduce only the limitations of today's medical system, we should use it to examine the world's medical knowledge systematically and scientifically.</w:t>
      </w:r>
    </w:p>
    <w:p>
      <w:r>
        <w:rPr>
          <w:color w:val="777777"/>
          <w:sz w:val="16"/>
        </w:rPr>
        <w:t xml:space="preserve">p022 · body  </w:t>
      </w:r>
      <w:r>
        <w:t>Let AI investigate broadly. Let the evidence determine the conclusion.</w:t>
      </w:r>
    </w:p>
    <w:p>
      <w:r>
        <w:rPr>
          <w:color w:val="777777"/>
          <w:sz w:val="16"/>
        </w:rPr>
        <w:t xml:space="preserve">p023 · body  </w:t>
      </w:r>
      <w:r>
        <w:t>Personal reason for my comment: A diabetic friend whose eyesight had become severely impaired began taking approximately one tablespoon of Nigella (black seed) oil nightly. Three years later, he reported that his eyesight had greatly improved and that he was no longer considered diabetic. His doctor told him to continue the black seed oil. I recognize that this is only an anecdotal experience, not scientific proof. But it illustrates why I believe AI should be able to find and objectively evaluate treatments that patients may otherwise never learn about.</w:t>
      </w:r>
    </w:p>
    <w:p>
      <w:r>
        <w:rPr>
          <w:color w:val="777777"/>
          <w:sz w:val="16"/>
        </w:rPr>
        <w:t xml:space="preserve">p024 · body  </w:t>
      </w:r>
      <w:r>
        <w:t>Thank you for considering this perspective.</w:t>
      </w:r>
    </w:p>
    <w:p>
      <w:r>
        <w:rPr>
          <w:color w:val="777777"/>
          <w:sz w:val="16"/>
        </w:rPr>
        <w:t xml:space="preserve">p025 · body  </w:t>
      </w:r>
      <w:r>
        <w:t>Linda Ahrens</w:t>
      </w:r>
    </w:p>
    <w:p>
      <w:pPr>
        <w:pStyle w:val="Heading1"/>
        <w:pageBreakBefore/>
      </w:pPr>
      <w:r>
        <w:t>FDA-2026-N-7874-0069</w:t>
      </w:r>
    </w:p>
    <w:p>
      <w:r>
        <w:t>Comment from Vent Creativity Corporation</w:t>
      </w:r>
    </w:p>
    <w:p>
      <w:r>
        <w:rPr>
          <w:color w:val="777777"/>
          <w:sz w:val="18"/>
        </w:rPr>
        <w:t>Device Industry - C0012 · received 2026-09-06</w:t>
      </w:r>
    </w:p>
    <w:p>
      <w:r>
        <w:rPr>
          <w:color w:val="777777"/>
          <w:sz w:val="16"/>
        </w:rPr>
        <w:t xml:space="preserve">p001 · body  </w:t>
      </w:r>
      <w:r>
        <w:t>Generative AI is both very broad and very specific. Is it the FDA's stance that devices that derive information from existing research and generate insights be termed generative? Causal AI models approach the task in a very different way and have more power in healthcare in terms of causal versus correlation analysis. I would recommend either a broader explanation of the AI enabled devices, or to create a causal ai proposal mirroring this one.</w:t>
      </w:r>
    </w:p>
    <w:p>
      <w:pPr>
        <w:pStyle w:val="Heading1"/>
        <w:pageBreakBefore/>
      </w:pPr>
      <w:r>
        <w:t>FDA-2026-N-7874-0070</w:t>
      </w:r>
    </w:p>
    <w:p>
      <w:r>
        <w:t>Comment from Amr Saad</w:t>
      </w:r>
    </w:p>
    <w:p>
      <w:r>
        <w:rPr>
          <w:color w:val="777777"/>
          <w:sz w:val="18"/>
        </w:rPr>
        <w:t>Device Industry - C0012 · received 2026-09-07 · attachments: attachment_1.pdf (2 pp)</w:t>
      </w:r>
    </w:p>
    <w:p>
      <w:r>
        <w:rPr>
          <w:color w:val="777777"/>
          <w:sz w:val="16"/>
        </w:rPr>
        <w:t xml:space="preserve">p001 · body  </w:t>
      </w:r>
      <w:r>
        <w:t>This comment responds to one sentence of Discussion Question 14: "When should human-AI team performance, rather than the device operating alone, serve as the basis for evaluation?" It does not address the other questions. The full comment is attached as a PDF.</w:t>
      </w:r>
    </w:p>
    <w:p>
      <w:r>
        <w:rPr>
          <w:color w:val="777777"/>
          <w:sz w:val="16"/>
        </w:rPr>
        <w:t xml:space="preserve">p002 · body  </w:t>
      </w:r>
      <w:r>
        <w:t>Summary. Human-AI team performance should be the basis for evaluation whenever a clinician who remains accountable for the resulting decision will see the device output. Team performance cannot be measured, however, unless the position of the output in the workflow is fixed as part of what is being evaluated. Section V.D.1 notes that comparator selection "might include how the device is actually used, including the combined performance of the clinician and device working together as a human-AI team versus the device working in a fully autonomous workflow." That phrase, "how the device is actually used," is underspecified in one respect that has already produced a concrete problem in an authorized device class.</w:t>
      </w:r>
    </w:p>
    <w:p>
      <w:r>
        <w:rPr>
          <w:color w:val="777777"/>
          <w:sz w:val="16"/>
        </w:rPr>
        <w:t xml:space="preserve">p003 · body  </w:t>
      </w:r>
      <w:r>
        <w:t>In the De Novo summary for IDx-DR, CDRH states that the clinical study "demonstrated safe and effective clinical performance of IDx-DR when used to automatically (without physician assistance) detect mtmDR" (DEN180001, page 12). The labeling in the same document nevertheless states that "Physicians should review IDx-DR results and advise patients of recommended referrals to an eye care provider" (DEN180001, page 2). What reaches that physician is a classification, not the images. In the pivotal trial the system "correctly identified 173 of the 198 fully analyzable participants with fundus mtmDR," an observed sensitivity of 87.4 percent, and the remaining 25 are known only because a reading center graded every image for study purposes. In routine use, by design, no one does. The review step named in the labeling therefore carries a responsibility the intended use has already made impossible to exercise.</w:t>
      </w:r>
    </w:p>
    <w:p>
      <w:r>
        <w:rPr>
          <w:color w:val="777777"/>
          <w:sz w:val="16"/>
        </w:rPr>
        <w:t xml:space="preserve">p004 · body  </w:t>
      </w:r>
      <w:r>
        <w:t>The sequence also matters to patients and can be measured. In a preregistered vignette experiment with 570 members of the general public (Schaffernak et al., J Med Internet Res 2026;28:e93172; I am a coauthor), estimated marginal means for trust in the medical decision were 5.17 with no AI, 4.87 when the physician reviewed the case and a diagnostic AI suggestion concurrently, and 5.35 when the physician assessed the case independently first. Concurrent diagnostic AI was rated significantly lower than the no-AI baseline (t565=2.65; P=.04) and than sequential diagnostic AI (t565=4.13; P&lt;.001). The device, the output and the clinician were held constant. Only the order changed.</w:t>
      </w:r>
    </w:p>
    <w:p>
      <w:r>
        <w:rPr>
          <w:color w:val="777777"/>
          <w:sz w:val="16"/>
        </w:rPr>
        <w:t xml:space="preserve">p005 · body  </w:t>
      </w:r>
      <w:r>
        <w:t>Recommendation. For a GenAI-enabled device whose output is read by a clinician who retains responsibility for the decision, the workflow position of that output should be treated as part of the device under evaluation rather than as a deployment variable, and specified in the intended use with the same precision as the output itself. Two things determine whether a human-AI team exists at all: the point at which the output is displayed to the clinician, and whether an independent clinical assessment is recorded before it is displayed. Until those are fixed, the same device and the same clinicians will yield different team performance under different orderings, and a sponsor could reasonably test the ordering that performs best while sites deploy the one that is fastest.</w:t>
      </w:r>
    </w:p>
    <w:p>
      <w:r>
        <w:rPr>
          <w:color w:val="777777"/>
          <w:sz w:val="16"/>
        </w:rPr>
        <w:t xml:space="preserve">p006 · body  </w:t>
      </w:r>
      <w:r>
        <w:t>Amr Saad, MD MBA — Pallas Kliniken, Olten, Switzerland — ORCID 0000-0002-0574-6739</w:t>
      </w:r>
    </w:p>
    <w:p>
      <w:r>
        <w:rPr>
          <w:color w:val="777777"/>
          <w:sz w:val="16"/>
        </w:rPr>
        <w:t xml:space="preserve">p007 · att1 p.1  </w:t>
      </w:r>
      <w:r>
        <w:t>Comment on Docket FDA-2026-N-7874, Document FDA-2026-N-7874-0001, "Considerations for the Regulation of Generative AI-Enabled Medical Devices: Discussion Paper and Request for Feedback" (posted August 18, 2026).</w:t>
      </w:r>
    </w:p>
    <w:p>
      <w:r>
        <w:rPr>
          <w:color w:val="777777"/>
          <w:sz w:val="16"/>
        </w:rPr>
        <w:t xml:space="preserve">p008 · att1 p.1  </w:t>
      </w:r>
      <w:r>
        <w:t>This comment addresses one sentence of Discussion Question 14 and nothing else in the paper. The sentence is: "When should human-AI team performance, rather than the device operating alone, serve as the basis for evaluation?" I take the paper at its own description of its status. It "is intended for discussion purposes only and does not represent draft or final guidance," and it "is not intended to propose or implement policy changes regarding how CDRH intends to regulate generative AI-enabled devices." Nothing below is offered as a response to a proposed requirement.</w:t>
      </w:r>
    </w:p>
    <w:p>
      <w:r>
        <w:rPr>
          <w:color w:val="777777"/>
          <w:sz w:val="16"/>
        </w:rPr>
        <w:t xml:space="preserve">p009 · att1 p.1  </w:t>
      </w:r>
      <w:r>
        <w:t>My answer is that human-AI team performance should be the basis for evaluation whenever a clinician who remains accountable for the resulting decision will see the device output, and that team performance cannot be measured at all unless the position of the output in the workflow is fixed as part of what is being evaluated. Section V.D.1 already approaches this. It notes that considerations for selecting the comparator "might include how the device is actually used, including the combined performance of the clinician and device working together as a human-AI team versus the device working in a fully autonomous workflow, depending on the intended use." My submission is that "how the device is actually used" is underspecified in one respect that has already produced a concrete problem in an authorized device class, and that generative outputs will reproduce it at a much larger scale.</w:t>
      </w:r>
    </w:p>
    <w:p>
      <w:r>
        <w:rPr>
          <w:color w:val="777777"/>
          <w:sz w:val="16"/>
        </w:rPr>
        <w:t xml:space="preserve">p010 · att1 p.1  </w:t>
      </w:r>
      <w:r>
        <w:t>Autonomous diabetic retinopathy screening is the case in which the division of labor between device and clinician was settled by an authorization rather than by local clinical practice. In the De Novo summary for IDx- DR, CDRH states that the clinical study "demonstrated safe and effective clinical performance of IDx-DR when used to automatically (without physician assistance) detect mtmDR" (DEN180001, page 12; De Novo request received January 12, 2018, granted April 11, 2018). The pivotal trial describes the system in the same terms, as autonomous in the sense of "without human expert reading of the retinal images," and states that responsible implementation in primary care "requires autonomy (i.e., a use case that removes the requirement for review by human experts)" (Abràmoff et al., npj Digital Medicine 2018;1:39). The labeling reproduced in the same De Novo summary nevertheless assigns a task to a professional: "Physicians should review IDx-DR results and advise patients of recommended referrals to an eye care provider for evaluation and potential treatment" (DEN180001, page 2).</w:t>
      </w:r>
    </w:p>
    <w:p>
      <w:r>
        <w:rPr>
          <w:color w:val="777777"/>
          <w:sz w:val="16"/>
        </w:rPr>
        <w:t xml:space="preserve">p011 · att1 p.1  </w:t>
      </w:r>
      <w:r>
        <w:t>Those two statements are compatible only if reviewing a result means something other than reviewing a finding. What reaches the physician is a classification, not the images. In the pivotal trial the system "correctly identified 173 of the 198 fully analyzable participants with fundus mtmDR," an observed sensitivity of 87.4 percent (173/198). The 25 participants in that trial who had referable disease and did not receive a positive output are known only because a reading center graded every image for study purposes. In routine use, by design, no one does. A physician who is asked to review the result and advise the patient has no means of separating that group from true negatives, so the review step named in the labeling carries a responsibility that the intended use has already made impossible to exercise. This is not a failure mode of the device. It follows from where the device was placed in the sequence, and that placement was part of what was authorized.</w:t>
      </w:r>
    </w:p>
    <w:p>
      <w:r>
        <w:rPr>
          <w:color w:val="777777"/>
          <w:sz w:val="16"/>
        </w:rPr>
        <w:t xml:space="preserve">p012 · att1 p.1  </w:t>
      </w:r>
      <w:r>
        <w:t>The sequence also matters to patients, and it can be measured. Two preregistered vignette experiments with 489 and 570 members of the general public in Germany varied whether a physician used no AI support, descriptive AI support, or diagnostic AI support, and in the second study varied the timing of that support (Schaffernak et al., Journal of Medical Internet Research 2026;28:e93172). In study 2 (N=570, 7-point scales), estimated marginal means for trust in the medical decisions were 5.17 (95% CI 5.02 to 5.33) with no AI, 4.87 (4.70 to 5.04) when the physician reviewed the case and a diagnostic AI suggestion concurrently, and 5.35 (5.19 to 5.51) when the physician assessed the case independently first and reviewed the AI output afterward. Concurrent diagnostic AI was rated significantly lower than the no-AI baseline (t565=2.65; P=.04) and significantly lower than sequential diagnostic AI (t565=4.13; P&lt;.001). The device, the output, and the clinician were held constant. Only the order changed.</w:t>
      </w:r>
    </w:p>
    <w:p>
      <w:r>
        <w:rPr>
          <w:color w:val="777777"/>
          <w:sz w:val="16"/>
        </w:rPr>
        <w:t xml:space="preserve">p013 · att1 p.2  </w:t>
      </w:r>
      <w:r>
        <w:t>What I would ask CDRH to consider is the following. For a GenAI-enabled device whose output is read by a clinician who retains responsibility for the decision, the workflow position of that output should be treated as part of the device under evaluation rather than as a deployment variable, and specified in the intended use with the same precision as the output itself. Two things determine whether a human-AI team exists in the first place: the point at which the output is displayed to the clinician, and whether an independent clinical assessment is recorded before it is displayed. A third question follows from those and is the one the IDx-DR labeling leaves open, namely which identified person is accountable for the output in a workflow where no clinician assessment precedes it. Until those are fixed, human-AI team performance is not a well-defined quantity, because the same device and the same clinicians will yield different team performance under different orderings, and a sponsor could reasonably test the ordering that performs best while sites deploy the one that is fastest. Where team performance is proposed as the evaluation basis, it would be worth asking which ordering was tested, and whether that ordering is enforced by the device or merely recommended in labeling.</w:t>
      </w:r>
    </w:p>
    <w:p>
      <w:r>
        <w:rPr>
          <w:color w:val="777777"/>
          <w:sz w:val="16"/>
        </w:rPr>
        <w:t xml:space="preserve">p014 · att1 p.2  </w:t>
      </w:r>
      <w:r>
        <w:t>I have no financial interest in any device named in this comment.</w:t>
      </w:r>
    </w:p>
    <w:p>
      <w:r>
        <w:rPr>
          <w:color w:val="777777"/>
          <w:sz w:val="16"/>
        </w:rPr>
        <w:t xml:space="preserve">p015 · att1 p.2  </w:t>
      </w:r>
      <w:r>
        <w:t>Respectfully submitted, Amr Saad, MD MBA Pallas Kliniken, Olten, Switzerland ORCID 0000-0002-0574-6739 — References. FDA/CDRH, "Considerations for the Regulation of Generative AI-Enabled Medical Devices: Discussion Paper and Request for Feedback," https://www.fda.gov/media/194242/download. FDA, De Novo Summary DEN180001 (IDx-DR), https://www.accessdata.fda.gov/cdrh_docs/reviews/DEN180001.pdf. Abràmoff MD, Lavin PT, Birch M, Shah N, Folk JC. Pivotal trial of an autonomous AI-based diagnostic system for detection of diabetic retinopathy in primary care offices. npj Digital Medicine 2018;1:39 (published August 28, 2018). https://doi.org/10.1038/s41746-018-0040-6. Schaffernak I, Cecil J, Kokje E, Kleine AK, Saad A, Zemo F, Lermer E. Effects of Type and Timing of Clinician-Facing AI Support on Patient Trust in Medical Consultations: 2 Vignette Experiments. J Med Internet Res 2026;28:e93172. https://doi.org/10.2196/93172.</w:t>
      </w:r>
    </w:p>
    <w:p>
      <w:pPr>
        <w:pStyle w:val="Heading1"/>
        <w:pageBreakBefore/>
      </w:pPr>
      <w:r>
        <w:t>FDA-2026-N-7874-0071</w:t>
      </w:r>
    </w:p>
    <w:p>
      <w:r>
        <w:t>Comment from Alexandria Hamilton</w:t>
      </w:r>
    </w:p>
    <w:p>
      <w:r>
        <w:rPr>
          <w:color w:val="777777"/>
          <w:sz w:val="18"/>
        </w:rPr>
        <w:t>Private Industry - C0003 · received 2026-09-07 · attachments: attachment_1.pdf (6 pp)</w:t>
      </w:r>
    </w:p>
    <w:p>
      <w:r>
        <w:rPr>
          <w:color w:val="777777"/>
          <w:sz w:val="16"/>
        </w:rPr>
        <w:t xml:space="preserve">p001 · body  </w:t>
      </w:r>
      <w:r>
        <w:t>I'm the founder of Orinyx, a company building runtime infrastructure that sits between clinical AI tools and hospital patient record systems, checking medication and clinical recommendations against FDA labeling, clinical guidelines, and federal safety guidance before a clinician acts on them. Orinyx is not currently a manufacturer of GenAI-enabled devices. It builds independent, structurally separate verification and monitoring infrastructure for devices other companies build and deploy, comparable to a crash-test lab rather than a car manufacturer.</w:t>
      </w:r>
    </w:p>
    <w:p>
      <w:r>
        <w:rPr>
          <w:color w:val="777777"/>
          <w:sz w:val="16"/>
        </w:rPr>
        <w:t xml:space="preserve">p002 · body  </w:t>
      </w:r>
      <w:r>
        <w:t>At a high level, this runs in two modes. Before a device goes live, it operates in a test environment where a vendor's AI is run against a defined set of clinical scenarios and its outputs are scored before deployment. After a device goes live, it operates as a continuous layer that checks real outputs against current, authoritative sources at the point of care, integrated through existing interoperability standards and API endpoints such as CDS Hooks rather than requiring a new integration pattern for every hospital.</w:t>
      </w:r>
    </w:p>
    <w:p>
      <w:r>
        <w:rPr>
          <w:color w:val="777777"/>
          <w:sz w:val="16"/>
        </w:rPr>
        <w:t xml:space="preserve">p003 · body  </w:t>
      </w:r>
      <w:r>
        <w:t>I'm commenting because Section VI of the discussion paper (Postmarket Monitoring) and the independent-third-party questions in Section V describe, in regulatory language, the problem I built this company to solve. My full response, addressing Questions 16, 19, 20, 22, and 26, is attached.</w:t>
      </w:r>
    </w:p>
    <w:p>
      <w:r>
        <w:rPr>
          <w:color w:val="777777"/>
          <w:sz w:val="16"/>
        </w:rPr>
        <w:t xml:space="preserve">p004 · body  </w:t>
      </w:r>
      <w:r>
        <w:t>Alexandria "Lex" Hamilton — Founder &amp; CEO, Orinyx hello@charmthirteen.com https://www.linkedin.com/in/alexandriahamilton-/</w:t>
      </w:r>
    </w:p>
    <w:p>
      <w:r>
        <w:rPr>
          <w:color w:val="777777"/>
          <w:sz w:val="16"/>
        </w:rPr>
        <w:t xml:space="preserve">p005 · att1 p.1  </w:t>
      </w:r>
      <w:r>
        <w:t>Comment on Docket FDA-2026-N-7874 — Considerations for the Regulation of Generative AI-Enabled Medical Devices: Discussion Paper and Request for Feedback</w:t>
      </w:r>
    </w:p>
    <w:p>
      <w:r>
        <w:rPr>
          <w:color w:val="777777"/>
          <w:sz w:val="16"/>
        </w:rPr>
        <w:t xml:space="preserve">p006 · att1 p.1  </w:t>
      </w:r>
      <w:r>
        <w:t>Submitted by: Alexandria “Lex” Hamilton, Founder &amp; CEO, Orinyx Docket: FDA-2026-N- 7874 Deadline: October 19, 2026</w:t>
      </w:r>
    </w:p>
    <w:p>
      <w:r>
        <w:rPr>
          <w:color w:val="777777"/>
          <w:sz w:val="16"/>
        </w:rPr>
        <w:t xml:space="preserve">p007 · att1 p.1  </w:t>
      </w:r>
      <w:r>
        <w:t>Introduction — I’m the founder of Orinyx, a company building runtime infrastructure that sits between clinical AI tools and hospital patient record systems, checking medication and clinical recommendations against FDA labeling, clinical guidelines, and federal safety guidance before a clinician acts on them. Orinyx is not currently a manufacturer of GenAI-enabled devices. It builds independent, structurally separate verification and monitoring infrastructure for devices other companies build and deploy, comparable to a crash-test lab rather than a car manufacturer.</w:t>
      </w:r>
    </w:p>
    <w:p>
      <w:r>
        <w:rPr>
          <w:color w:val="777777"/>
          <w:sz w:val="16"/>
        </w:rPr>
        <w:t xml:space="preserve">p008 · att1 p.1  </w:t>
      </w:r>
      <w:r>
        <w:t>At a high level, this runs in two modes. Before a device goes live, it operates in a test environment where a vendor’s AI is run against a defined set of clinical scenarios and its outputs are scored before deployment. After a device goes live, it operates as a continuous layer that checks real outputs against current, authoritative sources at the point of care, integrated through existing interoperability standards and API endpoints such as CDS Hooks rather than requiring a new integration pattern for every hospital.</w:t>
      </w:r>
    </w:p>
    <w:p>
      <w:r>
        <w:rPr>
          <w:color w:val="777777"/>
          <w:sz w:val="16"/>
        </w:rPr>
        <w:t xml:space="preserve">p009 · att1 p.1  </w:t>
      </w:r>
      <w:r>
        <w:t>I’m commenting because Section VI of the discussion paper (Postmarket Monitoring) and the independent-third-party questions in Section V describe, in regulatory language, the problem I built this company to solve. My comment below is scoped to the five questions where I believe I have something specific and evidence-grounded to add: Questions 16, 19, 20, 22, and 26. I have not responded to the questions on premarket benchmarking design, risk-framework taxonomy, or foundation model MAFs, as those fall outside what I build and would not add signal beyond what device manufacturers and clinical researchers can offer.</w:t>
      </w:r>
    </w:p>
    <w:p>
      <w:r>
        <w:rPr>
          <w:color w:val="777777"/>
          <w:sz w:val="16"/>
        </w:rPr>
        <w:t xml:space="preserve">p010 · att1 p.1  </w:t>
      </w:r>
      <w:r>
        <w:t>Throughout, I draw on the structural principle that has shaped my product design: a system cannot credibly verify its own outputs. The verifier must be structurally separate from the thing being verified, including at the level of the evaluator model itself, not only the human process around it. I raise this not as an abstract position but because it bears directly on several of the questions below.</w:t>
      </w:r>
    </w:p>
    <w:p>
      <w:r>
        <w:rPr>
          <w:color w:val="777777"/>
          <w:sz w:val="16"/>
        </w:rPr>
        <w:t xml:space="preserve">p011 · att1 p.2  </w:t>
      </w:r>
      <w:r>
        <w:t>Response to Question 16 — Should independent third parties be involved in some or all aspects of a competency-based approach, including device benchmarking and clinical confirmation? What qualifications and independence criteria should apply? What safeguards would prevent third-party participation from limiting competition or innovation?</w:t>
      </w:r>
    </w:p>
    <w:p>
      <w:r>
        <w:rPr>
          <w:color w:val="777777"/>
          <w:sz w:val="16"/>
        </w:rPr>
        <w:t xml:space="preserve">p012 · att1 p.2  </w:t>
      </w:r>
      <w:r>
        <w:t>I believe independent third-party involvement is not merely useful but structurally necessary for one specific category of function within the competency-based approach: safety-critical recognition, escalation, and calibration (Appendix A, elements S.1 to S.3). These are the elements most vulnerable to a conflict of interest that self-assessment cannot resolve, because the entity best positioned to know where its own device is weak is also the entity with the strongest incentive not to surface that weakness in a benchmarking result it authors.</w:t>
      </w:r>
    </w:p>
    <w:p>
      <w:r>
        <w:rPr>
          <w:color w:val="777777"/>
          <w:sz w:val="16"/>
        </w:rPr>
        <w:t xml:space="preserve">p013 · att1 p.2  </w:t>
      </w:r>
      <w:r>
        <w:t>On independence criteria, I’d propose the standard be defined at two levels, not one:</w:t>
      </w:r>
    </w:p>
    <w:p>
      <w:r>
        <w:rPr>
          <w:color w:val="777777"/>
          <w:sz w:val="16"/>
        </w:rPr>
        <w:t xml:space="preserve">p014 · att1 p.2  </w:t>
      </w:r>
      <w:r>
        <w:t>1. Organizational independence. The third party has no financial relationship with the device sponsor tied to benchmarking outcomes, and no equity, licensing, or revenue-sharing arrangement with the foundation model developer whose model underlies the device under review. 2. Evaluator independence. Where the adjudication method itself uses an AI system (an “LLM-as-judge” pattern, which the paper rightly flags as still requiring the same independence scrutiny), that evaluator model should not be the same model family, or a fine-tuned variant of the same model family, as the device under test. A GPT- based device benchmarked by a GPT-based judge is not independent in any way that matters, even if the organizations administering the test are unrelated.</w:t>
      </w:r>
    </w:p>
    <w:p>
      <w:r>
        <w:rPr>
          <w:color w:val="777777"/>
          <w:sz w:val="16"/>
        </w:rPr>
        <w:t xml:space="preserve">p015 · att1 p.2  </w:t>
      </w:r>
      <w:r>
        <w:t>On the competition concern, I’d note that a credentialing or accreditation structure (similar to ASCA, which the paper references) mitigates the innovation-limiting risk better than a closed panel of pre-approved evaluators would. CDRH setting qualification criteria that any structurally independent entity can meet, rather than naming or licensing a fixed set of evaluators, preserves competitive entry for third parties while still enforcing the independence standard.</w:t>
      </w:r>
    </w:p>
    <w:p>
      <w:r>
        <w:rPr>
          <w:color w:val="777777"/>
          <w:sz w:val="16"/>
        </w:rPr>
        <w:t xml:space="preserve">p016 · att1 p.2  </w:t>
      </w:r>
      <w:r>
        <w:t>Response to Question 19 — Please comment on the potential approaches to postmarket performance evaluation, including periodic re-benchmarking, sample-based clinician review, and performance degradation monitoring. What additional approaches should CDRH consider, and how should cadence and triggering events for reassessment be determined?</w:t>
      </w:r>
    </w:p>
    <w:p>
      <w:r>
        <w:rPr>
          <w:color w:val="777777"/>
          <w:sz w:val="16"/>
        </w:rPr>
        <w:t xml:space="preserve">p017 · att1 p.2  </w:t>
      </w:r>
      <w:r>
        <w:t>All three approaches described are necessary but individually insufficient, because they operate at different latencies and catch different failure modes:</w:t>
      </w:r>
    </w:p>
    <w:p>
      <w:r>
        <w:rPr>
          <w:color w:val="777777"/>
          <w:sz w:val="16"/>
        </w:rPr>
        <w:t xml:space="preserve">p018 · att1 p.2  </w:t>
      </w:r>
      <w:r>
        <w:t>• Periodic re-benchmarking catches regressions against known test cases but, by construction, cannot catch a failure mode the benchmark didn’t anticipate.</w:t>
      </w:r>
    </w:p>
    <w:p>
      <w:r>
        <w:rPr>
          <w:color w:val="777777"/>
          <w:sz w:val="16"/>
        </w:rPr>
        <w:t xml:space="preserve">p019 · att1 p.3  </w:t>
      </w:r>
      <w:r>
        <w:t>• Sample-based clinician review catches failures visible to a domain expert reviewing outputs after the fact, but is bounded by sample size and reviewer availability, and will miss low-frequency, high-severity events by design. • Performance degradation monitoring catches statistical drift in aggregate but typically lags the point at which drift becomes clinically material, since a threshold breach is a trailing indicator.</w:t>
      </w:r>
    </w:p>
    <w:p>
      <w:r>
        <w:rPr>
          <w:color w:val="777777"/>
          <w:sz w:val="16"/>
        </w:rPr>
        <w:t xml:space="preserve">p020 · att1 p.3  </w:t>
      </w:r>
      <w:r>
        <w:t>I’d add a fourth approach that the paper does not name explicitly but that Question 20 gestures toward: continuous per-output verification, run on every clinical assertion in real time rather than on a sample or a periodic cadence. This is distinct from rebenchmarking in that it doesn’t test the device against a fixed set of cases. It checks each live output against the current, authoritative source (FDA labeling, clinical guidelines, federal safety guidance) at the moment the output is generated, and logs a citation for every claim it clears or flags. Where sample-based review answers “was this device safe in the cases we happened to sample,” continuous verification answers “was this specific output, right now, defensible,” and produces a complete audit trail rather than a point-intime snapshot.</w:t>
      </w:r>
    </w:p>
    <w:p>
      <w:r>
        <w:rPr>
          <w:color w:val="777777"/>
          <w:sz w:val="16"/>
        </w:rPr>
        <w:t xml:space="preserve">p021 · att1 p.3  </w:t>
      </w:r>
      <w:r>
        <w:t>On cadence and triggering events, I’d suggest that any change to the categories the paper already names as changes to “the underlying model or other components of the deployment architecture” (Section VI.A) should trigger reassessment, but that continuous verification reduces the cost and urgency of getting that cadence exactly right. A monitoring layer that checks every output doesn’t need to wait for a defined trigger to catch a regression, because it isn’t sampling.</w:t>
      </w:r>
    </w:p>
    <w:p>
      <w:r>
        <w:rPr>
          <w:color w:val="777777"/>
          <w:sz w:val="16"/>
        </w:rPr>
        <w:t xml:space="preserve">p022 · att1 p.3  </w:t>
      </w:r>
      <w:r>
        <w:t>I’d add one more point on re-benchmarking specifically: a single passed benchmark run proves very little on its own. A device can clear a fixed set of test cases once and still perform inconsistently across repeated attempts at the same task, particularly under time pressure, incomplete information, or adversarial framing. What’s more informative than a pass or fail on a given cadence is a reliability profile built from repeated runs of the same prespecified task, environment, and acceptance criteria: success rate across attempts, consistency of the answer given semantically equivalent inputs, and the rate at which the device needed human intervention. Reusable, prespecified test bundles, rerun on a defined cadence rather than authored fresh each time, are what make results comparable across reassessment cycles, which mirrors the paper’s own point in Section V about benchmarking assets needing to be well-defined and reusable.</w:t>
      </w:r>
    </w:p>
    <w:p>
      <w:r>
        <w:rPr>
          <w:color w:val="777777"/>
          <w:sz w:val="16"/>
        </w:rPr>
        <w:t xml:space="preserve">p023 · att1 p.3  </w:t>
      </w:r>
      <w:r>
        <w:t>Response to Question 20 — Please comment on whether the proposed approaches to postmarket monitoring can be facilitated by machine-based supervisory agents. What considerations, including the evaluation and reliability of the supervisory agent itself, should CDRH take into account?</w:t>
      </w:r>
    </w:p>
    <w:p>
      <w:r>
        <w:rPr>
          <w:color w:val="777777"/>
          <w:sz w:val="16"/>
        </w:rPr>
        <w:t xml:space="preserve">p024 · att1 p.3  </w:t>
      </w:r>
      <w:r>
        <w:t>Yes, with the caveat that the supervisory agent itself needs its own governance structure, or it simply relocates the trust problem rather than solving it. In my own build, I’ve organized this around three loops, which may be a useful frame for CDRH’s thinking here:</w:t>
      </w:r>
    </w:p>
    <w:p>
      <w:r>
        <w:rPr>
          <w:color w:val="777777"/>
          <w:sz w:val="16"/>
        </w:rPr>
        <w:t xml:space="preserve">p025 · att1 p.4  </w:t>
      </w:r>
      <w:r>
        <w:t>1. Point-of-action safeguards. Deterministic, rule-based checks (not model-based) run before and after every output: pre-output checks like malformed-input rejection, post-output checks like grounding verification (is every claim traceable to a source the agent actually had access to). Keeping this layer deterministic rather than model-based matters because it needs to be auditable and it needs to fail predictably. 2. Upstream governance. A deployment gate: a golden test set the workflow must pass before going live, with a defined hallucination-rate threshold, re-run on any prompt or model change. This is closer to the paper’s re-benchmarking concept but applied to the supervisory agent itself, not only the underlying device. 3. Post-deployment monitoring. The supervisory agent’s own outputs are sampled and scored by a separate evaluator, using external telemetry (logging tool-call results independently of the agent’s self-reported status, since agents under-report their own failures) rather than trusting the agent’s account of its own performance.</w:t>
      </w:r>
    </w:p>
    <w:p>
      <w:r>
        <w:rPr>
          <w:color w:val="777777"/>
          <w:sz w:val="16"/>
        </w:rPr>
        <w:t xml:space="preserve">p026 · att1 p.4  </w:t>
      </w:r>
      <w:r>
        <w:t>The reliability question CDRH raises is the right one to press on, and my answer is that a supervisory agent’s reliability cannot be established by the agent’s own logs. It requires the same independence standard I describe in my response to Question 16: an evaluator that is organizationally and architecturally separate from the agent it supervises. Without that, “machine-based supervisory agent” risks becoming a rebranding of self-monitoring rather than a genuine postmarket safeguard.</w:t>
      </w:r>
    </w:p>
    <w:p>
      <w:r>
        <w:rPr>
          <w:color w:val="777777"/>
          <w:sz w:val="16"/>
        </w:rPr>
        <w:t xml:space="preserve">p027 · att1 p.4  </w:t>
      </w:r>
      <w:r>
        <w:t>I’d also flag turn budgets and per-session cost or action caps as a practical circuit breaker CDRH may want to name explicitly. A supervisory agent operating without a bounded scope of action per session is harder to audit and harder to contain when something goes wrong mid-session.</w:t>
      </w:r>
    </w:p>
    <w:p>
      <w:r>
        <w:rPr>
          <w:color w:val="777777"/>
          <w:sz w:val="16"/>
        </w:rPr>
        <w:t xml:space="preserve">p028 · att1 p.4  </w:t>
      </w:r>
      <w:r>
        <w:t>I’m currently developing and testing a version of this pattern directly, and it’s shaped how I’d answer CDRH’s reliability question. Rather than relying on one model to judge another, I decompose the supervisory function into several narrower evaluators running against the same output: a deterministic layer that checks facts a machine can conclusively verify without any model involved (did the output cite a source that actually exists, does a calculation match, was a required field present), a semantic evaluator that assesses the quality and appropriateness of reasoning, a policy evaluator that checks whether the agent stayed within its authorized scope and tools, and a trace evaluator that scores the full execution path, not just the final output. That last piece matters more than it might first appear: evaluating only input against output misses failures that occur mid-process, such as an agent that reaches a correct-looking conclusion through a reasoning chain that should have triggered escalation earlier or used a tool it wasn’t authorized to use. I’d suggest CDRH consider requiring that postmarket evaluation of agentic systems assess the trajectory, not only the endpoint.</w:t>
      </w:r>
    </w:p>
    <w:p>
      <w:r>
        <w:rPr>
          <w:color w:val="777777"/>
          <w:sz w:val="16"/>
        </w:rPr>
        <w:t xml:space="preserve">p029 · att1 p.4  </w:t>
      </w:r>
      <w:r>
        <w:t>Decomposing the judge this way also addresses part of the reliability concern directly: a supervisory agent is less of a single point of failure when the checks that can be made deterministic are made deterministic, and only the genuinely judgment-dependent portions are left to a model, which itself must meet the same independence standard described in my response to Question 16. This still doesn’t eliminate the underlying question. If a supervisory structure benchmarks a worker agent, something still has to benchmark the supervisory structure, and that chain has to terminate somewhere in a structurally independent, non-agentic check, or the accountability problem simply regresses one level rather than resolving.</w:t>
      </w:r>
    </w:p>
    <w:p>
      <w:r>
        <w:rPr>
          <w:color w:val="777777"/>
          <w:sz w:val="16"/>
        </w:rPr>
        <w:t xml:space="preserve">p030 · att1 p.5  </w:t>
      </w:r>
      <w:r>
        <w:t>Response to Question 22 — How might the extent of re-benchmarking or other evidence be scaled to the nature and expected impact of a given modification? Are there categories of change appropriate for inclusion in a PCCP?</w:t>
      </w:r>
    </w:p>
    <w:p>
      <w:r>
        <w:rPr>
          <w:color w:val="777777"/>
          <w:sz w:val="16"/>
        </w:rPr>
        <w:t xml:space="preserve">p031 · att1 p.5  </w:t>
      </w:r>
      <w:r>
        <w:t>I’d suggest CDRH consider a risk-tiered gating structure for modifications, parallel to the two-axis framework already proposed for initial risk assessment in Section IV: classify each modification by reversibility and blast radius (how many patients, how many device functions, how quickly the change could compound before detection), not only by the technical nature of the change itself. A prompt template change and a full model swap are different in kind, but a prompt template change that touches a safety-critical escalation pathway (Appendix A, S.1) may warrant more scrutiny than a model swap that only affects a low-consequence, non-directive function.</w:t>
      </w:r>
    </w:p>
    <w:p>
      <w:r>
        <w:rPr>
          <w:color w:val="777777"/>
          <w:sz w:val="16"/>
        </w:rPr>
        <w:t xml:space="preserve">p032 · att1 p.5  </w:t>
      </w:r>
      <w:r>
        <w:t>Under such a structure, changes low on both axes (reversible, narrow blast radius, no touch to safety-critical elements) could reasonably sit inside a PCCP with documentation in the sponsor’s quality management system. Changes high on either axis, and especially changes to safety-critical recognition, scope maintenance, or calibration behaviors, regardless of how small the underlying technical change appears, should trigger re-benchmarking against the original competency baseline before deployment, not after.</w:t>
      </w:r>
    </w:p>
    <w:p>
      <w:r>
        <w:rPr>
          <w:color w:val="777777"/>
          <w:sz w:val="16"/>
        </w:rPr>
        <w:t xml:space="preserve">p033 · att1 p.5  </w:t>
      </w:r>
      <w:r>
        <w:t>Response to Question 26 — Are there additional considerations that inform the premarket and postmarket evaluation of agentic GenAI-enabled devices, beyond those applicable to non-agentic devices?</w:t>
      </w:r>
    </w:p>
    <w:p>
      <w:r>
        <w:rPr>
          <w:color w:val="777777"/>
          <w:sz w:val="16"/>
        </w:rPr>
        <w:t xml:space="preserve">p034 · att1 p.5  </w:t>
      </w:r>
      <w:r>
        <w:t>Two considerations beyond what Appendix A’s A.1 element already captures: First, escalation of authority within a single session. A.1 addresses recognition of when a planned action sequence exceeds intended use, but an agentic system’s authority can also expand mid-session in ways that don’t map cleanly to a single “action sequence.” For example, a system that starts with read-only access to a chart and, over the course of a multi-step task, invokes a tool that grants it write access it didn’t have at session start. Evaluation should test not just whether the agent recognizes out-of-scope actions, but whether it recognizes when its own available scope has changed mid-task.</w:t>
      </w:r>
    </w:p>
    <w:p>
      <w:r>
        <w:rPr>
          <w:color w:val="777777"/>
          <w:sz w:val="16"/>
        </w:rPr>
        <w:t xml:space="preserve">p035 · att1 p.5  </w:t>
      </w:r>
      <w:r>
        <w:t>Second, tool-output trust. A.1 names “accurate tool use and recognition of erroneous tool outputs” as a competency, and I’d underscore that this deserves the same independence scrutiny raised elsewhere in this comment. An agentic system that receives a tool’s output and treats it as ground truth without independent verification has the same self-affirmation problem as a device benchmarking itself. The tool call looks like an external check, but if the tool and the agent share a developer, a training lineage, or an incentive structure, it isn’t one. I’d suggest CDRH’s evaluation criteria for agentic systems explicitly distinguish tool outputs that come from structurally independent sources from tool outputs that don’t, since the latter provides less assurance than it appears to on paper.</w:t>
      </w:r>
    </w:p>
    <w:p>
      <w:r>
        <w:rPr>
          <w:color w:val="777777"/>
          <w:sz w:val="16"/>
        </w:rPr>
        <w:t xml:space="preserve">p036 · att1 p.6  </w:t>
      </w:r>
      <w:r>
        <w:t>Closing — I’m glad CDRH is running this process in the open and inviting builders, not only manufacturers, into it. I’d welcome the opportunity to discuss any of the above in more detail and can be reached at hello@charmthirteen.com or https://www.linkedin.com/in/alexandriahamilton-/ if useful to CDRH’s ongoing work on this topic.</w:t>
      </w:r>
    </w:p>
    <w:p>
      <w:r>
        <w:rPr>
          <w:color w:val="777777"/>
          <w:sz w:val="16"/>
        </w:rPr>
        <w:t xml:space="preserve">p037 · att1 p.6  </w:t>
      </w:r>
      <w:r>
        <w:t>Alexandria “Lex” Hamilton Founder &amp; CEO, Orinyx</w:t>
      </w:r>
    </w:p>
    <w:p>
      <w:pPr>
        <w:pStyle w:val="Heading1"/>
        <w:pageBreakBefore/>
      </w:pPr>
      <w:r>
        <w:t>FDA-2026-N-7874-0072</w:t>
      </w:r>
    </w:p>
    <w:p>
      <w:r>
        <w:t>Comment from UpDoc, Inc.</w:t>
      </w:r>
    </w:p>
    <w:p>
      <w:r>
        <w:rPr>
          <w:color w:val="777777"/>
          <w:sz w:val="18"/>
        </w:rPr>
        <w:t>received 2026-09-07 · attachments: attachment_1.pdf (1 pp)</w:t>
      </w:r>
    </w:p>
    <w:p>
      <w:r>
        <w:rPr>
          <w:color w:val="777777"/>
          <w:sz w:val="16"/>
        </w:rPr>
        <w:t xml:space="preserve">p001 · body  </w:t>
      </w:r>
      <w:r>
        <w:t>See attached file(s)</w:t>
      </w:r>
    </w:p>
    <w:p>
      <w:r>
        <w:rPr>
          <w:color w:val="777777"/>
          <w:sz w:val="16"/>
        </w:rPr>
        <w:t xml:space="preserve">p002 · att1 p.1  </w:t>
      </w:r>
      <w:r>
        <w:t>UpDoc Public Commentary for FDA RFI for docket FDA-2026-N-7874 — UpDoc Comments on FDA Considerations for Generative AI-Enabled Medical Devices</w:t>
      </w:r>
    </w:p>
    <w:p>
      <w:r>
        <w:rPr>
          <w:color w:val="777777"/>
          <w:sz w:val="16"/>
        </w:rPr>
        <w:t xml:space="preserve">p003 · att1 p.1  </w:t>
      </w:r>
      <w:r>
        <w:t>UpDoc appreciates FDA's efforts to engage industry and other stakeholders as it considers an appropriate regulatory framework for generative and agentic AI-enabled medical devices. As a developer of FDA-cleared software and clinical AI technology deployed within health systems, we have a direct interest in seeing that framework develop in a way that supports safe, wellgoverned innovation.</w:t>
      </w:r>
    </w:p>
    <w:p>
      <w:r>
        <w:rPr>
          <w:color w:val="777777"/>
          <w:sz w:val="16"/>
        </w:rPr>
        <w:t xml:space="preserve">p004 · att1 p.1  </w:t>
      </w:r>
      <w:r>
        <w:t>UpDoc believes Clinical AI should augment physicians and operate within appropriate clinical boundaries and governance. As Clinical AI progresses from bounded functions toward increasingly sophisticated systems capable of reasoning across complex clinical information and performing broader clinical functions, safety, accountability, auditability, appropriate human oversight, and integration into existing care delivery systems remain essential.</w:t>
      </w:r>
    </w:p>
    <w:p>
      <w:r>
        <w:rPr>
          <w:color w:val="777777"/>
          <w:sz w:val="16"/>
        </w:rPr>
        <w:t xml:space="preserve">p005 · att1 p.1  </w:t>
      </w:r>
      <w:r>
        <w:t>We recognize that emerging technologies will often advance more quickly than established regulatory frameworks and evidence-generation methods can evolve. Addressing that gap is a shared responsibility: developers have an important role in helping regulators understand new technologies, their risks, and the controls available to address those risks, while regulators can provide increasing clarity as experience and evidence develop. That shared responsibility also includes developing clear and consistent terminology for describing clinical functions, levels of autonomy, human oversight, and associated risks.</w:t>
      </w:r>
    </w:p>
    <w:p>
      <w:r>
        <w:rPr>
          <w:color w:val="777777"/>
          <w:sz w:val="16"/>
        </w:rPr>
        <w:t xml:space="preserve">p006 · att1 p.1  </w:t>
      </w:r>
      <w:r>
        <w:t>One area where continued clarity would be particularly valuable is the boundary between AI that supports or communicates a clinician's existing treatment plan and AI that performs clinical functions requiring independent clinical judgment. As generative and agentic capabilities advance along this continuum, having a clear, consistent way to describe where that boundary sits, and how it maps to existing device frameworks, would help developers anticipate regulatory expectations earlier in development rather than resolving that question product by product.</w:t>
      </w:r>
    </w:p>
    <w:p>
      <w:r>
        <w:rPr>
          <w:color w:val="777777"/>
          <w:sz w:val="16"/>
        </w:rPr>
        <w:t xml:space="preserve">p007 · att1 p.1  </w:t>
      </w:r>
      <w:r>
        <w:t>As FDA develops its approach, we believe it would also be helpful to continue clarifying how the specific risks associated with generative and agentic AI functions relate to corresponding controls and evidence expectations. Evidence expectations should be proportional to the risks presented by the intended clinical function and should account for the extent to which those risks are addressed through design controls, software verification and validation, human factors, clinical safeguards, human oversight, monitoring, and other established risk-management measures. Over time, AI itself can also help address this challenge by making evidence generation, monitoring, and regulatory evaluation more efficient, while preserving the rigor necessary for sound regulatory decision-making.</w:t>
      </w:r>
    </w:p>
    <w:p>
      <w:r>
        <w:rPr>
          <w:color w:val="777777"/>
          <w:sz w:val="16"/>
        </w:rPr>
        <w:t xml:space="preserve">p008 · att1 p.1  </w:t>
      </w:r>
      <w:r>
        <w:t>Industry and regulators share the same objective: enabling beneficial technologies to reach patients efficiently while maintaining appropriate standards for safety and effectiveness. We welcome the opportunity to contribute to that shared effort.</w:t>
      </w:r>
    </w:p>
    <w:p>
      <w:r>
        <w:rPr>
          <w:color w:val="777777"/>
          <w:sz w:val="16"/>
        </w:rPr>
        <w:t xml:space="preserve">p009 · att1 p.1  </w:t>
      </w:r>
      <w:r>
        <w:t>UpDoc, Inc. - Confidential and Proprietary Page 1 of 1</w:t>
      </w:r>
    </w:p>
    <w:p>
      <w:pPr>
        <w:pStyle w:val="Heading1"/>
        <w:pageBreakBefore/>
      </w:pPr>
      <w:r>
        <w:t>FDA-2026-N-7874-0073</w:t>
      </w:r>
    </w:p>
    <w:p>
      <w:r>
        <w:t>Comment from Joel Grunhut</w:t>
      </w:r>
    </w:p>
    <w:p>
      <w:r>
        <w:rPr>
          <w:color w:val="777777"/>
          <w:sz w:val="18"/>
        </w:rPr>
        <w:t>received 2026-09-07 · attachments: attachment_1.pdf (31 pp)</w:t>
      </w:r>
    </w:p>
    <w:p>
      <w:r>
        <w:rPr>
          <w:color w:val="777777"/>
          <w:sz w:val="16"/>
        </w:rPr>
        <w:t xml:space="preserve">p001 · body  </w:t>
      </w:r>
      <w:r>
        <w:t>Please see the attached for my comments</w:t>
      </w:r>
    </w:p>
    <w:p>
      <w:r>
        <w:rPr>
          <w:color w:val="777777"/>
          <w:sz w:val="16"/>
        </w:rPr>
        <w:t xml:space="preserve">p002 · att1 p.1  </w:t>
      </w:r>
      <w:r>
        <w:t>Considerations for the Regulation of Generative Al-Enabled Medical — Devices: Discussion Paper and Request for Feedback</w:t>
      </w:r>
    </w:p>
    <w:p>
      <w:r>
        <w:rPr>
          <w:color w:val="777777"/>
          <w:sz w:val="16"/>
        </w:rPr>
        <w:t xml:space="preserve">p003 · att1 p.1  </w:t>
      </w:r>
      <w:r>
        <w:t>™ — \ ;</w:t>
      </w:r>
    </w:p>
    <w:p>
      <w:r>
        <w:rPr>
          <w:color w:val="777777"/>
          <w:sz w:val="16"/>
        </w:rPr>
        <w:t xml:space="preserve">p004 · att1 p.1  </w:t>
      </w:r>
      <w:r>
        <w:t>" mc) ~@)2 “3 \ 4 | DD. 4 =A © aie) ™Gs —_— 6h ee 2 = {Ve</w:t>
      </w:r>
    </w:p>
    <w:p>
      <w:r>
        <w:rPr>
          <w:color w:val="777777"/>
          <w:sz w:val="16"/>
        </w:rPr>
        <w:t xml:space="preserve">p005 · att1 p.1  </w:t>
      </w:r>
      <w:r>
        <w:t>Ome) ye i \ — August 2026 U.S. FOOD &amp; DRUG — Considerations for the Regulation of Generative AI-Enabled Medical Devices: Discussion Paper and Request for Feedback</w:t>
      </w:r>
    </w:p>
    <w:p>
      <w:r>
        <w:rPr>
          <w:color w:val="777777"/>
          <w:sz w:val="16"/>
        </w:rPr>
        <w:t xml:space="preserve">p006 · att1 p.2  </w:t>
      </w:r>
      <w:r>
        <w:t>This paper is intended for discussion purposes only and does not represent draft or final guidance. This paper is not intended to propose or implement policy changes regarding how CDRH intends to regulate generative AI-enabled devices. This paper is not intended to communicate CDRH’s proposed (or final) regulatory expectations, including its expectations for supporting evidence in future marketing submissions, but is instead meant to seek early input from groups and individuals outside the Agency and to advance a broader discussion among stakeholders on this topic. Finally, this paper is not intended to address whether the approaches discussed below are within FDA’s existing legal authorities or whether new legal authorities would be necessary.</w:t>
      </w:r>
    </w:p>
    <w:p>
      <w:r>
        <w:rPr>
          <w:color w:val="777777"/>
          <w:sz w:val="16"/>
        </w:rPr>
        <w:t xml:space="preserve">p007 · att1 p.2  </w:t>
      </w:r>
      <w:r>
        <w:t>I. Introduction — Generative artificial intelligence (GenAI)‑enabled medical devices hold transformative promise for patient care and the broader health ecosystem. At the same time, these devices may introduce unique risks when compared to traditional software and artificial intelligence (AI)-enabled medical devices.1 FDA’s Center for Devices and Radiological Health (CDRH) has previously identified certain regulatory challenges for GenAI- enabled medical devices2 (hereafter referred to as “GenAI-enabled devices”) and continues to contemplate ways to advance regulatory approaches for these devices. This discussion paper is intended to engage stakeholders on this topic and to solicit feedback on risk assessment, premarket evaluation, postmarket monitoring, and other topics relevant to the regulation of GenAI-enabled devices. CDRH’s ultimate goal is to enable a nimble regulatory approach that employs least burdensome principles and allows patients timely access to safe and effective medical devices.</w:t>
      </w:r>
    </w:p>
    <w:p>
      <w:r>
        <w:rPr>
          <w:color w:val="777777"/>
          <w:sz w:val="16"/>
        </w:rPr>
        <w:t xml:space="preserve">p008 · att1 p.2  </w:t>
      </w:r>
      <w:r>
        <w:t>As with all medical devices, CDRH anticipates applying a risk-based approach to regulating GenAI-enabled devices, taking into consideration the product’s intended use and technological characteristics. Furthermore, CDRH has long promoted a total product life cycle (TPLC) approach to the regulation of medical devices, including AI- enabled devices, and a TPLC approach is likely to be important to the regulation of GenAI-enabled devices.</w:t>
      </w:r>
    </w:p>
    <w:p>
      <w:r>
        <w:rPr>
          <w:color w:val="777777"/>
          <w:sz w:val="16"/>
        </w:rPr>
        <w:t xml:space="preserve">p009 · att1 p.2  </w:t>
      </w:r>
      <w:r>
        <w:t>1 See FDA’s AI-Enabled Medical Devices List available at: https://www.fda.gov/medical-devices/software-medicaldevice-samd/artificial-intelligence-enabled-medical-devices. 2 See “Executive Summary for the Digital Health Advisory Committee Meeting: Total Product Lifecycle Considerations for Generative AI-Enabled Devices” available at https://www.fda.gov/media/182871/download.</w:t>
      </w:r>
    </w:p>
    <w:p>
      <w:r>
        <w:rPr>
          <w:color w:val="777777"/>
          <w:sz w:val="16"/>
        </w:rPr>
        <w:t xml:space="preserve">p010 · att1 p.3  </w:t>
      </w:r>
      <w:r>
        <w:t>II. Background — GenAI-enabled devices have unique characteristics and behaviors that are distinct from traditional software and AI-enabled devices that FDA regulates. They may accept openended inputs, perform multiple subtasks, and produce variable outputs to similar inputs. In some cases, they can also evolve over time through changes to features such as the underlying model, prompts, retrieval strategies, guardrails, orchestration logic, and/or user interface. Many are built on general-purpose foundation models developed by third-party entities, whose models offer varying levels of transparency into their training data, architecture, and evaluation methods, making it difficult to attribute specific behaviors and errors to the device or its underlying model. The generally broader and more flexible capabilities associated with GenAI-enabled devices may offer several benefits, including more personalized outputs, improved adaptability to novel inputs, enhanced user interaction, and support for more complex decision-making tasks. However, the same characteristics may introduce risks, including confabulations (or hallucinations) that may appear authentic to users, uncertainty in the bounds of a device’s intended use, limited visibility into underlying third-party foundation models, and performance degradation of the device and its components across test environments and in real-world applications across the TPLC.</w:t>
      </w:r>
    </w:p>
    <w:p>
      <w:r>
        <w:rPr>
          <w:color w:val="777777"/>
          <w:sz w:val="16"/>
        </w:rPr>
        <w:t xml:space="preserve">p011 · att1 p.3  </w:t>
      </w:r>
      <w:r>
        <w:t>In November 2024, CDRH held a public advisory committee meeting of the Digital Health Advisory Committee (DHAC) to discuss TPLC considerations for GenAI-enabled devices.3 In its Executive Summary for this DHAC meeting, CDRH discussed two broad categories of regulatory challenges applicable to GenAI-enabled devices: (1) challenges associated with applying a risk-based approach to classifying and determining regulatory requirements for GenAI-enabled devices; and (2) challenges associated with determining the types of valid scientific evidence (“evidence”) for FDA’s evaluation of the safety and effectiveness of such devices across the TPLC.4</w:t>
      </w:r>
    </w:p>
    <w:p>
      <w:r>
        <w:rPr>
          <w:color w:val="777777"/>
          <w:sz w:val="16"/>
        </w:rPr>
        <w:t xml:space="preserve">p012 · att1 p.3  </w:t>
      </w:r>
      <w:r>
        <w:t>In particular, CDRH discussed the possibility that new methodologies may need to be developed to evaluate the performance of GenAI-enabled devices. CDRH also acknowledged that, even with new methodologies, some GenAI-enabled devices may be challenging to review in the premarket setting because they have the potential to undergo continuous adjustments and, for devices with broad intended uses or those that use open-ended input and output formats, it may be unreasonable to evaluate every conceivable input that the device might encounter during deployment. Therefore, CDRH stated that it will be important for manufacturers to consider how to effectively evaluate and monitor the GenAI-enabled device, and the underlying foundation model as applicable, for its specific intended use in a way that can ensure that device accuracy, relevance, and reliability are maintained, once deployed. CDRH also stated that to ensure continued safety and effectiveness of GenAI-enabled devices, it may be</w:t>
      </w:r>
    </w:p>
    <w:p>
      <w:r>
        <w:rPr>
          <w:color w:val="777777"/>
          <w:sz w:val="16"/>
        </w:rPr>
        <w:t xml:space="preserve">p013 · att1 p.3  </w:t>
      </w:r>
      <w:r>
        <w:t>3 For more information on this meeting, see November 20-21, 2024: Digital Health Advisory Committee Meeting Announcement - 11/20/2024. 4 See “Executive Summary for the Digital Health Advisory Committee Meeting: Total Product Lifecycle Considerations for Generative AI-Enabled Devices” available at https://www.fda.gov/media/182871/download.</w:t>
      </w:r>
    </w:p>
    <w:p>
      <w:r>
        <w:rPr>
          <w:color w:val="777777"/>
          <w:sz w:val="16"/>
        </w:rPr>
        <w:t xml:space="preserve">p014 · att1 p.4  </w:t>
      </w:r>
      <w:r>
        <w:t>important for premarket evidence to be complemented by postmarket evidence gathered through robust device performance monitoring approaches.</w:t>
      </w:r>
    </w:p>
    <w:p>
      <w:r>
        <w:rPr>
          <w:color w:val="777777"/>
          <w:sz w:val="16"/>
        </w:rPr>
        <w:t xml:space="preserve">p015 · att1 p.4  </w:t>
      </w:r>
      <w:r>
        <w:t>The regulatory challenges applicable to GenAI-enabled devices and associated considerations are addressed in further detail in the Executive Summary for the November 2024 DHAC meeting. CDRH continues to be committed to working collaboratively with stakeholders to identify efficient, scientifically sound approaches for applying least burdensome principles to the evaluation of GenAI-enabled devices, informed by established best practices. CDRH’s goal is to support innovation while promoting and protecting public health, and to establish regulatory approaches that will permit beneficial devices to reach clinicians, patients, consumers, and health systems when there are reasonable assurances of safety and effectiveness.</w:t>
      </w:r>
    </w:p>
    <w:p>
      <w:r>
        <w:rPr>
          <w:color w:val="777777"/>
          <w:sz w:val="16"/>
        </w:rPr>
        <w:t xml:space="preserve">p016 · att1 p.4  </w:t>
      </w:r>
      <w:r>
        <w:t>III. Definitions and Context — This discussion paper focuses on GenAI-enabled devices. To support efficient discussion, this section provides brief definitions of key terms drawing from FDA’s Digital Health and Artificial Intelligence Glossary – Educational Resource and the context surrounding this discussion paper.</w:t>
      </w:r>
    </w:p>
    <w:p>
      <w:r>
        <w:rPr>
          <w:color w:val="777777"/>
          <w:sz w:val="16"/>
        </w:rPr>
        <w:t xml:space="preserve">p017 · att1 p.4  </w:t>
      </w:r>
      <w:r>
        <w:t>GenAI is a class of AI models that emulate the structure and characteristics of input data in order to generate derived synthetic content. This can include images, videos, audio, text, and other digital content.5</w:t>
      </w:r>
    </w:p>
    <w:p>
      <w:r>
        <w:rPr>
          <w:color w:val="777777"/>
          <w:sz w:val="16"/>
        </w:rPr>
        <w:t xml:space="preserve">p018 · att1 p.4  </w:t>
      </w:r>
      <w:r>
        <w:t>Foundation models are AI models trained using large, typically unlabeled datasets and significant computational resources that are applicable across a wide range of contexts, including some contexts that the models were not specifically developed and trained for (i.e., emergent capabilities). These models can serve as the basis upon which further models can be built and adapted for specific uses through further training (fine-tuning). These models can perform a range of general tasks, such as text synthesis, image manipulation, and audio generation. These models are based on deep learning architectures like transformers and can use either unimodal or multimodal input data.6,7</w:t>
      </w:r>
    </w:p>
    <w:p>
      <w:r>
        <w:rPr>
          <w:color w:val="777777"/>
          <w:sz w:val="16"/>
        </w:rPr>
        <w:t xml:space="preserve">p019 · att1 p.4  </w:t>
      </w:r>
      <w:r>
        <w:t>A Large Language Model (LLM) is a type of AI model trained on large text datasets to learn the relationships between words in natural language. These models can apply these learned patterns to predict and generate natural language responses to a wide range of inputs or prompts they receive to conduct tasks like translation, summarization, and question answering. These models are characterized by a vast number of model parameters (i.e., internal learned variables within a trained model).8</w:t>
      </w:r>
    </w:p>
    <w:p>
      <w:r>
        <w:rPr>
          <w:color w:val="777777"/>
          <w:sz w:val="16"/>
        </w:rPr>
        <w:t xml:space="preserve">p020 · att1 p.4  </w:t>
      </w:r>
      <w:r>
        <w:t>5 See FDA Digital Health and Artificial Intelligence Glossary – Educational Resource. 6 For a description of transformer architecture, see Vaswani A, et al. Attention Is All You Need. Advances in Neural Information Processing Systems. 2017:30. doi:10.48550/arXiv:1706.03762. 7 See FDA Digital Health and Artificial Intelligence Glossary – Educational Resource. 8 See FDA Digital Health and Artificial Intelligence Glossary – Educational Resource.</w:t>
      </w:r>
    </w:p>
    <w:p>
      <w:r>
        <w:rPr>
          <w:color w:val="777777"/>
          <w:sz w:val="16"/>
        </w:rPr>
        <w:t xml:space="preserve">p021 · att1 p.5  </w:t>
      </w:r>
      <w:r>
        <w:t>Agentic AI systems are GenAI-enabled systems that autonomously plan and execute multi-step tasks, use external tools, or take actions across a sequence of steps.</w:t>
      </w:r>
    </w:p>
    <w:p>
      <w:r>
        <w:rPr>
          <w:color w:val="777777"/>
          <w:sz w:val="16"/>
        </w:rPr>
        <w:t xml:space="preserve">p022 · att1 p.5  </w:t>
      </w:r>
      <w:r>
        <w:t>Multimodal is an approach for processing and integrating multiple different data types, aiming to capture and leverage the relationships between them for a better understanding of the input information or improved prediction performance. These data types may include text, images, audio, video, genomics, sensor data, etc. These different data types may be processed using a single multimodal network (e.g., based on neural network, or other architectures) or through separate unimodal networks (e.g., LLMs for text and convolutional neural networks for images) where the unimodal outputs are combined.9</w:t>
      </w:r>
    </w:p>
    <w:p>
      <w:r>
        <w:rPr>
          <w:color w:val="777777"/>
          <w:sz w:val="16"/>
        </w:rPr>
        <w:t xml:space="preserve">p023 · att1 p.5  </w:t>
      </w:r>
      <w:r>
        <w:t>As described in FDA guidance Multiple Function Device Products: Policy and Considerations, medical products may contain several functions. A function is a distinct purpose of the product, which could be the intended use or a subset of the intended use of the product. For example, a product with an intended use to analyze data has one function: analysis. A product with an intended use to store, transfer, and analyze data has three functions: (1) storage, (2) transfer, and (3) analysis.</w:t>
      </w:r>
    </w:p>
    <w:p>
      <w:r>
        <w:rPr>
          <w:color w:val="777777"/>
          <w:sz w:val="16"/>
        </w:rPr>
        <w:t xml:space="preserve">p024 · att1 p.5  </w:t>
      </w:r>
      <w:r>
        <w:t>FDA’s current risk-based approach to the regulation of software functions applies to each software function of a product. As discussed in FDA guidance Policy for Device Software Functions and Mobile Medical Applications (or DSF-MMA guidance), many software functions are not medical devices, meaning such software functions do not meet the definition of “device” in section 201(h) of the FD&amp;C Act (in some cases, because they are excluded from the definition of “device” pursuant to section 520(o) of the FD&amp;C Act). FDA does not regulate such software functions as devices. Other software functions may meet the definition of a device, but because they pose a lower risk to the public, FDA may have communicated general enforcement discretion policies for these functions (meaning FDA has said that generally it does not intend to enforce requirements under the FD&amp;C Act). In general, FDA applies its regulatory oversight to those software functions that meet the device definition and whose functionality could pose a risk to a patient’s safety if the device were not to function as intended. Software functions that meet the definition of device are referred to as device software functions.</w:t>
      </w:r>
    </w:p>
    <w:p>
      <w:r>
        <w:rPr>
          <w:color w:val="777777"/>
          <w:sz w:val="16"/>
        </w:rPr>
        <w:t xml:space="preserve">p025 · att1 p.5  </w:t>
      </w:r>
      <w:r>
        <w:t>In this discussion paper, the term GenAI-enabled device is used to describe a product that contains one or more device software functions that are enabled by GenAI. Similarly, a GenAI-enabled device software function is a device software function that is enabled by GenAI. In some instances, a GenAI-enabled device software function may itself be a GenAI-enabled device when it is the only function in the device. However, a GenAI-enabled device can also contain multiple device functions, which may not all be GenAI-enabled, and/or “other functions”10 that are not the focus of FDA’s regulatory</w:t>
      </w:r>
    </w:p>
    <w:p>
      <w:r>
        <w:rPr>
          <w:color w:val="777777"/>
          <w:sz w:val="16"/>
        </w:rPr>
        <w:t xml:space="preserve">p026 · att1 p.5  </w:t>
      </w:r>
      <w:r>
        <w:t>9 See FDA Digital Health and Artificial Intelligence Glossary – Educational Resource. 10 For purposes of this discussion paper, “other functions” are functions that do not meet the definition of device; meet the definition of device but are exempt from premarket notification (i.e., 510(k)-exempt); or meet the definition of device but for which CDRH has expressed its intention not to enforce compliance with FDA requirements. For more information, see FDA guidance Multiple Function Device Products: Policy and Considerations.</w:t>
      </w:r>
    </w:p>
    <w:p>
      <w:r>
        <w:rPr>
          <w:color w:val="777777"/>
          <w:sz w:val="16"/>
        </w:rPr>
        <w:t xml:space="preserve">p027 · att1 p.6  </w:t>
      </w:r>
      <w:r>
        <w:t>oversight. CDRH acknowledges that a GenAI-enabled device software function can be integrated into a broader device, with other hardware and software components; this discussion paper addresses the GenAI-enabled component of that device, but not the entire device.</w:t>
      </w:r>
    </w:p>
    <w:p>
      <w:r>
        <w:rPr>
          <w:color w:val="777777"/>
          <w:sz w:val="16"/>
        </w:rPr>
        <w:t xml:space="preserve">p028 · att1 p.6  </w:t>
      </w:r>
      <w:r>
        <w:t>It is important to note that FDA does not regulate GenAI as such; it regulates medical devices, including GenAI-enabled devices. This is consistent with how FDA considers other types of technology in its regulation of devices: FDA does not regulate software as such, hardware as such, or AI as such, but regulates products that meet the definition of device under the FD&amp;C Act, applying risk-based oversight based on the regulatory controls needed to provide a reasonable assurance of safety and effectiveness.</w:t>
      </w:r>
    </w:p>
    <w:p>
      <w:r>
        <w:rPr>
          <w:color w:val="777777"/>
          <w:sz w:val="16"/>
        </w:rPr>
        <w:t xml:space="preserve">p029 · att1 p.6  </w:t>
      </w:r>
      <w:r>
        <w:t>IV. Considerations for the Assessment of Risk for GenAI-Enabled Devices — Assessment of risk is critical to risk-proportionate regulation of GenAI-enabled devices. Risk assessment may affect FDA’s scope of regulatory oversight, its evidentiary requirements in the premarket setting, and its expectations surrounding postmarket monitoring and change control.</w:t>
      </w:r>
    </w:p>
    <w:p>
      <w:r>
        <w:rPr>
          <w:color w:val="777777"/>
          <w:sz w:val="16"/>
        </w:rPr>
        <w:t xml:space="preserve">p030 · att1 p.6  </w:t>
      </w:r>
      <w:r>
        <w:t>To support consistent thinking about risk for GenAI-enabled software functions, a twoaxis framework is a possible organizing heuristic (Figure 1). Such a framework draws conceptual structure from analogous matrices used in other FDA guidance documents.11 The framework places device activity on one axis and the “consequences,” or severity of harm of relying on an incorrect device output, on the other. It implies a gradient of increasing risk extending from the lower-left corner to the upper-right.</w:t>
      </w:r>
    </w:p>
    <w:p>
      <w:r>
        <w:rPr>
          <w:color w:val="777777"/>
          <w:sz w:val="16"/>
        </w:rPr>
        <w:t xml:space="preserve">p031 · att1 p.6  </w:t>
      </w:r>
      <w:r>
        <w:t>11 See, for example, FDA draft guidance Considerations for the Use of Artificial Intelligence To Support Regulatory Decision-Making for Drug and Biological Products and FDA guidance Assessing the Credibility of Computational Modeling and Simulation in Medical Device Submissions.</w:t>
      </w:r>
    </w:p>
    <w:p>
      <w:r>
        <w:rPr>
          <w:color w:val="777777"/>
          <w:sz w:val="16"/>
        </w:rPr>
        <w:t xml:space="preserve">p032 · att1 p.7  </w:t>
      </w:r>
      <w:r>
        <w:t>Figure 1. A possible two-axis framework for thinking about risk for GenAI-enabled software functions. The horizontal axis represents the activity performed by the function, increasing in the degree and independence of device activity from left to right. The vertical axis represents the consequence of relying upon an incorrect output. Risk increases from the lower left toward the upper right. HCP = healthcare professional.</w:t>
      </w:r>
    </w:p>
    <w:p>
      <w:r>
        <w:rPr>
          <w:color w:val="777777"/>
          <w:sz w:val="16"/>
        </w:rPr>
        <w:t xml:space="preserve">p033 · att1 p.7  </w:t>
      </w:r>
      <w:r>
        <w:t>The activity axis recognizes that the risk of a software function depends in part on how independently it directs or takes action. A function that provides non-directive information (for example, a risk score for a future cardiovascular event) is meaningfully different from one that, while nominally informational, directs an action (for example, a strongly worded patient-facing recommendation about whether to seek emergency care)12. A function that acts with continuous healthcare professional (HCP) supervision is meaningfully different from a function that acts in fully autonomous fashion.</w:t>
      </w:r>
    </w:p>
    <w:p>
      <w:r>
        <w:rPr>
          <w:color w:val="777777"/>
          <w:sz w:val="16"/>
        </w:rPr>
        <w:t xml:space="preserve">p034 · att1 p.7  </w:t>
      </w:r>
      <w:r>
        <w:t>The consequences axis recognizes that the risk of a software function also depends on the severity of harm that may result from using and relying upon an incorrect output. An incorrect recommendation about an over-the-counter remedy for a minor symptom is meaningfully different from an incorrect recommendation about adjusting an insulin dose.</w:t>
      </w:r>
    </w:p>
    <w:p>
      <w:r>
        <w:rPr>
          <w:color w:val="777777"/>
          <w:sz w:val="16"/>
        </w:rPr>
        <w:t xml:space="preserve">p035 · att1 p.7  </w:t>
      </w:r>
      <w:r>
        <w:t>CDRH seeks stakeholder feedback on possible use of this two-axis framework as a heuristic for thinking about risk for GenAI-enabled devices. It also seeks feedback on the following additional considerations for the assessment of risk as related to the twoaxis framework:</w:t>
      </w:r>
    </w:p>
    <w:p>
      <w:r>
        <w:rPr>
          <w:color w:val="777777"/>
          <w:sz w:val="16"/>
        </w:rPr>
        <w:t xml:space="preserve">p036 · att1 p.7  </w:t>
      </w:r>
      <w:r>
        <w:t>12 These and other examples in this section are illustrative only. They are meant to demonstrate concepts of the twoaxis framework and are not intended to mean that the software discussed is necessarily a device or is a software function that is the focus of FDA’s regulatory oversight.</w:t>
      </w:r>
    </w:p>
    <w:p>
      <w:r>
        <w:rPr>
          <w:color w:val="777777"/>
          <w:sz w:val="16"/>
        </w:rPr>
        <w:t xml:space="preserve">p037 · att1 p.8  </w:t>
      </w:r>
      <w:r>
        <w:t>“Action-directing” functions. As noted above, certain GenAI-enabled informational functions direct action for a patient or HCP. CDRH is considering treating these “actiondirecting” functions as higher risk functions than GenAI-enabled functions that provide simple non-directive information.</w:t>
      </w:r>
    </w:p>
    <w:p>
      <w:r>
        <w:rPr>
          <w:color w:val="777777"/>
          <w:sz w:val="16"/>
        </w:rPr>
        <w:t xml:space="preserve">p038 · att1 p.8  </w:t>
      </w:r>
      <w:r>
        <w:t>CDRH notes that the distinction between “non-directive” and “action-directing” information may not be binary but rather would likely involve a continuum. The degree to which informational functions direct users toward a particular action might vary significantly. For example, an informational function may provide general information (“lisinopril dosages are sometimes increased when blood pressure remains above the treatment goal”), connect general practice to the user’s circumstances (“in situations similar to this, clinicians often increase the lisinopril dosage”), endorse a specific action (“I recommend increasing the lisinopril dosage”), or provide a specific instruction (“increase the lisinopril from 10 mg to 20 mg daily”). CDRH is considering whether the degree to which an informational function may be directive may depend on the substance and context of the output, not solely on whether it uses words such as “recommend,” “should,” or “consider.” CDRH is also considering whether a patientfacing informational function may not become any less directive because it includes a “talk to your doctor” or an “I am not a medical professional” statement in addition to the “action-directing” information.</w:t>
      </w:r>
    </w:p>
    <w:p>
      <w:r>
        <w:rPr>
          <w:color w:val="777777"/>
          <w:sz w:val="16"/>
        </w:rPr>
        <w:t xml:space="preserve">p039 · att1 p.8  </w:t>
      </w:r>
      <w:r>
        <w:t>When a function is considered “action-directing,” CDRH is considering whether its presumptive risk may be moderated by its location on the consequences axis. For example, in the case of advisory information on self-treatment, a GenAI-enabled function directing a patient to apply over-the-counter hydrocortisone cream for poison ivy may be lower risk than a GenAI-enabled function directing a patient to increase or decrease their basal insulin dose. In the case of care triage, a GenAI-enabled function that advises a parent on whether or not to bring their child with a sore throat to a pediatrician or urgent care facility may be lower risk than a GenAI-enabled function that directs a patient to seek or not seek emergency department care for their chest pain.</w:t>
      </w:r>
    </w:p>
    <w:p>
      <w:r>
        <w:rPr>
          <w:color w:val="777777"/>
          <w:sz w:val="16"/>
        </w:rPr>
        <w:t xml:space="preserve">p040 · att1 p.8  </w:t>
      </w:r>
      <w:r>
        <w:t>“Action-taking” functions. CDRH is considering that a GenAI-enabled “action-taking” function, such as the affirmative assignment of a clinical diagnosis, the prescription of a medication, or the initiation of a clinical order set, is typically higher risk than a GenAI- enabled informational function. However, the presumptive risk associated with a GenAI- enabled action-taking function is also moderated by its location on the consequences axis. For example, the severity of harm that may result from the autonomous prescription of antibiotics for a confirmed strep throat infection may be substantially lower than the autonomous initiation of a thrombolytic therapy order set in a stroke workflow, even given similar levels of HCP supervision.</w:t>
      </w:r>
    </w:p>
    <w:p>
      <w:r>
        <w:rPr>
          <w:color w:val="777777"/>
          <w:sz w:val="16"/>
        </w:rPr>
        <w:t xml:space="preserve">p041 · att1 p.8  </w:t>
      </w:r>
      <w:r>
        <w:t>Measurement and signal processing functions. GenAI-enabled in vitro diagnostic, measurement, and signal processing functions present special considerations around risk assessment because they often produce outputs that are not directly assessable by the user, and the user may not be able to identify and avoid relying upon incorrect outputs. CDRH is considering that although these functions yield non-directive information, they may nonetheless be of higher risk because the user typically cannot independently evaluate the basis for the output (and therefore the function may migrate higher on the consequences axis).13</w:t>
      </w:r>
    </w:p>
    <w:p>
      <w:r>
        <w:rPr>
          <w:color w:val="777777"/>
          <w:sz w:val="16"/>
        </w:rPr>
        <w:t xml:space="preserve">p042 · att1 p.9  </w:t>
      </w:r>
      <w:r>
        <w:t>Patient-facing informational functions versus HCP-facing informational functions. GenAI-enabled patient-facing informational functions may present different considerations from GenAI-enabled HCP-facing informational functions. HCPs may be better equipped than patients to interpret an output in context, to recognize its limitations, and to integrate it with other clinical information such that they can identify an incorrect output and not rely upon it; patients, lacking this training, may not be able to identify an incorrect output, may rely upon it, and may take downstream actions that adversely affect outcomes, including delaying needed care or pursuing inappropriate self-treatment. Such considerations could be captured within the two-axis risk framework by shifting certain functions higher on the consequences axis when they are patient-facing rather than HCP-facing. On the other hand, there may be important benefits associated with the democratization of clinical information, with patient empowerment and engagement, and with avoiding medical parentalism that may underestimate patient capability. CDRH seeks stakeholder input on whether and when the delivery of clinical information to users who lack the domain knowledge needed to independently evaluate the output should be considered higher risk.</w:t>
      </w:r>
    </w:p>
    <w:p>
      <w:r>
        <w:rPr>
          <w:color w:val="777777"/>
          <w:sz w:val="16"/>
        </w:rPr>
        <w:t xml:space="preserve">p043 · att1 p.9  </w:t>
      </w:r>
      <w:r>
        <w:t>Generalist HCP-facing versus specialist HCP-facing functions. A closely related question arises with respect to GenAI-enabled functions intended for use by HCPs without specialty-level training in the clinical domain the function is intended for. A function that helps a generalist HCP approach a question typically handled by a specialist may meaningfully extend access to specialty knowledge, while a function whose safe use depends on contextualization by specialist expertise may present elevated risk when used by HCPs lacking that expertise to independently evaluate outputs. CDRH seeks input on whether and how this distinction might inform the assessment of risk.</w:t>
      </w:r>
    </w:p>
    <w:p>
      <w:r>
        <w:rPr>
          <w:color w:val="777777"/>
          <w:sz w:val="16"/>
        </w:rPr>
        <w:t xml:space="preserve">p044 · att1 p.9  </w:t>
      </w:r>
      <w:r>
        <w:t>Beyond the two-axis risk framework, CDRH also seeks feedback on the following additional considerations relevant to the assessment of risk for GenAI-enabled devices:</w:t>
      </w:r>
    </w:p>
    <w:p>
      <w:r>
        <w:rPr>
          <w:color w:val="777777"/>
          <w:sz w:val="16"/>
        </w:rPr>
        <w:t xml:space="preserve">p045 · att1 p.9  </w:t>
      </w:r>
      <w:r>
        <w:t>Multi-turn conversations. Conversational GenAI-enabled devices may produce outputs in the context of an extended exchange. A device may begin by performing an informational function and migrate, over the course of a conversation, to an actiondirecting function. CDRH is considering an approach for assessing risk of such devices that would consider the device’s behavior across realistic conversational trajectories, not only at the level of individual functions.</w:t>
      </w:r>
    </w:p>
    <w:p>
      <w:r>
        <w:rPr>
          <w:color w:val="777777"/>
          <w:sz w:val="16"/>
        </w:rPr>
        <w:t xml:space="preserve">p046 · att1 p.9  </w:t>
      </w:r>
      <w:r>
        <w:t>Care escalation functions. CDRH notes that for GenAI-enabled functions involving care escalation decisions, such as advising whether to seek emergency care, both under-escalation and over-escalation can impact assessment of risk of such functions. Under-escalation, in which a function fails to direct a patient toward needed care, can</w:t>
      </w:r>
    </w:p>
    <w:p>
      <w:r>
        <w:rPr>
          <w:color w:val="777777"/>
          <w:sz w:val="16"/>
        </w:rPr>
        <w:t xml:space="preserve">p047 · att1 p.9  </w:t>
      </w:r>
      <w:r>
        <w:t>13 This consideration seems consistent with the independent-review criterion of the clinical decision support exclusion under section 520(o)(1)(E).</w:t>
      </w:r>
    </w:p>
    <w:p>
      <w:r>
        <w:rPr>
          <w:color w:val="777777"/>
          <w:sz w:val="16"/>
        </w:rPr>
        <w:t xml:space="preserve">p048 · att1 p.10  </w:t>
      </w:r>
      <w:r>
        <w:t>result in delayed treatment with potentially serious consequences. Over-escalation, in which a function systematically directs patients toward emergency care that is not clinically warranted, can produce harms that include patient anxiety, unnecessary tests or procedures, unnecessary emergency department utilization, increased resource burden on healthcare systems, and erosion of patient trust in ways that may reduce appropriate care-seeking over time. CDRH is considering whether assessment of risk in GenAI-enabled escalation functions should consider both directions of error.</w:t>
      </w:r>
    </w:p>
    <w:p>
      <w:r>
        <w:rPr>
          <w:color w:val="777777"/>
          <w:sz w:val="16"/>
        </w:rPr>
        <w:t xml:space="preserve">p049 · att1 p.10  </w:t>
      </w:r>
      <w:r>
        <w:t>A. Discussion questions — 1. Does the two-axis risk framework, organized around device activity and the consequence of relying on an incorrect output, appropriately capture the dimensions most relevant to the risk of a GenAI-enabled software function? If there are additional dimensions—such as the reversibility of a resulting action, the availability of downstream safeguards, the time pressure of the deployment setting, or the traceability of the output (i.e., to primary source materials)—that should be represented in a risk framework, please describe and provide examples of how they should be represented. 2. CDRH seeks input on how to account for the spectrum of GenAI-enabled informational functions that vary in the degree to which they direct a user to a particular action (i.e., between “non-directive” and “action-directing”). What characteristics of an output—such as its wording, specificity, personalization, or context—could be considered as modifiers of the risk associated with an informational function, after accounting for the device’s overall functionality and intended use? What additional information would provide manufacturers with sufficient clarity and predictability around risk assessment for informational functions while recognizing that directiveness may exist along a continuum rather than as a binary distinction? 3. CDRH seeks input on whether and when a GenAI-enabled function that results in delivery of clinical information to patients, as opposed to HCPs, could present different or higher risks, while also recognizing the potential benefits associated with improved patient empowerment, engagement, and access to clinical information. What device characteristics, output features, or safeguards might mitigate risks that could arise when a user lacks the domain knowledge to independently evaluate an output, without unnecessarily underestimating patient capability? 4. CDRH seeks input on whether and how the distinction between generalist and specialist physicians might inform the assessment of risk for HCP-facing GenAI-enabled functions. Under what circumstances, if any, might risk be affected when an HCP who lacks the relevant clinical specialist knowledge receives information that falls within a specialist area of practice? What device characteristics or safeguards might mitigate such risks? 5. 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 6. For GenAI-enabled care escalation functions, CDRH is considering how the evaluation may account for both under-escalation and over-escalation. How could manufacturers characterize and weigh these two directions of error, given that they may not be commensurable and that acceptable trade-offs may vary by clinical context?</w:t>
      </w:r>
    </w:p>
    <w:p>
      <w:r>
        <w:rPr>
          <w:color w:val="777777"/>
          <w:sz w:val="16"/>
        </w:rPr>
        <w:t xml:space="preserve">p050 · att1 p.11  </w:t>
      </w:r>
      <w:r>
        <w:t>V. A Competency-Based Approach for Premarket Evaluation of GenAI-Enabled Devices — CDRH recognizes that evaluation approaches developed for software with bounded inputs and fixed outputs may not be appropriate for GenAI-enabled devices. Such evaluation has traditionally relied on extensive testing across a representative sample of device inputs and outputs; for GenAI-enabled devices, the range of possible inputs and outputs may be too large for such testing to be practical. As described in Section II, CDRH has previously recognized that performance evaluation of GenAI-enabled devices and their functions may require new methodologies.</w:t>
      </w:r>
    </w:p>
    <w:p>
      <w:r>
        <w:rPr>
          <w:color w:val="777777"/>
          <w:sz w:val="16"/>
        </w:rPr>
        <w:t xml:space="preserve">p051 · att1 p.11  </w:t>
      </w:r>
      <w:r>
        <w:t>Recognizing the potential need for new evaluation approaches for GenAI-enabled devices, several authors have advocated for models inspired by the evaluation and credentialing of human clinicians. Patel and Blumenthal14 argue that GenAI is too broad, adaptive, and opaque to be evaluated effectively through current medical device regulatory frameworks and instead propose competency-based regulation modeled on medical training, licensure examinations, supervised practice, periodic reevaluation, and public reporting. Bergman, Wachter, and Emanuel15 extend the concept to autonomous GenAI through a licensure-like framework with defined scope of practice, time-limited certification, ongoing monitoring, and explicit accountability for developers and deploying institutions. Freyer et al.16 acknowledge the compelling aspects of a human clinician-inspired regulatory approach but raise questions about accountability, noting that human clinicians face professional, legal, and reputational consequences when expected standards are not met, and arguing that analogous mechanisms are needed for flawed GenAI-enabled devices.</w:t>
      </w:r>
    </w:p>
    <w:p>
      <w:r>
        <w:rPr>
          <w:color w:val="777777"/>
          <w:sz w:val="16"/>
        </w:rPr>
        <w:t xml:space="preserve">p052 · att1 p.11  </w:t>
      </w:r>
      <w:r>
        <w:t>CDRH is considering a competency-based approach to premarket evaluation of GenAI- enabled devices that is also inspired, at a high level, by how human clinicians are evaluated and credentialed, but would be adapted for the technical, practical, and legal considerations applicable to the regulation of medical devices. Clinicians, as well as GenAI-enabled devices, can ingest broad and varied information and can produce open-ended responses across a wide range of situations. Moreover, clinicians are not</w:t>
      </w:r>
    </w:p>
    <w:p>
      <w:r>
        <w:rPr>
          <w:color w:val="777777"/>
          <w:sz w:val="16"/>
        </w:rPr>
        <w:t xml:space="preserve">p053 · att1 p.11  </w:t>
      </w:r>
      <w:r>
        <w:t>14 Patel B, Blumenthal D. A Novel Approach to Overseeing the Clinical Application of Generative AI. JAMA Health Forum. 2026;7(3):e256947. doi:10.1001/jamahealthforum.2025.6947. 15 Bergman A, Wachter RM, Emanuel EJ. A Licensure Framework for Autonomous Clinical AI. JAMA. 2026;335(20):1751-1754. doi:10.1001/jama.2026.5483. 16 Freyer O, Jayabalan S, et al. Overcoming Regulatory Barriers to the Implementation of AI Agents in Healthcare. Nature Medicine. 2025;31(10):3239-3243. doi:10.1038/s41591-025-03841-1.</w:t>
      </w:r>
    </w:p>
    <w:p>
      <w:r>
        <w:rPr>
          <w:color w:val="777777"/>
          <w:sz w:val="16"/>
        </w:rPr>
        <w:t xml:space="preserve">p054 · att1 p.12  </w:t>
      </w:r>
      <w:r>
        <w:t>evaluated through exhaustive testing of every scenario they may encounter; instead, they are evaluated through a combination of structured assessments of underlying knowledge and reasoning (including medical licensing, board examinations, and specialty board certifications) and supervised practice in real clinical environments with progressively greater independence (including during medical school clerkships, postgraduate residency training, and fellowships), followed by ongoing assessment after independent practice begins. Below, CDRH outlines and seeks input on a possible approach to the premarket evaluation of GenAI-enabled devices inspired by these considerations.</w:t>
      </w:r>
    </w:p>
    <w:p>
      <w:r>
        <w:rPr>
          <w:color w:val="777777"/>
          <w:sz w:val="16"/>
        </w:rPr>
        <w:t xml:space="preserve">p055 · att1 p.12  </w:t>
      </w:r>
      <w:r>
        <w:t>A. A Competency-Based Approach — CDRH is considering a competency-based approach to premarket evaluation of GenAI- enabled devices, consisting of non-clinical device benchmarking (Section V.B) and clinical confirmation (Section V.C). Under such an approach, the final user-facing device, as configured and intended to be deployed for real-world use—and not the foundation model standing alone or other isolated subcomponent—would be evaluated.</w:t>
      </w:r>
    </w:p>
    <w:p>
      <w:r>
        <w:rPr>
          <w:color w:val="777777"/>
          <w:sz w:val="16"/>
        </w:rPr>
        <w:t xml:space="preserve">p056 · att1 p.12  </w:t>
      </w:r>
      <w:r>
        <w:t>Importantly, a competency-based approach could be tailored to the device’s intended use and be proportionate to its risk, potentially utilizing the two-axis risk framework described in Section IV. For example, the device activity and the consequences of relying on an incorrect output could help inform the nature, rigor, and amount of evidence needed, including the elements evaluated through benchmarking, the range and difficulty of test conditions, and the extent of clinical confirmation.</w:t>
      </w:r>
    </w:p>
    <w:p>
      <w:r>
        <w:rPr>
          <w:color w:val="777777"/>
          <w:sz w:val="16"/>
        </w:rPr>
        <w:t xml:space="preserve">p057 · att1 p.12  </w:t>
      </w:r>
      <w:r>
        <w:t>The sections below describe high-level considerations for how a competency-based assessment of a GenAI-enabled device might be carried out. These descriptions are intended only to stimulate discussion and obtain stakeholder feedback. CDRH is committed to working collaboratively with stakeholders across government, industry, and academia to identify efficient, scientifically sound approaches to applying least burdensome principles to the evaluation of GenAI-enabled devices.</w:t>
      </w:r>
    </w:p>
    <w:p>
      <w:r>
        <w:rPr>
          <w:color w:val="777777"/>
          <w:sz w:val="16"/>
        </w:rPr>
        <w:t xml:space="preserve">p058 · att1 p.12  </w:t>
      </w:r>
      <w:r>
        <w:t>B. Device Benchmarking — Device benchmarking17 is conceived as evaluating whether the device, in its deployed or representative configuration, demonstrates the clinical knowledge, analytic capabilities, safety behavior, communication, and generalizability to support reasonable assurance of safety and effectiveness of the device for its intended use. It is conceived as a scalable, high-throughput approach to non-clinical evaluation, building on testing methodologies that can characterize device capabilities across a broad range of inputs.</w:t>
      </w:r>
    </w:p>
    <w:p>
      <w:r>
        <w:rPr>
          <w:color w:val="777777"/>
          <w:sz w:val="16"/>
        </w:rPr>
        <w:t xml:space="preserve">p059 · att1 p.12  </w:t>
      </w:r>
      <w:r>
        <w:t>17 CDRH recognizes that industry stakeholders may use “benchmarking,” “evaluation,” or other terms—sometimes interchangeably and sometimes with slight distinctions—in reference to the methods described in this section. CDRH uses the “benchmarking” term throughout to avoid confusion with the term “evaluation,” which can imply other types of testing for medical devices generally.</w:t>
      </w:r>
    </w:p>
    <w:p>
      <w:r>
        <w:rPr>
          <w:color w:val="777777"/>
          <w:sz w:val="16"/>
        </w:rPr>
        <w:t xml:space="preserve">p060 · att1 p.13  </w:t>
      </w:r>
      <w:r>
        <w:t>CDRH notes that the term “benchmarking” is broadly understood by industry stakeholders to mean the use of well-defined, published, reusable tests and datasets (“assets”) to measure and compare the performance of AI-enabled products at a specific point in time. This is consistent with how this term is used in this discussion paper, although CDRH is considering that sponsors might not only use well-defined tests and datasets developed by third-party entities, but also propose their own specialized tests and datasets tailored to their specific device and its functions. CDRH recognizes that there may be challenges with publicly available benchmarking assets due to data contamination, saturation, and lack of representativeness of real-world conditions18 and is interested in feedback from stakeholders on how this may impact the approaches described in this paper.</w:t>
      </w:r>
    </w:p>
    <w:p>
      <w:r>
        <w:rPr>
          <w:color w:val="777777"/>
          <w:sz w:val="16"/>
        </w:rPr>
        <w:t xml:space="preserve">p061 · att1 p.13  </w:t>
      </w:r>
      <w:r>
        <w:t>1. Benchmarking Elements — CDRH is considering benchmarking to be composed of several elements. CDRH does not anticipate that all elements would necessarily apply to all devices; rather, elements would be chosen based on applicability to the device’s intended use and risk profile. CDRH is considering the following benchmarking elements:</w:t>
      </w:r>
    </w:p>
    <w:p>
      <w:r>
        <w:rPr>
          <w:color w:val="777777"/>
          <w:sz w:val="16"/>
        </w:rPr>
        <w:t xml:space="preserve">p062 · att1 p.13  </w:t>
      </w:r>
      <w:r>
        <w:t>• Safety: o S.1 Safety-critical recognition and escalation; o S.2 Scope maintenance and boundary adherence; and o S.3 Calibration, uncertainty communication, and clinical deferral • Clinical Proficiency: o E.1 Clinical knowledge and task fidelity; o E.2 Information gathering and clinical analysis; o E.3 Quantitative and measurement analysis; and o E.4 Communication quality and user comprehension • Generalizability: o R.1 Robustness, reliability, and reproducibility; and o R.2 Subgroup performance • Agentic AI Capabilities: o A.1 Additional competencies applicable only to agentic GenAI-enabled devices</w:t>
      </w:r>
    </w:p>
    <w:p>
      <w:r>
        <w:rPr>
          <w:color w:val="777777"/>
          <w:sz w:val="16"/>
        </w:rPr>
        <w:t xml:space="preserve">p063 · att1 p.13  </w:t>
      </w:r>
      <w:r>
        <w:t>18 Garcia V, Sidulova M, Badano A. Performance Assessment Strategies for Language Model Applications in Healthcare. Artificial Intelligence in the Life Sciences. 2026:9. doi:10.1016/j.ailsci.2026.100162.</w:t>
      </w:r>
    </w:p>
    <w:p>
      <w:r>
        <w:rPr>
          <w:color w:val="777777"/>
          <w:sz w:val="16"/>
        </w:rPr>
        <w:t xml:space="preserve">p064 · att1 p.14  </w:t>
      </w:r>
      <w:r>
        <w:t>Appendix A describes in greater detail how CDRH is considering each element.</w:t>
      </w:r>
    </w:p>
    <w:p>
      <w:r>
        <w:rPr>
          <w:color w:val="777777"/>
          <w:sz w:val="16"/>
        </w:rPr>
        <w:t xml:space="preserve">p065 · att1 p.14  </w:t>
      </w:r>
      <w:r>
        <w:t>Figure 2. A possible approach to device benchmarking. Elements would be chosen based on applicability to the device’s intended use and risk profile.</w:t>
      </w:r>
    </w:p>
    <w:p>
      <w:r>
        <w:rPr>
          <w:color w:val="777777"/>
          <w:sz w:val="16"/>
        </w:rPr>
        <w:t xml:space="preserve">p066 · att1 p.14  </w:t>
      </w:r>
      <w:r>
        <w:t>2. Methodological Approaches and General Principles — CDRH envisions that for benchmarking conducted under a competency-based approach, sponsors would define the scope of testing based on the device’s intended use and risk profile, prespecify evaluation methods, describe and justify scoring rubrics, identify qualified expert adjudicators where applicable, and prespecify and justify acceptance criteria. CDRH recognizes that there could be opportunities for sponsors to leverage methodologies such as synthetic data generation and simulation tools, including virtual patient avatars, to conduct testing in a manner that is predictable, standardized, and amenable to automation. Such infrastructure could potentially support not only initial evaluation but also ongoing assessment of device performance over time and in response to modifications; in particular, as discussed in Section VI, the initial device benchmarking may serve as a reference against which later changes are evaluated.</w:t>
      </w:r>
    </w:p>
    <w:p>
      <w:r>
        <w:rPr>
          <w:color w:val="777777"/>
          <w:sz w:val="16"/>
        </w:rPr>
        <w:t xml:space="preserve">p067 · att1 p.15  </w:t>
      </w:r>
      <w:r>
        <w:t>CDRH is considering that several general principles may apply across benchmarking, such as:</w:t>
      </w:r>
    </w:p>
    <w:p>
      <w:r>
        <w:rPr>
          <w:color w:val="777777"/>
          <w:sz w:val="16"/>
        </w:rPr>
        <w:t xml:space="preserve">p068 · att1 p.15  </w:t>
      </w:r>
      <w:r>
        <w:t>• Consistent with expectations for non-clinical performance testing across devices,19 test methods and acceptance criteria would be prespecified prior to testing. • Where device outputs are evaluated against scoring rubrics, such rubrics would be grounded in established clinical guidelines or validated through qualified expert input and fit-for-use within the assessment context, including with respect to the specific patient population, clinical setting, and intended use of the device. • Where expert adjudication is warranted, it would include adjudicators that are structurally independent from the device sponsor and, where the device incorporates a third-party model, from the developer of that model, and possess qualifications aligned with the clinical domain and complexity of the outputs under review. These considerations would still be applicable when the expert adjudicator is itself an LLM. • Benchmarking would be expected to be of sufficient clinical and functional scope to evaluate the device for its intended use. For example, a GenAI- enabled device intended to prescribe medications for cardiovascular conditions may prescribe medications that can affect comorbid diseases in other clinical domains or interact with medications prescribed for non-cardiovascular conditions; in such cases, it may be appropriate to expect benchmark testing to assess clinical knowledge and analysis across other relevant clinical domains. Similarly, because a GenAI-enabled device may perform differently depending on its deployment environment, it may be appropriate to expect benchmark datasets to be representative of the deployment contexts in which the device is expected to be used.</w:t>
      </w:r>
    </w:p>
    <w:p>
      <w:r>
        <w:rPr>
          <w:color w:val="777777"/>
          <w:sz w:val="16"/>
        </w:rPr>
        <w:t xml:space="preserve">p069 · att1 p.15  </w:t>
      </w:r>
      <w:r>
        <w:t>C. Clinical Confirmation — CDRH anticipates that under a competency-based approach, device benchmarking, as described above and however thorough, may not fully establish how a GenAI-enabled device will perform in real clinical use. GenAI-enabled devices interact with users, workflows, and patient populations in ways that may not be captured by structured benchmarking. CDRH is therefore considering that clinical confirmation may be a necessary step in addition to benchmarking to determine whether a GenAI-enabled device performs as intended for its intended population under real-world or clinically representative conditions.</w:t>
      </w:r>
    </w:p>
    <w:p>
      <w:r>
        <w:rPr>
          <w:color w:val="777777"/>
          <w:sz w:val="16"/>
        </w:rPr>
        <w:t xml:space="preserve">p070 · att1 p.15  </w:t>
      </w:r>
      <w:r>
        <w:t>Importantly, CDRH is considering that under such an approach, clinical confirmation might not require a prospective clinical study in every case. Rather, sponsors would be expected to provide evidence that the device performs in real or clinically representative use, with the type and rigor of evidence consistent with the device’s intended use and</w:t>
      </w:r>
    </w:p>
    <w:p>
      <w:r>
        <w:rPr>
          <w:color w:val="777777"/>
          <w:sz w:val="16"/>
        </w:rPr>
        <w:t xml:space="preserve">p071 · att1 p.15  </w:t>
      </w:r>
      <w:r>
        <w:t>19 See, e.g., FDA guidance Recommended Content and Format of Non-Clinical Bench Performance Testing Information in Premarket Submissions.</w:t>
      </w:r>
    </w:p>
    <w:p>
      <w:r>
        <w:rPr>
          <w:color w:val="777777"/>
          <w:sz w:val="16"/>
        </w:rPr>
        <w:t xml:space="preserve">p072 · att1 p.16  </w:t>
      </w:r>
      <w:r>
        <w:t>proportionate to its risk profile, potentially utilizing the two-axis risk framework described in Section IV. The appropriate approach may also depend on the type of patient data the device acts on.</w:t>
      </w:r>
    </w:p>
    <w:p>
      <w:r>
        <w:rPr>
          <w:color w:val="777777"/>
          <w:sz w:val="16"/>
        </w:rPr>
        <w:t xml:space="preserve">p073 · att1 p.16  </w:t>
      </w:r>
      <w:r>
        <w:t>1. Clinical Confirmation Approaches — A range of possible approaches might be considered to generate evidence of device performance in real or clinically representative use.20 These might be used individually, in sequence, or in combination. In approximate order of increasing rigor and patient exposure, these may include:</w:t>
      </w:r>
    </w:p>
    <w:p>
      <w:r>
        <w:rPr>
          <w:color w:val="777777"/>
          <w:sz w:val="16"/>
        </w:rPr>
        <w:t xml:space="preserve">p074 · att1 p.16  </w:t>
      </w:r>
      <w:r>
        <w:t>• Retrospective evaluation on real patient inputs. The device is applied to previously collected patient inputs, with outputs compared to an established reference standard or to expert clinical adjudication. Expert clinical adjudication might be established through multi-clinician consensus, with adjudicator independence from the device manufacturer and foundation model developer (as applicable) documented. Where real patient inputs are limited, synthetically generated inputs modeled on real patient data might, with appropriate justification, supplement this evaluation. • Shadow deployment. The device operates in a live clinical workflow on real patients, but its outputs are not shown to clinicians or patients and do not affect care. Outputs are recorded and compared against decisions actually made and, where appropriate, downstream outcomes. • Standardized patient interactions. Trained patient actors or representative individuals who could plausibly present as patients are directed to follow defined scenarios, with outputs evaluated against prospectively defined criteria. Depending on risk profile, this might serve as a proxy for performance with actual patients. • Clinician adjudication of real cases. Qualified, independent clinicians review samples of real patient inputs and device outputs against prospectively defined criteria. Depending on the device, this might take the form of blinded review, in which a clinician reviews real patient inputs without seeing the device’s outputs and independently determines the appropriate response for comparison against the device output, or unblinded review of full interaction records to assess the quality and appropriateness of outputs. • Prospective clinical study. Depending on the device, a prospective clinical study, and in some instances a randomized controlled clinical trial, might be the appropriate confirmatory method.</w:t>
      </w:r>
    </w:p>
    <w:p>
      <w:r>
        <w:rPr>
          <w:color w:val="777777"/>
          <w:sz w:val="16"/>
        </w:rPr>
        <w:t xml:space="preserve">p075 · att1 p.16  </w:t>
      </w:r>
      <w:r>
        <w:t>CDRH recognizes these approaches may incorporate real-world data (RWD) and/or data collected outside the United States (OUS) and seeks input on specific considerations for the use of such data in the clinical confirmation of GenAI- enabled devices.</w:t>
      </w:r>
    </w:p>
    <w:p>
      <w:r>
        <w:rPr>
          <w:color w:val="777777"/>
          <w:sz w:val="16"/>
        </w:rPr>
        <w:t xml:space="preserve">p076 · att1 p.16  </w:t>
      </w:r>
      <w:r>
        <w:t>20 Certain regulatory requirements, including but not limited to, requirements in 21 CFR Parts 50, 56 and 812, may apply to these approaches. However, the extent of their application is not in scope of this discussion paper.</w:t>
      </w:r>
    </w:p>
    <w:p>
      <w:r>
        <w:rPr>
          <w:color w:val="777777"/>
          <w:sz w:val="16"/>
        </w:rPr>
        <w:t xml:space="preserve">p077 · att1 p.17  </w:t>
      </w:r>
      <w:r>
        <w:t>Across these approaches, relevant considerations might include whether the device performs consistently across clinically relevant subgroups within the intended use population. Where subgroup evaluation would be difficult, particularly for small or hard-to-sample subgroups where real-world data is limited, CDRH is considering that synthetically generated data modeled on real patient data could potentially supplement evaluation, assuming such synthetic data is representative of the environment in which the device is intended to be deployed.</w:t>
      </w:r>
    </w:p>
    <w:p>
      <w:r>
        <w:rPr>
          <w:color w:val="777777"/>
          <w:sz w:val="16"/>
        </w:rPr>
        <w:t xml:space="preserve">p078 · att1 p.17  </w:t>
      </w:r>
      <w:r>
        <w:t>CDRH acknowledges that the approaches outlined above may not be powered around traditional effectiveness endpoints, and is interested in stakeholder input on how endpoints and sample sizes might be determined.</w:t>
      </w:r>
    </w:p>
    <w:p>
      <w:r>
        <w:rPr>
          <w:color w:val="777777"/>
          <w:sz w:val="16"/>
        </w:rPr>
        <w:t xml:space="preserve">p079 · att1 p.17  </w:t>
      </w:r>
      <w:r>
        <w:t>D. Other Considerations for Premarket Evaluation of GenAI- Enabled Devices 1. Standards of Performance</w:t>
      </w:r>
    </w:p>
    <w:p>
      <w:r>
        <w:rPr>
          <w:color w:val="777777"/>
          <w:sz w:val="16"/>
        </w:rPr>
        <w:t xml:space="preserve">p080 · att1 p.17  </w:t>
      </w:r>
      <w:r>
        <w:t>A recurring question for premarket evaluation of GenAI-enabled devices is the standard against which performance should be measured and how adequate performance should be defined. Conventional performance evaluation often compares a device output against a known correct output. The outputs of a GenAI-enabled device, however, may be open-ended, such that a single correct response often does not exist and many different responses may be acceptable.</w:t>
      </w:r>
    </w:p>
    <w:p>
      <w:r>
        <w:rPr>
          <w:color w:val="777777"/>
          <w:sz w:val="16"/>
        </w:rPr>
        <w:t xml:space="preserve">p081 · att1 p.17  </w:t>
      </w:r>
      <w:r>
        <w:t>CDRH is considering that for many GenAI-enabled devices, performance might be compared to that of a panel of qualified clinicians whose consensus reflects the applicable standard of care, or to that of a median clinician in practice. With such an approach, the relevant question might be whether the device performs as well as, or better than, a reference clinician on the same task, while recognizing that additional questions may arise regarding whether generalist or specialist physicians should be used for comparison. For other GenAI-enabled devices, a more traditional ground truth or clinical reference standard may be available and appropriate, e.g., a diagnosis confirmed by biopsy or by adjudicated expert consensus. Considerations for selecting the comparator might include how the device is actually used, including the combined performance of the clinician and device working together as a human-AI team versus the device working in a fully autonomous workflow, depending on the intended use.</w:t>
      </w:r>
    </w:p>
    <w:p>
      <w:r>
        <w:rPr>
          <w:color w:val="777777"/>
          <w:sz w:val="16"/>
        </w:rPr>
        <w:t xml:space="preserve">p082 · att1 p.17  </w:t>
      </w:r>
      <w:r>
        <w:t>CDRH seeks input on considerations in selecting comparators, performance comparisons to generalist versus specialist physicians, how both human-AI team and AI-working-alone performance might be evaluated, and ways to define performance thresholds and acceptance criteria.</w:t>
      </w:r>
    </w:p>
    <w:p>
      <w:r>
        <w:rPr>
          <w:color w:val="777777"/>
          <w:sz w:val="16"/>
        </w:rPr>
        <w:t xml:space="preserve">p083 · att1 p.17  </w:t>
      </w:r>
      <w:r>
        <w:t>2. Potential Roles for Independent Third Parties — Another consideration is whether qualified, independent third parties might play a role in benchmarking and clinical confirmation, for example, by providing larger or sequestered evaluation datasets, offering independence between development and testing, or serving as independent expert adjudicators.</w:t>
      </w:r>
    </w:p>
    <w:p>
      <w:r>
        <w:rPr>
          <w:color w:val="777777"/>
          <w:sz w:val="16"/>
        </w:rPr>
        <w:t xml:space="preserve">p084 · att1 p.18  </w:t>
      </w:r>
      <w:r>
        <w:t>CDRH notes that existing programs already provide mechanisms for leveraging qualified third parties in the evaluation of medical devices, and CDRH is considering whether analogous third-party frameworks could be utilized to support the assessment of GenAI-enabled devices. For example, the Accreditation Scheme for Conformity Assessment (ASCA) Program is an initiative under which ASCA-recognized accreditation bodies accredit laboratories that can perform testing on devices in accordance with FDA- recognized voluntary consensus standards and test methods. FDA’s Medical Device Development Tool (MDDT) program is a way for FDA to qualify tools that medical device sponsors can choose to use in the development and evaluation of medical devices, helping to show how medical devices work in terms of safety, effectiveness, and other aspects of performance.</w:t>
      </w:r>
    </w:p>
    <w:p>
      <w:r>
        <w:rPr>
          <w:color w:val="777777"/>
          <w:sz w:val="16"/>
        </w:rPr>
        <w:t xml:space="preserve">p085 · att1 p.18  </w:t>
      </w:r>
      <w:r>
        <w:t>CDRH seeks input on what role(s), if any, independent third parties might play in the premarket evaluation approach described above. For example, such roles might include:</w:t>
      </w:r>
    </w:p>
    <w:p>
      <w:r>
        <w:rPr>
          <w:color w:val="777777"/>
          <w:sz w:val="16"/>
        </w:rPr>
        <w:t xml:space="preserve">p086 · att1 p.18  </w:t>
      </w:r>
      <w:r>
        <w:t>• Conducting or evaluating the competency-based assessment of a GenAI- enabled device (or portions of the competency assessment) and issuing a determination (or a certificate) that CDRH could consider in its review of the device; • Maintaining sequestered evaluation datasets and benchmarks that are developed independently from the device manufacturer; • Serving as independent expert adjudicators; • Developing tools qualified by FDA to contribute to device development and regulatory review; or • Developing standards that might be recognized by FDA to promote consistency across testing and review.</w:t>
      </w:r>
    </w:p>
    <w:p>
      <w:r>
        <w:rPr>
          <w:color w:val="777777"/>
          <w:sz w:val="16"/>
        </w:rPr>
        <w:t xml:space="preserve">p087 · att1 p.18  </w:t>
      </w:r>
      <w:r>
        <w:t>E. Discussion questions — 7. Is the competency-based approach described above, i.e., device benchmarking followed by clinical confirmation, a useful and appropriate framework for evaluating GenAI-enabled devices? 8. How might the two-axis risk framework described in Section IV be considered within the competency-based approach described above to help determine the level of evidence needed for a premarket submission? 9. Would a benchmarking structure such as the one described above be likely to provide adequate evidence of clinical knowledge, analytic capabilities, safety behavior, communication, and generalizability to support a reasonable assurance of safety and effectiveness? Are there elements that are missing, redundant, or inappropriately categorized? Are there externally developed standards that could be leveraged? 10. CDRH recognizes that publicly available benchmarking assets may be subject to data contamination, saturation, and limited real-world representativeness. How should a sponsor establish that performance on a given benchmark predicts safe and effective real-world behavior for the device’s intended use? What evidence should support the construct validity of a benchmark used to gate device evaluation, and what role should sponsor-developed benchmarks play given potential concerns around independence and optimization to the test? 11. CDRH is considering that clinical confirmation for a GenAI-enabled device might not require a prospective clinical study in every case, and has described above a range of approaches of increasing rigor and patient exposure. How might a sponsor select and justify a confirmation approach tailored to a device’s intended use and proportionate to the device’s risk profile? Are there device types or risk profiles for which one or more of these approaches would be insufficient or inappropriate? How might the anticipated distribution of real-world inputs be taken into consideration? Are there other methods of clinical confirmation that might help inform the evaluation of GenAI-enabled devices? 12. How should sponsors achieve statistically meaningful performance measurement for GenAI-enabled devices? Where synthetically generated inputs supplement real patient data, how should sponsors account for differences between the synthetic and real-world distributions when estimating performance, and under what conditions, if any, is it appropriate to combine benchmarking evidence and clinical confirmation evidence to support a single performance estimate? 13. For which clinical domains, device functions, or subpopulations is synthetic data particularly well-suited, or particularly inadequate, as a supplement to realworld evidence? What safeguards would mitigate the risk that synthetic data generated by models of the same class as the device under evaluation reproduces the very performance gaps the evaluation is intended to detect, particularly for underrepresented subgroups? 14. For open-ended device outputs, how should performance comparators and acceptance criteria be selected? When a panel of qualified clinicians serves as the comparator, how should the applicable standard (for example, the standard of care versus the performance of a median clinician in practice) be defined and justified? Should generalist or specialist physicians be used as a performance standard? When should human-AI team performance, rather than the device operating alone, serve as the basis for evaluation? 15. Are there ways in which performance might be assessed relative to the care, technology, or course of action likely to occur in the absence of the device, rather than to the comparators described in this section? What approaches might be used to identify and justify a comparator such as unaided clinical judgment, delayed specialist review, or no intervention? 16. Should independent third parties be involved in some or all aspects of a competency-based approach, including device benchmarking and clinical confirmation? If so, in what ways might qualified, independent third-party participation contribute to this approach, and what qualifications and independence criteria should apply? Are there aspects of the assessment for which third-party involvement would be impractical or inadvisable? What safeguards or program design features would be critical to prevent third-party participation from limiting competition or preventing innovation? 17. CDRH is exploring whether a competency-based approach could be applied to devices that incorporate a variety of underlying model architectures, such as multimodal vision-language models and generative or predictive world models. Are there aspects of the described approach that might be ineffective or inapplicable to these devices? What additional or distinct considerations might need to be addressed?</w:t>
      </w:r>
    </w:p>
    <w:p>
      <w:r>
        <w:rPr>
          <w:color w:val="777777"/>
          <w:sz w:val="16"/>
        </w:rPr>
        <w:t xml:space="preserve">p088 · att1 p.20  </w:t>
      </w:r>
      <w:r>
        <w:t>VI. Postmarket Monitoring for GenAI-Enabled Devices — As discussed in Section II, the novel capabilities of GenAI-enabled devices present unique challenges for premarket evaluation. Specifically, these devices produce varied, open-ended outputs in response to similar inputs and may undergo continuous adjustments following deployment, making it difficult for premarket testing to fully capture performance. The need for new postmarket evidence approaches was highlighted in the Executive Summary for FDA’s 2024 DHAC Meeting, where CDRH emphasized that it is important for manufacturers to consider how to effectively evaluate and monitor GenAI-enabled devices once deployed. CDRH is considering whether it is appropriate to accept greater premarket uncertainty regarding a GenAI-enabled device’s benefit-risk profile through greater reliance on postmarket monitoring.21</w:t>
      </w:r>
    </w:p>
    <w:p>
      <w:r>
        <w:rPr>
          <w:color w:val="777777"/>
          <w:sz w:val="16"/>
        </w:rPr>
        <w:t xml:space="preserve">p089 · att1 p.20  </w:t>
      </w:r>
      <w:r>
        <w:t>A. Postmarket Monitoring Approaches — CDRH recognizes that there may be a variety of different approaches to postmarket monitoring of GenAI-enabled devices, and that the scope, frequency, and level of evidence of such approaches might vary in proportion to the risk profile of the device. Examples of possible approaches include:</w:t>
      </w:r>
    </w:p>
    <w:p>
      <w:r>
        <w:rPr>
          <w:color w:val="777777"/>
          <w:sz w:val="16"/>
        </w:rPr>
        <w:t xml:space="preserve">p090 · att1 p.20  </w:t>
      </w:r>
      <w:r>
        <w:t>• Periodic device benchmarking: The sponsor reassesses the device against the prespecified benchmarking thresholds described in Section V.B, on a defined cadence and after defined triggering events, including changes to the underlying model or other components of the deployment architecture.</w:t>
      </w:r>
    </w:p>
    <w:p>
      <w:r>
        <w:rPr>
          <w:color w:val="777777"/>
          <w:sz w:val="16"/>
        </w:rPr>
        <w:t xml:space="preserve">p091 · att1 p.20  </w:t>
      </w:r>
      <w:r>
        <w:t>• Periodic sample-based clinician review: Qualified, independent clinician adjudicators review samples of real-world inputs and outputs against prospectively defined criteria, sampled to reflect the range of clinically relevant presentations and interaction patterns the device encounters in real-world use.</w:t>
      </w:r>
    </w:p>
    <w:p>
      <w:r>
        <w:rPr>
          <w:color w:val="777777"/>
          <w:sz w:val="16"/>
        </w:rPr>
        <w:t xml:space="preserve">p092 · att1 p.20  </w:t>
      </w:r>
      <w:r>
        <w:t>21 For more information, please see FDA guidance Consideration of Uncertainty in Making Benefit-Risk Determinations in Medical Device Premarket Approvals, De Novo Classifications, and Humanitarian Device Exemptions.</w:t>
      </w:r>
    </w:p>
    <w:p>
      <w:r>
        <w:rPr>
          <w:color w:val="777777"/>
          <w:sz w:val="16"/>
        </w:rPr>
        <w:t xml:space="preserve">p093 · att1 p.21  </w:t>
      </w:r>
      <w:r>
        <w:t>• Performance degradation monitoring: The sponsor monitors for performance degradation (e.g., drift) that may result from changes in the input population, the data environment, or underlying model components, specifying the analyses and thresholds to detect such degradation.</w:t>
      </w:r>
    </w:p>
    <w:p>
      <w:r>
        <w:rPr>
          <w:color w:val="777777"/>
          <w:sz w:val="16"/>
        </w:rPr>
        <w:t xml:space="preserve">p094 · att1 p.21  </w:t>
      </w:r>
      <w:r>
        <w:t>CDRH seeks feedback on these approaches, as well as the feasibility and practicality of implementing these or other approaches to postmarket monitoring for GenAI-enabled devices. CDRH also seeks feedback on whether some aspects of postmarket monitoring can be enabled by machine-based supervisory agents, and is interested in stakeholder feedback on considerations for such an approach.</w:t>
      </w:r>
    </w:p>
    <w:p>
      <w:r>
        <w:rPr>
          <w:color w:val="777777"/>
          <w:sz w:val="16"/>
        </w:rPr>
        <w:t xml:space="preserve">p095 · att1 p.21  </w:t>
      </w:r>
      <w:r>
        <w:t>B. Shared Ecosystem Responsibility — While manufacturers are responsible for the postmarket monitoring of their devices, CDRH recognizes that the broader ecosystem within which GenAI-enabled devices will be deployed includes clinicians, patients, healthcare institutions, payers, professional societies, public-private consortia, standards-setting bodies, and other federal and state authorities, each with potential roles to play in the deployment, monitoring, reporting, and ongoing evaluation of GenAI-enabled devices. CDRH seeks to understand what roles and responsibilities these stakeholders may play for various approaches to postmarket monitoring.</w:t>
      </w:r>
    </w:p>
    <w:p>
      <w:r>
        <w:rPr>
          <w:color w:val="777777"/>
          <w:sz w:val="16"/>
        </w:rPr>
        <w:t xml:space="preserve">p096 · att1 p.21  </w:t>
      </w:r>
      <w:r>
        <w:t>C. Considerations for Postmarket Modifications — CDRH understands that GenAI-enabled devices may undergo changes after market authorization and once the device is deployed. Some changes may be intentional and discrete modifications actively implemented by the sponsor, such as a software update, algorithm revision, retraining event, or change to the device’s intended functionality. Other changes may be better understood as model-evolution changes, i.e., changes that occur more passively, continuously, or incrementally because the device was designed to learn from new data or adapt during use without a distinct sponsor-initiated update. Still other changes may be unplanned changes arising from updates to an underlying third-party foundation model. A change of any of these types may have the potential to affect the safety and effectiveness of the device.</w:t>
      </w:r>
    </w:p>
    <w:p>
      <w:r>
        <w:rPr>
          <w:color w:val="777777"/>
          <w:sz w:val="16"/>
        </w:rPr>
        <w:t xml:space="preserve">p097 · att1 p.21  </w:t>
      </w:r>
      <w:r>
        <w:t>CDRH is considering several possible approaches to the oversight of postmarket changes to GenAI-enabled devices, with requirements that may range from documentation in a sponsor’s quality management system to FDA authorization before changes are implemented. A Predetermined Change Control Plan (PCCP)22 could be one mechanism to facilitate certain device changes without requiring a new premarket submission.</w:t>
      </w:r>
    </w:p>
    <w:p>
      <w:r>
        <w:rPr>
          <w:color w:val="777777"/>
          <w:sz w:val="16"/>
        </w:rPr>
        <w:t xml:space="preserve">p098 · att1 p.21  </w:t>
      </w:r>
      <w:r>
        <w:t>CDRH anticipates that a manufacturer’s premarket competency-based assessment, such as the one described in Section V, could potentially form the baseline for ongoing</w:t>
      </w:r>
    </w:p>
    <w:p>
      <w:r>
        <w:rPr>
          <w:color w:val="777777"/>
          <w:sz w:val="16"/>
        </w:rPr>
        <w:t xml:space="preserve">p099 · att1 p.21  </w:t>
      </w:r>
      <w:r>
        <w:t>22 For more information, see CDRH’s Marketing Submission Recommendations for a Predetermined Change Control Plan for Artificial Intelligence-Enabled Device Software Functions.</w:t>
      </w:r>
    </w:p>
    <w:p>
      <w:r>
        <w:rPr>
          <w:color w:val="777777"/>
          <w:sz w:val="16"/>
        </w:rPr>
        <w:t xml:space="preserve">p100 · att1 p.22  </w:t>
      </w:r>
      <w:r>
        <w:t>assessment when changes to a marketed GenAI-enabled device are made. A GenAI- enabled device that has been benchmarked against a defined set of capabilities for premarket authorization could potentially be “re-benchmarked” against the same capabilities following a modification, providing evidence to determine whether the modification has affected safety or effectiveness of the device. Such an approach would underscore the need to carefully design a competency-based assessment in the premarket setting.</w:t>
      </w:r>
    </w:p>
    <w:p>
      <w:r>
        <w:rPr>
          <w:color w:val="777777"/>
          <w:sz w:val="16"/>
        </w:rPr>
        <w:t xml:space="preserve">p101 · att1 p.22  </w:t>
      </w:r>
      <w:r>
        <w:t>Devices built on third-party foundation models raise particular change-control considerations because changes to the underlying model may be initiated by the foundation model developer rather than the device manufacturer. The use of these third-party foundation models may increase over time, and CDRH’s regulatory approach may need to account for this. Section VII.A seeks input on a possible approach to these considerations in more detail.</w:t>
      </w:r>
    </w:p>
    <w:p>
      <w:r>
        <w:rPr>
          <w:color w:val="777777"/>
          <w:sz w:val="16"/>
        </w:rPr>
        <w:t xml:space="preserve">p102 · att1 p.22  </w:t>
      </w:r>
      <w:r>
        <w:t>D. Discussion questions — 18. CDRH is considering whether it may be appropriate to accept greater premarket uncertainty regarding a GenAI-enabled device’s benefit-risk profile through greater reliance on postmarket monitoring. Under what conditions might such an approach be appropriate, and what characteristics of a monitoring program would need to be in place to justify reduced premarket evidence? Are there device types or risk profiles for which this approach would not be appropriate? 19. Please comment on the potential approaches to postmarket performance evaluation, including periodic re-benchmarking, sample-based clinician review, and performance degradation monitoring. What additional approaches should CDRH consider, and how should the cadence and triggering events for reassessment be determined? 20. Please comment on whether the proposed approaches to postmarket monitoring can be facilitated by machine-based supervisory agents. What considerations, including the evaluation and reliability of the supervisory agent itself, should CDRH take into account for such an approach? 21. What roles might clinicians, healthcare institutions, professional societies, standards-setting bodies, and other stakeholders appropriately play in postmarket monitoring, and how can these roles be structured without diffusing manufacturer accountability? 22. CDRH envisions that a manufacturer’s premarket competency-based assessment might serve as a baseline against which post-deployment modifications could be re-evaluated. How might the extent of re-benchmarking or other evidence be scaled to the nature and expected impact of a given modification? For example, are there categories of change that might not significantly affect safety or effectiveness of a GenAI-enabled device, or might be appropriately managed within a sponsor’s quality management system versus requiring FDA premarket review and authorization before implementation? Are there categories of changes that might be appropriate for inclusion in a PCCP? 23. How might PCCP concepts or other change-control approaches be adapted for GenAI-enabled devices when the nature or scope of future modifications cannot be fully prespecified? 24. For devices built on third-party foundation models, changes to the underlying model may be initiated by the third-party model developer rather than the device manufacturer. How can a manufacturer detect, evaluate, and respond to such changes in a timely manner? What mechanisms—for example, contractual, technical, or through a PCCP—could provide reasonable assurance that third-party developer-initiated changes do not compromise the safety or effectiveness of the device?</w:t>
      </w:r>
    </w:p>
    <w:p>
      <w:r>
        <w:rPr>
          <w:color w:val="777777"/>
          <w:sz w:val="16"/>
        </w:rPr>
        <w:t xml:space="preserve">p103 · att1 p.23  </w:t>
      </w:r>
      <w:r>
        <w:t>VII. Other Topics — A. Foundation Model Device Master Files (MAF) — CDRH recognizes that GenAI-enabled devices may be built on or incorporate third-party foundation models that may control model refusal behavior, content policies, output formatting, version control, and safety-critical behaviors integral to device safety and effectiveness. Given the potential contribution of these foundation models to overall device behavior, CDRH seeks feedback on the feasibility of voluntary Foundation Model MAFs, leveraging the existing Device Master File program,23 under which foundation model developers and platform providers could voluntarily submit information such as structured model cards or system cards to FDA.24 As with all MAFs, these files would be held by FDA confidentially and could be referenced by sponsors, with the file holder’s authorization, in support of individual premarket submissions. The information would be made available to premarket review teams on a reference basis, enabling more consistent and informed review of GenAI-enabled devices built on a given model. Under such an approach, submission of a Foundation Model MAF would not constitute authorization of the underlying model for any device intended use, and sponsors would remain responsible for independently demonstrating the safety and effectiveness of their own device built on a foundation model.</w:t>
      </w:r>
    </w:p>
    <w:p>
      <w:r>
        <w:rPr>
          <w:color w:val="777777"/>
          <w:sz w:val="16"/>
        </w:rPr>
        <w:t xml:space="preserve">p104 · att1 p.23  </w:t>
      </w:r>
      <w:r>
        <w:t>B. Considerations for Agentic AI Systems — Agentic AI systems are GenAI-enabled systems that autonomously plan and execute multi-step tasks, use external tools, or take actions across a sequence of steps. They are increasingly being deployed in healthcare contexts for care coordination, clinical documentation, patient outreach, and clinical workflow support, some or all of which may not be functions that are the focus of FDA’s device regulatory oversight. However,</w:t>
      </w:r>
    </w:p>
    <w:p>
      <w:r>
        <w:rPr>
          <w:color w:val="777777"/>
          <w:sz w:val="16"/>
        </w:rPr>
        <w:t xml:space="preserve">p105 · att1 p.23  </w:t>
      </w:r>
      <w:r>
        <w:t>23 For more information, see FDA webpage Device Master Files. 24 These may include, for example: the model’s architecture, training data provenance, and intended supported use cases; characterized behaviors, known limitations, and failure modes relevant to healthcare contexts; evaluation results on healthcare-relevant benchmarks, including performance across clinically meaningful subgroups; safetyrelevant behavioral constraints and guardrails built into the model; update notification commitments; and audit log availability.</w:t>
      </w:r>
    </w:p>
    <w:p>
      <w:r>
        <w:rPr>
          <w:color w:val="777777"/>
          <w:sz w:val="16"/>
        </w:rPr>
        <w:t xml:space="preserve">p106 · att1 p.24  </w:t>
      </w:r>
      <w:r>
        <w:t>there could be agentic AI systems whose functions meet the definition of device, for example, if an agentic AI system’s action sequences result in control of another medical device.25 Agentic architectures may raise additional considerations beyond those applicable to other GenAI-enabled devices that may warrant different approaches to evaluation. FDA seeks stakeholder comment on potential additional considerations that may be relevant for agentic GenAI-enabled devices.</w:t>
      </w:r>
    </w:p>
    <w:p>
      <w:r>
        <w:rPr>
          <w:color w:val="777777"/>
          <w:sz w:val="16"/>
        </w:rPr>
        <w:t xml:space="preserve">p107 · att1 p.24  </w:t>
      </w:r>
      <w:r>
        <w:t>C. Discussion questions — 25. Would voluntary Foundation Model MAFs be practical for foundation model developers to provide and to keep current, and what content might they include? Given that participation would be voluntary and that model developers may have limited incentive to disclose safety-relevant information, what would make such a program sufficiently useful for premarket review? Are there alternative mechanisms CDRH should consider for obtaining information about underlying foundation models? 26. Are there additional considerations that inform the premarket and postmarket evaluation of agentic GenAI-enabled devices, beyond those applicable to nonagentic GenAI-enabled devices? How should the elevated risk associated with autonomous multi-step action, tool use, and reduced opportunity for human review be reflected in acceptance criteria and oversight?</w:t>
      </w:r>
    </w:p>
    <w:p>
      <w:r>
        <w:rPr>
          <w:color w:val="777777"/>
          <w:sz w:val="16"/>
        </w:rPr>
        <w:t xml:space="preserve">p108 · att1 p.24  </w:t>
      </w:r>
      <w:r>
        <w:t>VIII. Conclusion — The novel characteristics and behaviors of GenAI-enabled devices, including their capacity to produce variable outputs, evolve over time, and operate with varying degrees of autonomy, present potential challenges that existing regulatory frameworks were not designed to address. CDRH is committed to working collaboratively with sponsors, clinicians, patients, healthcare institutions, and other stakeholders to develop efficient, scientifically sound, and least burdensome approaches to the premarket evaluation and postmarket monitoring of GenAI-enabled devices across the TPLC. CDRH encourages stakeholders to respond to the discussion questions throughout this paper and to submit comments that may inform the development of further policy in this area.</w:t>
      </w:r>
    </w:p>
    <w:p>
      <w:r>
        <w:rPr>
          <w:color w:val="777777"/>
          <w:sz w:val="16"/>
        </w:rPr>
        <w:t xml:space="preserve">p109 · att1 p.24  </w:t>
      </w:r>
      <w:r>
        <w:t>25 See Example #1 on Page 11 of FDA guidance Policy for Device Software Functions and Mobile Medical Applications.</w:t>
      </w:r>
    </w:p>
    <w:p>
      <w:r>
        <w:rPr>
          <w:color w:val="777777"/>
          <w:sz w:val="16"/>
        </w:rPr>
        <w:t xml:space="preserve">p110 · att1 p.25  </w:t>
      </w:r>
      <w:r>
        <w:t>Appendix A. Detailed Description of Potential Device Benchmarking Elements — This appendix describes in greater detail the potential benchmarking elements described in Section V.B. The descriptions below are illustrative of the kinds of behaviors each element may probe and the kinds of testing that may be relevant under a competency-based approach for premarket evaluation of GenAI-enabled devices described in this discussion paper. They are offered for stakeholder feedback and are not intended to prescribe any particular method.</w:t>
      </w:r>
    </w:p>
    <w:p>
      <w:r>
        <w:rPr>
          <w:color w:val="777777"/>
          <w:sz w:val="16"/>
        </w:rPr>
        <w:t xml:space="preserve">p111 · att1 p.25  </w:t>
      </w:r>
      <w:r>
        <w:t>Safety — These elements would evaluate whether the device avoids causing harm.</w:t>
      </w:r>
    </w:p>
    <w:p>
      <w:r>
        <w:rPr>
          <w:color w:val="777777"/>
          <w:sz w:val="16"/>
        </w:rPr>
        <w:t xml:space="preserve">p112 · att1 p.25  </w:t>
      </w:r>
      <w:r>
        <w:t>S.1. Safety-critical recognition and escalation. Whether the device recognizes safety-critical clinical states and initiates escalation that is timely, clear, actionable, and appropriately empathetic. Both under-escalation (failing to escalate when clinically necessary) and over-escalation (escalating when not clinically indicated) are relevant failures. Relevant testing may include multi-turn simulated encounters that assess time to escalation in evolving presentations, the quality of escalation language and handoff information, and resistance to over-reassurance when users minimize symptoms or resist escalation.</w:t>
      </w:r>
    </w:p>
    <w:p>
      <w:r>
        <w:rPr>
          <w:color w:val="777777"/>
          <w:sz w:val="16"/>
        </w:rPr>
        <w:t xml:space="preserve">p113 · att1 p.25  </w:t>
      </w:r>
      <w:r>
        <w:t>S.2. Scope maintenance and boundary adherence. Whether the device recognizes when a request exceeds its intended use or clinical scope and responds with appropriate refusal and clinically useful redirection. Both under-refusal (producing outputs beyond the device’s intended use, such as diagnosing or prescribing when not designed to do so) and over-refusal (declining requests that fall within the device’s intended use) are relevant failures. Relevant testing may include adversarial prompting, prompt injection, emotional-manipulation scenarios, and multi-turn conversations in which individual turns appear in-scope but the cumulative interaction drifts out of scope.</w:t>
      </w:r>
    </w:p>
    <w:p>
      <w:r>
        <w:rPr>
          <w:color w:val="777777"/>
          <w:sz w:val="16"/>
        </w:rPr>
        <w:t xml:space="preserve">p114 · att1 p.25  </w:t>
      </w:r>
      <w:r>
        <w:t>S.3. Calibration, uncertainty communication, and clinical deferral. Whether the device accurately represents the confidence and limits of its outputs, expressing appropriate uncertainty when evidence is contested, evolving, or beyond its reliable knowledge. Presenting uncertain, outdated, or contested information with false confidence is treated as a safety failure. This element also considers whether the device appropriately handles situations that are too complex or uncertain, including deferral to a human clinician, without over-deferring on questions within its knowledge.</w:t>
      </w:r>
    </w:p>
    <w:p>
      <w:r>
        <w:rPr>
          <w:color w:val="777777"/>
          <w:sz w:val="16"/>
        </w:rPr>
        <w:t xml:space="preserve">p115 · att1 p.25  </w:t>
      </w:r>
      <w:r>
        <w:t>Clinical Proficiency — These elements would evaluate whether the device possesses accurate clinical knowledge, reasons soundly through ambiguous information, interprets numerical data correctly, and communicates outputs clearly and appropriately to its intended users.</w:t>
      </w:r>
    </w:p>
    <w:p>
      <w:r>
        <w:rPr>
          <w:color w:val="777777"/>
          <w:sz w:val="16"/>
        </w:rPr>
        <w:t xml:space="preserve">p116 · att1 p.26  </w:t>
      </w:r>
      <w:r>
        <w:t>E.1. Clinical knowledge and task fidelity. Whether the device possesses accurate, current, and applicable clinical knowledge for its intended scope, including current guidelines, contraindications, drug interactions, and population-specific considerations, including, for example, those applicable to pregnant patients, pediatric and geriatric patients, and patients with renal or hepatic impairment. This element also considers whether the device is aware of its own knowledge limitations and acknowledges uncertainty for evidence not reflected in its training.</w:t>
      </w:r>
    </w:p>
    <w:p>
      <w:r>
        <w:rPr>
          <w:color w:val="777777"/>
          <w:sz w:val="16"/>
        </w:rPr>
        <w:t xml:space="preserve">p117 · att1 p.26  </w:t>
      </w:r>
      <w:r>
        <w:t>E.2. Information gathering and clinical analysis. Whether the device can gather, integrate, and act on incomplete, evolving, or ambiguous clinical information within appropriate clinical parameters. Relevant testing may include differential diagnosis generation assessed for completeness and appropriate prioritization of serious diagnoses, multi-turn simulated encounters scored for the quality and sequencing of follow-up questions, and scenarios designed to detect premature diagnostic closure in which initially benign information masks a more serious underlying condition. This element also considers whether the device defers appropriately when information is insufficient, without over-deferring when adequate information is available.</w:t>
      </w:r>
    </w:p>
    <w:p>
      <w:r>
        <w:rPr>
          <w:color w:val="777777"/>
          <w:sz w:val="16"/>
        </w:rPr>
        <w:t xml:space="preserve">p118 · att1 p.26  </w:t>
      </w:r>
      <w:r>
        <w:t>E.3. Quantitative and measurement analysis. Whether the device correctly interprets and acts on numerical and measurement information, including under the noisy or ambiguous input conditions common in real-world interactions. This includes clinically relevant calculations such as, for example, weight-based and renal-function-based dosing and unit conversions, interpretation of laboratory and physiologic values against appropriate reference ranges, and recognition of clinically implausible values such as transcription errors or unit confusion, including when measurements are reported conversationally or with missing units.</w:t>
      </w:r>
    </w:p>
    <w:p>
      <w:r>
        <w:rPr>
          <w:color w:val="777777"/>
          <w:sz w:val="16"/>
        </w:rPr>
        <w:t xml:space="preserve">p119 · att1 p.26  </w:t>
      </w:r>
      <w:r>
        <w:t>E.4. Communication quality and user comprehension. Whether the device communicates in a manner appropriate to its intended user, clinical context, and risk level, including empathy, linguistic construction, health literacy, and therapeutic appropriateness. This element considers whether intended users can actually understand the device’s outputs, their limitations, and when escalation is needed across varied health literacy levels; the avoidance of coercive, emotionally manipulative, or otherwise inappropriate or abusive language; and the risk of automation bias, in which a user accepts an output without appropriate scrutiny because of the device’s fluency or perceived authority.</w:t>
      </w:r>
    </w:p>
    <w:p>
      <w:r>
        <w:rPr>
          <w:color w:val="777777"/>
          <w:sz w:val="16"/>
        </w:rPr>
        <w:t xml:space="preserve">p120 · att1 p.26  </w:t>
      </w:r>
      <w:r>
        <w:t>Generalizability — These elements would evaluate whether safety and clinical proficiency properties hold consistently across foreseeable variation in inputs, users, and runtime conditions.</w:t>
      </w:r>
    </w:p>
    <w:p>
      <w:r>
        <w:rPr>
          <w:color w:val="777777"/>
          <w:sz w:val="16"/>
        </w:rPr>
        <w:t xml:space="preserve">p121 · att1 p.26  </w:t>
      </w:r>
      <w:r>
        <w:t>R.1. Robustness, reliability, and reproducibility. Whether the safety and clinical proficiency properties hold consistently across foreseeable variation in inputs, runtime conditions, and conversational contexts. Variation in non-safety-critical phrasing may be acceptable, but variation in safety-critical behaviors such as escalation, refusal, or diagnostic conclusions is treated as a failure. Relevant considerations include reproducibility across repeated runs, consistency across semantically equivalent paraphrases reflecting differences in user health literacy and emotional framing, sensitivity to the order in which information is presented, behavior under missing or contradictory inputs, degradation across long conversations, and resistance to adversarial inputs targeting safety-critical behaviors.</w:t>
      </w:r>
    </w:p>
    <w:p>
      <w:r>
        <w:rPr>
          <w:color w:val="777777"/>
          <w:sz w:val="16"/>
        </w:rPr>
        <w:t xml:space="preserve">p122 · att1 p.27  </w:t>
      </w:r>
      <w:r>
        <w:t>R.2. Subgroup performance. Whether the safety and clinical proficiency properties hold consistently across clinically relevant populations, including populations that may be underrepresented in training data or face structural barriers to healthcare access. This element considers whether performance—including safety-critical behaviors such as escalation and refusal—is consistent across demographic subgroups, and whether it holds across non-standard dialects, accents, colloquialisms, and lower general literacy and health literacy levels.</w:t>
      </w:r>
    </w:p>
    <w:p>
      <w:r>
        <w:rPr>
          <w:color w:val="777777"/>
          <w:sz w:val="16"/>
        </w:rPr>
        <w:t xml:space="preserve">p123 · att1 p.27  </w:t>
      </w:r>
      <w:r>
        <w:t>Agentic AI Capabilities — This element would apply to agentic GenAI-enabled devices only.</w:t>
      </w:r>
    </w:p>
    <w:p>
      <w:r>
        <w:rPr>
          <w:color w:val="777777"/>
          <w:sz w:val="16"/>
        </w:rPr>
        <w:t xml:space="preserve">p124 · att1 p.27  </w:t>
      </w:r>
      <w:r>
        <w:t>A.1. Agentic AI competencies. Whether an agentic GenAI-enabled device appropriately plans, sequences, and executes multi-step tasks while recognizing when a planned action sequence would exceed its intended use or safety envelope. This element also considers accurate tool use and recognition of erroneous tool outputs, compliance with human-oversight checkpoints before irreversible or high-consequence actions, graceful handling of tool failures, and resistance to prompt injection through user inputs, retrieved content, and tool outputs.</w:t>
      </w:r>
    </w:p>
    <w:p>
      <w:r>
        <w:rPr>
          <w:color w:val="777777"/>
          <w:sz w:val="16"/>
        </w:rPr>
        <w:t xml:space="preserve">p125 · att1 p.28  </w:t>
      </w:r>
      <w:r>
        <w:t>Appendix B. Consolidated Discussion Questions — Discussion questions from the body of the paper, grouped by section:</w:t>
      </w:r>
    </w:p>
    <w:p>
      <w:r>
        <w:rPr>
          <w:color w:val="777777"/>
          <w:sz w:val="16"/>
        </w:rPr>
        <w:t xml:space="preserve">p126 · att1 p.28  </w:t>
      </w:r>
      <w:r>
        <w:t>Section IV: Considerations for the Assessment of Risk for GenAI-Enabled Devices — 1. Does the two-axis risk framework, organized around device activity and the consequence of relying on an incorrect output, appropriately capture the dimensions most relevant to the risk of a GenAI-enabled software function? If there are additional dimensions—such as the reversibility of a resulting action, the availability of downstream safeguards, the time pressure of the deployment setting, or the traceability of the output (i.e., to primary source materials)—that should be represented in a risk framework, please describe and provide examples of how they should be represented. 2. CDRH seeks input on how to account for the spectrum of GenAI-enabled informational functions that vary in the degree to which they direct a user to a particular action (i.e., between “non-directive” and “action-directing”). What characteristics of an output—such as its wording, specificity, personalization, or context—could be considered as modifiers of the risk associated with an informational function, after accounting for the device’s overall functionality and intended use? What additional information would provide manufacturers with sufficient clarity and predictability around risk assessment for informational functions while recognizing that directiveness may exist along a continuum rather than as a binary distinction? 3. CDRH seeks input on whether and when a GenAI-enabled function that results in delivery of clinical information to patients, as opposed to HCPs, could present different or higher risks, while also recognizing the potential benefits associated with improved patient empowerment, engagement, and access to clinical information. What device characteristics, output features, or safeguards might mitigate risks that could arise when a user lacks the domain knowledge to independently evaluate an output, without unnecessarily underestimating patient capability? 4. CDRH seeks input on whether and how the distinction between generalist and specialist physicians might inform the assessment of risk for HCP-facing GenAI-enabled functions. Under what circumstances, if any, might risk be affected when an HCP who lacks the relevant clinical specialist knowledge receives information that falls within a specialist area of practice? What device characteristics or safeguards might mitigate such risks? 5. 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 6. For GenAI-enabled care escalation functions, CDRH is considering how the evaluation may account for both under-escalation and over-escalation. How could manufacturers characterize and weigh these two directions of error, given that they may not be commensurable and that acceptable trade-offs may vary by clinical context?</w:t>
      </w:r>
    </w:p>
    <w:p>
      <w:r>
        <w:rPr>
          <w:color w:val="777777"/>
          <w:sz w:val="16"/>
        </w:rPr>
        <w:t xml:space="preserve">p127 · att1 p.29  </w:t>
      </w:r>
      <w:r>
        <w:t>Section V: A Competency-Based Approach for Premarket Evaluation of GenAI- Enabled Devices — 7. Is the competency-based approach described above, i.e., device benchmarking followed by clinical confirmation, a useful and appropriate framework for evaluating GenAI-enabled devices? 8. How might the two-axis risk framework described in Section IV be considered within the competency-based approach described above to help determine the level of evidence needed for a premarket submission? 9. Would a benchmarking structure such as the one described above be likely to provide adequate evidence of clinical knowledge, analytic capabilities, safety behavior, communication, and generalizability to support a reasonable assurance of safety and effectiveness? Are there elements that are missing, redundant, or inappropriately categorized? Are there externally developed standards that could be leveraged? 10. CDRH recognizes that publicly available benchmarking assets may be subject to data contamination, saturation, and limited real-world representativeness. How should a sponsor establish that performance on a given benchmark predicts safe and effective real-world behavior for the device’s intended use? What evidence should support the construct validity of a benchmark used to gate device evaluation, and what role should sponsor-developed benchmarks play given potential concerns around independence and optimization to the test? 11. CDRH is considering that clinical confirmation for a GenAI-enabled device might not require a prospective clinical study in every case, and has described above a range of approaches of increasing rigor and patient exposure. How might a sponsor select and justify a confirmation approach tailored to a device’s intended use and proportionate to the device’s risk profile? Are there device types or risk profiles for which one or more of these approaches would be insufficient or inappropriate? How might the anticipated distribution of real-world inputs be taken into consideration? Are there other methods of clinical confirmation that might help inform the evaluation of GenAI-enabled devices? 12. How should sponsors achieve statistically meaningful performance measurement for GenAI-enabled devices? Where synthetically generated inputs supplement real patient data, how should sponsors account for differences between the synthetic and real-world distributions when estimating performance, and under what conditions, if any, is it appropriate to combine benchmarking evidence and clinical confirmation evidence to support a single performance estimate? 13. For which clinical domains, device functions, or subpopulations is synthetic data particularly well-suited, or particularly inadequate, as a supplement to realworld evidence? What safeguards would mitigate the risk that synthetic data generated by models of the same class as the device under evaluation reproduces the very performance gaps the evaluation is intended to detect, particularly for underrepresented subgroups?</w:t>
      </w:r>
    </w:p>
    <w:p>
      <w:r>
        <w:rPr>
          <w:color w:val="777777"/>
          <w:sz w:val="16"/>
        </w:rPr>
        <w:t xml:space="preserve">p128 · att1 p.30  </w:t>
      </w:r>
      <w:r>
        <w:t>14. For open-ended device outputs, how should performance comparators and acceptance criteria be selected? When a panel of qualified clinicians serves as the comparator, how should the applicable standard (for example, the standard of care versus the performance of a median clinician in practice) be defined and justified? Should generalist or specialist physicians be used as a performance standard? When should human-AI team performance, rather than the device operating alone, serve as the basis for evaluation? 15. Are there ways in which performance might be assessed relative to the care, technology, or course of action likely to occur in the absence of the device, rather than to the comparators described in this section? What approaches might be used to identify and justify a comparator such as unaided clinical judgment, delayed specialist review, or no intervention? 16. Should independent third parties be involved in some or all aspects of a competency-based approach, including device benchmarking and clinical confirmation? If so, in what ways might qualified, independent third-party participation contribute to this approach, and what qualifications and independence criteria should apply? Are there aspects of the assessment for which third-party involvement would be impractical or inadvisable? What safeguards or program design features would be critical to prevent third-party participation from limiting competition or preventing innovation? 17. CDRH is exploring whether a competency-based approach could be applied to devices that incorporate a variety of underlying model architectures, such as multimodal vision-language models and generative or predictive world models. Are there aspects of the described approach that might be ineffective or inapplicable to these devices? What additional or distinct considerations might need to be addressed?</w:t>
      </w:r>
    </w:p>
    <w:p>
      <w:r>
        <w:rPr>
          <w:color w:val="777777"/>
          <w:sz w:val="16"/>
        </w:rPr>
        <w:t xml:space="preserve">p129 · att1 p.30  </w:t>
      </w:r>
      <w:r>
        <w:t>Section VI: Postmarket Monitoring for GenAI-Enabled Devices — 18. CDRH is considering whether it may be appropriate to accept greater premarket uncertainty regarding a GenAI-enabled device’s benefit-risk profile through greater reliance on postmarket monitoring. Under what conditions might such an approach be appropriate, and what characteristics of a monitoring program would need to be in place to justify reduced premarket evidence? Are there device types or risk profiles for which this approach would not be appropriate? 19. Please comment on the potential approaches to postmarket performance evaluation, including periodic re-benchmarking, sample-based clinician review, and performance degradation monitoring. What additional approaches should CDRH consider, and how should the cadence and triggering events for reassessment be determined? 20. Please comment on whether the proposed approaches to postmarket monitoring can be facilitated by machine-based supervisory agents. What considerations, including the evaluation and reliability of the supervisory agent itself, should CDRH take into account for such an approach? 21. What roles might clinicians, healthcare institutions, professional societies, standards-setting bodies, and other stakeholders appropriately play in postmarket monitoring, and how can these roles be structured without diffusing manufacturer accountability? 22. CDRH envisions that a manufacturer’s premarket competency-based assessment might serve as a baseline against which post-deployment modifications could be re-evaluated. How might the extent of re-benchmarking or other evidence be scaled to the nature and expected impact of a given modification? For example, are there categories of change that might not significantly affect safety or effectiveness of a GenAI-enabled device, or might be appropriately managed within a sponsor’s quality management system versus requiring FDA premarket review and authorization before implementation? Are there categories of changes that might be appropriate for inclusion in a PCCP? 23. How might PCCP concepts or other change-control approaches be adapted for GenAI-enabled devices when the nature or scope of future modifications cannot be fully prespecified? 24. For devices built on third-party foundation models, changes to the underlying model may be initiated by the third-party model developer rather than the device manufacturer. How can a manufacturer detect, evaluate, and respond to such changes in a timely manner? What mechanisms—for example, contractual, technical, or through a PCCP—could provide reasonable assurance that third-party developer-initiated changes do not compromise the safety or effectiveness of the device?</w:t>
      </w:r>
    </w:p>
    <w:p>
      <w:r>
        <w:rPr>
          <w:color w:val="777777"/>
          <w:sz w:val="16"/>
        </w:rPr>
        <w:t xml:space="preserve">p130 · att1 p.31  </w:t>
      </w:r>
      <w:r>
        <w:t>Section VII: Other Topics — 25. Would voluntary Foundation Model MAFs be practical for foundation model developers to provide and to keep current, and what content might they include? Given that participation would be voluntary and that model developers may have limited incentive to disclose safety-relevant information, what would make such a program sufficiently useful for premarket review? Are there alternative mechanisms CDRH should consider for obtaining information about underlying foundation models? 26. Are there additional considerations that inform the premarket and postmarket evaluation of agentic GenAI-enabled devices, beyond those applicable to nonagentic GenAI-enabled devices? How should the elevated risk associated with autonomous multi-step action, tool use, and reduced opportunity for human review be reflected in acceptance criteria and oversight?</w:t>
      </w:r>
    </w:p>
    <w:p>
      <w:pPr>
        <w:pStyle w:val="Heading1"/>
        <w:pageBreakBefore/>
      </w:pPr>
      <w:r>
        <w:t>FDA-2026-N-7874-0074</w:t>
      </w:r>
    </w:p>
    <w:p>
      <w:r>
        <w:t>Comment from WhaleTeq Co., Ltd.</w:t>
      </w:r>
    </w:p>
    <w:p>
      <w:r>
        <w:rPr>
          <w:color w:val="777777"/>
          <w:sz w:val="18"/>
        </w:rPr>
        <w:t>Device Industry - C0012 · received 2026-09-08 · attachments: attachment_1.pdf (2 pp)</w:t>
      </w:r>
    </w:p>
    <w:p>
      <w:r>
        <w:rPr>
          <w:color w:val="777777"/>
          <w:sz w:val="16"/>
        </w:rPr>
        <w:t xml:space="preserve">p001 · body  </w:t>
      </w:r>
      <w:r>
        <w:t>WhaleTeq Co., Ltd. appreciates the opportunity to comment on FDA’s discussion paper on generative AI-enabled medical devices (Docket No. FDA-2026-N-7874).</w:t>
      </w:r>
    </w:p>
    <w:p>
      <w:r>
        <w:rPr>
          <w:color w:val="777777"/>
          <w:sz w:val="16"/>
        </w:rPr>
        <w:t xml:space="preserve">p002 · body  </w:t>
      </w:r>
      <w:r>
        <w:t>Based on our experience in physiological signal testing and medical device verification, we would like to highlight four practical considerations for sensor-based and measurement-oriented AI-enabled medical devices:</w:t>
      </w:r>
    </w:p>
    <w:p>
      <w:r>
        <w:rPr>
          <w:color w:val="777777"/>
          <w:sz w:val="16"/>
        </w:rPr>
        <w:t xml:space="preserve">p003 · body  </w:t>
      </w:r>
      <w:r>
        <w:t>1. Verification should cover not only the AI model, but also the relevant complete device pathway.</w:t>
      </w:r>
    </w:p>
    <w:p>
      <w:r>
        <w:rPr>
          <w:color w:val="777777"/>
          <w:sz w:val="16"/>
        </w:rPr>
        <w:t xml:space="preserve">p004 · body  </w:t>
      </w:r>
      <w:r>
        <w:t>2. Real patient data and controlled simulation provide different but complementary verification evidence.</w:t>
      </w:r>
    </w:p>
    <w:p>
      <w:r>
        <w:rPr>
          <w:color w:val="777777"/>
          <w:sz w:val="16"/>
        </w:rPr>
        <w:t xml:space="preserve">p005 · body  </w:t>
      </w:r>
      <w:r>
        <w:t>3. The value of a benchmark should be based on its credibility, traceability, and intended test purpose rather than dataset size alone.</w:t>
      </w:r>
    </w:p>
    <w:p>
      <w:r>
        <w:rPr>
          <w:color w:val="777777"/>
          <w:sz w:val="16"/>
        </w:rPr>
        <w:t xml:space="preserve">p006 · body  </w:t>
      </w:r>
      <w:r>
        <w:t>4. Premarket benchmarks should, where practical, be designed so they can later serve as post-change regression baselines.</w:t>
      </w:r>
    </w:p>
    <w:p>
      <w:r>
        <w:rPr>
          <w:color w:val="777777"/>
          <w:sz w:val="16"/>
        </w:rPr>
        <w:t xml:space="preserve">p007 · body  </w:t>
      </w:r>
      <w:r>
        <w:t>Our main view is that GenAI may increase the scale, variability, and frequency of verification, but the underlying regulatory principles remain the same: evidence should be appropriate to intended use and risk, each test method should be applied within its demonstrated limits, and relevant device changes should trigger risk-based re-verification.</w:t>
      </w:r>
    </w:p>
    <w:p>
      <w:r>
        <w:rPr>
          <w:color w:val="777777"/>
          <w:sz w:val="16"/>
        </w:rPr>
        <w:t xml:space="preserve">p008 · body  </w:t>
      </w:r>
      <w:r>
        <w:t>Please see the attached document for our full comments, including the rationale, limitations of physiological simulation, and our responses to the relevant FDA discussion questions.</w:t>
      </w:r>
    </w:p>
    <w:p>
      <w:r>
        <w:rPr>
          <w:color w:val="777777"/>
          <w:sz w:val="16"/>
        </w:rPr>
        <w:t xml:space="preserve">p009 · att1 p.1  </w:t>
      </w:r>
      <w:r>
        <w:t>WhaleTeq Co., Ltd. | Docket No. FDA-2026-N-7874 — Comments on Considerations for the Regulation of</w:t>
      </w:r>
    </w:p>
    <w:p>
      <w:r>
        <w:rPr>
          <w:color w:val="777777"/>
          <w:sz w:val="16"/>
        </w:rPr>
        <w:t xml:space="preserve">p010 · att1 p.1  </w:t>
      </w:r>
      <w:r>
        <w:t>Generative AI-Enabled Medical Devices — Submitted by WhaleTeq Co., Ltd.</w:t>
      </w:r>
    </w:p>
    <w:p>
      <w:r>
        <w:rPr>
          <w:color w:val="777777"/>
          <w:sz w:val="16"/>
        </w:rPr>
        <w:t xml:space="preserve">p011 · att1 p.1  </w:t>
      </w:r>
      <w:r>
        <w:t>Docket No. FDA-2026-N-7874 — WhaleTeq Co., Ltd. appreciates the opportunity to comment on FDA's discussion paper on generative AI-enabled medical devices. WhaleTeq develops technologies for physiological signal testing and medical device verification. Our work primarily covers four layers: Simulator System; Clinical Data / Software-Defined Bio-signal (SDB); Verification / Regression Software; and Customized Integration.</w:t>
      </w:r>
    </w:p>
    <w:p>
      <w:r>
        <w:rPr>
          <w:color w:val="777777"/>
          <w:sz w:val="16"/>
        </w:rPr>
        <w:t xml:space="preserve">p012 · att1 p.1  </w:t>
      </w:r>
      <w:r>
        <w:t>Our comments focus on sensor-based and measurement-oriented AI-enabled medical devices. We believe GenAI may require new verification methods, while the underlying regulatory logic remains familiar: evidence should be appropriate to intended use and risk, each test method should be applied within its demonstrated scope, and changes that may affect safety or effectiveness should be re-evaluated.</w:t>
      </w:r>
    </w:p>
    <w:p>
      <w:r>
        <w:rPr>
          <w:color w:val="777777"/>
          <w:sz w:val="16"/>
        </w:rPr>
        <w:t xml:space="preserve">p013 · att1 p.1  </w:t>
      </w:r>
      <w:r>
        <w:t>1. Verification should cover the model and the complete device pathway — Relevant to Questions 7 and 9</w:t>
      </w:r>
    </w:p>
    <w:p>
      <w:r>
        <w:rPr>
          <w:color w:val="777777"/>
          <w:sz w:val="16"/>
        </w:rPr>
        <w:t xml:space="preserve">p014 · att1 p.1  </w:t>
      </w:r>
      <w:r>
        <w:t>Model-level benchmarking is important, but for a sensor-based medical device it may not be sufficient by itself. The final clinical or measurement output can also depend on the sensor interface, signal acquisition, signal processing, software, and interactions among these components.</w:t>
      </w:r>
    </w:p>
    <w:p>
      <w:r>
        <w:rPr>
          <w:color w:val="777777"/>
          <w:sz w:val="16"/>
        </w:rPr>
        <w:t xml:space="preserve">p015 · att1 p.1  </w:t>
      </w:r>
      <w:r>
        <w:t>Physiological input -&gt; Sensor -&gt; Signal processing -&gt; Algorithm / AI -&gt; Device output</w:t>
      </w:r>
    </w:p>
    <w:p>
      <w:r>
        <w:rPr>
          <w:color w:val="777777"/>
          <w:sz w:val="16"/>
        </w:rPr>
        <w:t xml:space="preserve">p016 · att1 p.1  </w:t>
      </w:r>
      <w:r>
        <w:t>The regulatory objective is to establish reasonable assurance that the medical device performs safely and effectively for its intended use. Therefore, where relevant, model-level competency assessment should be complemented by system-level verification of the device pathway.</w:t>
      </w:r>
    </w:p>
    <w:p>
      <w:r>
        <w:rPr>
          <w:color w:val="777777"/>
          <w:sz w:val="16"/>
        </w:rPr>
        <w:t xml:space="preserve">p017 · att1 p.1  </w:t>
      </w:r>
      <w:r>
        <w:t>Controlled physiological signals are useful because they provide known and repeatable inputs. Manufacturers can verify how the device responds to a defined condition and repeat the same condition after a design change. Their role is to verify the portion of device performance that can reasonably be evaluated under controlled input conditions, while real-world clinical performance is addressed through appropriate clinical evidence.</w:t>
      </w:r>
    </w:p>
    <w:p>
      <w:r>
        <w:rPr>
          <w:color w:val="777777"/>
          <w:sz w:val="16"/>
        </w:rPr>
        <w:t xml:space="preserve">p018 · att1 p.1  </w:t>
      </w:r>
      <w:r>
        <w:t>2. Real patient data and simulation provide complementary verification evidence — Relevant to Questions 10, 11, 12 and 13</w:t>
      </w:r>
    </w:p>
    <w:p>
      <w:r>
        <w:rPr>
          <w:color w:val="777777"/>
          <w:sz w:val="16"/>
        </w:rPr>
        <w:t xml:space="preserve">p019 · att1 p.1  </w:t>
      </w:r>
      <w:r>
        <w:t>Real patient data and simulation answer different verification questions. Real patient data is important for representing clinically observed physiological variability. Controlled simulation is useful for creating known and repeatable conditions for robustness, boundary, stress and regression testing.</w:t>
      </w:r>
    </w:p>
    <w:p>
      <w:r>
        <w:rPr>
          <w:color w:val="777777"/>
          <w:sz w:val="16"/>
        </w:rPr>
        <w:t xml:space="preserve">p020 · att1 p.1  </w:t>
      </w:r>
      <w:r>
        <w:t>Real patient data supports clinical representativeness. Controlled simulation supports repeatability and controlled coverage of defined test conditions.</w:t>
      </w:r>
    </w:p>
    <w:p>
      <w:r>
        <w:rPr>
          <w:color w:val="777777"/>
          <w:sz w:val="16"/>
        </w:rPr>
        <w:t xml:space="preserve">p021 · att1 p.1  </w:t>
      </w:r>
      <w:r>
        <w:t>The boundary should be explicit. A simulator represents a defined subset of physiological and physical conditions. For example, in optical physiological sensing, performance may be affected by tissue characteristics, optical path, sensor geometry, device-to-body coupling and other physical interactions. Playing back a clinically recorded waveform represents the waveform, while those additional physical factors remain outside the scope of that playback.</w:t>
      </w:r>
    </w:p>
    <w:p>
      <w:r>
        <w:rPr>
          <w:color w:val="777777"/>
          <w:sz w:val="16"/>
        </w:rPr>
        <w:t xml:space="preserve">p022 · att1 p.1  </w:t>
      </w:r>
      <w:r>
        <w:t>A simulated physiological signal therefore represents only the parameters and conditions that the simulation method has been designed and characterized to reproduce. Its test purpose and limitations should be stated. Simulation is most useful when a manufacturer needs to control a specific input, repeat the same test consistently, explore defined edge or stress conditions, or reproduce the same test after a modification. Clinical confirmation remains necessary when human anatomy, physiology, use conditions or other real-world factors materially affect device performance.</w:t>
      </w:r>
    </w:p>
    <w:p>
      <w:r>
        <w:rPr>
          <w:color w:val="777777"/>
          <w:sz w:val="16"/>
        </w:rPr>
        <w:t xml:space="preserve">p023 · att1 p.1  </w:t>
      </w:r>
      <w:r>
        <w:t>September 8, 2026 — WhaleTeq Co., Ltd. | Docket No. FDA-2026-N-7874 — 3. Benchmark value should be based on credibility and intended test purpose</w:t>
      </w:r>
    </w:p>
    <w:p>
      <w:r>
        <w:rPr>
          <w:color w:val="777777"/>
          <w:sz w:val="16"/>
        </w:rPr>
        <w:t xml:space="preserve">p024 · att1 p.2  </w:t>
      </w:r>
      <w:r>
        <w:t>Relevant to Questions 10 and 12 — The purpose of verification is to provide credible evidence for a defined requirement or risk. A medical-device benchmark should therefore start with a clear verification question.</w:t>
      </w:r>
    </w:p>
    <w:p>
      <w:r>
        <w:rPr>
          <w:color w:val="777777"/>
          <w:sz w:val="16"/>
        </w:rPr>
        <w:t xml:space="preserve">p025 · att1 p.2  </w:t>
      </w:r>
      <w:r>
        <w:t>What is being tested? What does the input represent? Where did it come from? What is the reference or ground truth? What result is expected? What are the limits of the test method? Can the test be reproduced?</w:t>
      </w:r>
    </w:p>
    <w:p>
      <w:r>
        <w:rPr>
          <w:color w:val="777777"/>
          <w:sz w:val="16"/>
        </w:rPr>
        <w:t xml:space="preserve">p026 · att1 p.2  </w:t>
      </w:r>
      <w:r>
        <w:t>A smaller, well-characterized dataset may provide stronger evidence for a specific verification purpose than a much larger dataset with unclear provenance, ground truth, intended use or limitations. We encourage FDA to emphasize fitness for purpose, traceability, reproducibility and clearly stated limitations when considering benchmark validity.</w:t>
      </w:r>
    </w:p>
    <w:p>
      <w:r>
        <w:rPr>
          <w:color w:val="777777"/>
          <w:sz w:val="16"/>
        </w:rPr>
        <w:t xml:space="preserve">p027 · att1 p.2  </w:t>
      </w:r>
      <w:r>
        <w:t>4. Premarket benchmarks should be designed as reusable post-change regression baselines — Relevant to Questions 19 and 22</w:t>
      </w:r>
    </w:p>
    <w:p>
      <w:r>
        <w:rPr>
          <w:color w:val="777777"/>
          <w:sz w:val="16"/>
        </w:rPr>
        <w:t xml:space="preserve">p028 · att1 p.2  </w:t>
      </w:r>
      <w:r>
        <w:t>AI-enabled devices may change more frequently than traditional medical devices, but the underlying changecontrol question is the same: what changed, what could be affected, and what evidence is needed to show that the device remains safe and effective?</w:t>
      </w:r>
    </w:p>
    <w:p>
      <w:r>
        <w:rPr>
          <w:color w:val="777777"/>
          <w:sz w:val="16"/>
        </w:rPr>
        <w:t xml:space="preserve">p029 · att1 p.2  </w:t>
      </w:r>
      <w:r>
        <w:t>Where practical, premarket verification should be designed so that relevant tests can later be reused as a regression baseline. A baseline may identify:</w:t>
      </w:r>
    </w:p>
    <w:p>
      <w:r>
        <w:rPr>
          <w:color w:val="777777"/>
          <w:sz w:val="16"/>
        </w:rPr>
        <w:t xml:space="preserve">p030 · att1 p.2  </w:t>
      </w:r>
      <w:r>
        <w:t>Device version + Test data version + Test condition + Expected result + Acceptance criteria + Actual result</w:t>
      </w:r>
    </w:p>
    <w:p>
      <w:r>
        <w:rPr>
          <w:color w:val="777777"/>
          <w:sz w:val="16"/>
        </w:rPr>
        <w:t xml:space="preserve">p031 · att1 p.2  </w:t>
      </w:r>
      <w:r>
        <w:t>After a relevant software, firmware, algorithm, AI model or other device change, the affected tests can be repeated under the same controlled conditions and compared with the established baseline. The scope of retesting should remain risk-based: a limited modification may require targeted regression testing, while a change that may affect sensing, signal processing, algorithm behavior or clinical output may require broader reverification.</w:t>
      </w:r>
    </w:p>
    <w:p>
      <w:r>
        <w:rPr>
          <w:color w:val="777777"/>
          <w:sz w:val="16"/>
        </w:rPr>
        <w:t xml:space="preserve">p032 · att1 p.2  </w:t>
      </w:r>
      <w:r>
        <w:t>Repeatability is one of simulation's main strengths in this context. Its purpose is to determine whether a known aspect of device behavior has changed when the same controlled challenge is applied before and after a modification. Clinical and real-world evidence continue to address performance beyond the defined scope of the simulated test.</w:t>
      </w:r>
    </w:p>
    <w:p>
      <w:r>
        <w:rPr>
          <w:color w:val="777777"/>
          <w:sz w:val="16"/>
        </w:rPr>
        <w:t xml:space="preserve">p033 · att1 p.2  </w:t>
      </w:r>
      <w:r>
        <w:t>Conclusion — We believe GenAI increases the scale, variability and frequency of verification, while the fundamental principles remain the same: verification should cover the relevant device pathway; each test method should be used within its demonstrated boundary; evidence should be fit for its intended verification purpose; and device changes should trigger risk-based re-verification where appropriate.</w:t>
      </w:r>
    </w:p>
    <w:p>
      <w:r>
        <w:rPr>
          <w:color w:val="777777"/>
          <w:sz w:val="16"/>
        </w:rPr>
        <w:t xml:space="preserve">p034 · att1 p.2  </w:t>
      </w:r>
      <w:r>
        <w:t>For sensor-based AI-enabled devices, reusable verification infrastructure can support these principles through four complementary capabilities:</w:t>
      </w:r>
    </w:p>
    <w:p>
      <w:r>
        <w:rPr>
          <w:color w:val="777777"/>
          <w:sz w:val="16"/>
        </w:rPr>
        <w:t xml:space="preserve">p035 · att1 p.2  </w:t>
      </w:r>
      <w:r>
        <w:t>Controlled physiological signal generation -&gt; Clinical and software-defined test content -&gt; Verification and regression testing -&gt; Device-specific integration</w:t>
      </w:r>
    </w:p>
    <w:p>
      <w:r>
        <w:rPr>
          <w:color w:val="777777"/>
          <w:sz w:val="16"/>
        </w:rPr>
        <w:t xml:space="preserve">p036 · att1 p.2  </w:t>
      </w:r>
      <w:r>
        <w:t>This infrastructure complements clinical confirmation. Its role is to make the controllable and repeatable portion of device verification broader, more systematic and easier to reproduce throughout the product life cycle.</w:t>
      </w:r>
    </w:p>
    <w:p>
      <w:r>
        <w:rPr>
          <w:color w:val="777777"/>
          <w:sz w:val="16"/>
        </w:rPr>
        <w:t xml:space="preserve">p037 · att1 p.2  </w:t>
      </w:r>
      <w:r>
        <w:t>WhaleTeq appreciates FDA's consideration of these comments.</w:t>
      </w:r>
    </w:p>
    <w:p>
      <w:r>
        <w:rPr>
          <w:color w:val="777777"/>
          <w:sz w:val="16"/>
        </w:rPr>
        <w:t xml:space="preserve">p038 · att1 p.2  </w:t>
      </w:r>
      <w:r>
        <w:t>Respectfully submitted, WhaleTeq Co., Ltd. Taiwan — September 8, 2026</w:t>
      </w:r>
    </w:p>
    <w:p>
      <w:pPr>
        <w:pStyle w:val="Heading1"/>
        <w:pageBreakBefore/>
      </w:pPr>
      <w:r>
        <w:t>FDA-2026-N-7874-0075</w:t>
      </w:r>
    </w:p>
    <w:p>
      <w:r>
        <w:t>Comment from Brandon Kaplan</w:t>
      </w:r>
    </w:p>
    <w:p>
      <w:r>
        <w:rPr>
          <w:color w:val="777777"/>
          <w:sz w:val="18"/>
        </w:rPr>
        <w:t>Individual Consumer · received 2026-09-08 · attachments: attachment_1.pdf (6 pp)</w:t>
      </w:r>
    </w:p>
    <w:p>
      <w:r>
        <w:rPr>
          <w:color w:val="777777"/>
          <w:sz w:val="16"/>
        </w:rPr>
        <w:t xml:space="preserve">p001 · body  </w:t>
      </w:r>
      <w:r>
        <w:t>I submit the attached comment, “Operational Evaluation and Lifecycle Controls for Agentic GenAI-Enabled Medical Devices,” in response to FDA Docket FDA-2026-N-7874.</w:t>
      </w:r>
    </w:p>
    <w:p>
      <w:r>
        <w:rPr>
          <w:color w:val="777777"/>
          <w:sz w:val="16"/>
        </w:rPr>
        <w:t xml:space="preserve">p002 · body  </w:t>
      </w:r>
      <w:r>
        <w:t>These are my personal views, submitted in my individual capacity. They do not represent my employer.</w:t>
      </w:r>
    </w:p>
    <w:p>
      <w:r>
        <w:rPr>
          <w:color w:val="777777"/>
          <w:sz w:val="16"/>
        </w:rPr>
        <w:t xml:space="preserve">p003 · body  </w:t>
      </w:r>
      <w:r>
        <w:t>The attachment addresses Questions 18, 19, 20, 21, 22, 24, and 26. It recommends enforceable authorization controls, evaluation of agent actions and outcomes, monitoring tied to timely intervention, impact-based change assessment, management of third-party model updates, evaluation of supervisory agents, and protected records for investigating failures. The recommendations scale the evidence to intended use and potential harm without prescribing a particular architecture.</w:t>
      </w:r>
    </w:p>
    <w:p>
      <w:r>
        <w:rPr>
          <w:color w:val="777777"/>
          <w:sz w:val="16"/>
        </w:rPr>
        <w:t xml:space="preserve">p004 · body  </w:t>
      </w:r>
      <w:r>
        <w:t>Please consider the attached document as my full comment.</w:t>
      </w:r>
    </w:p>
    <w:p>
      <w:r>
        <w:rPr>
          <w:color w:val="777777"/>
          <w:sz w:val="16"/>
        </w:rPr>
        <w:t xml:space="preserve">p005 · body  </w:t>
      </w:r>
      <w:r>
        <w:t>Brandon Kaplan</w:t>
      </w:r>
    </w:p>
    <w:p>
      <w:r>
        <w:rPr>
          <w:color w:val="777777"/>
          <w:sz w:val="16"/>
        </w:rPr>
        <w:t xml:space="preserve">p006 · att1 p.1  </w:t>
      </w:r>
      <w:r>
        <w:t>Operational Evaluation and Lifecycle Controls for Agentic GenAI-Enabled Medical Devices — Public comment | FDA Docket FDA-2026-N-7874</w:t>
      </w:r>
    </w:p>
    <w:p>
      <w:r>
        <w:rPr>
          <w:color w:val="777777"/>
          <w:sz w:val="16"/>
        </w:rPr>
        <w:t xml:space="preserve">p007 · att1 p.1  </w:t>
      </w:r>
      <w:r>
        <w:t>Brandon Kaplan | Individual capacity — Responses to Questions 18, 19, 20, 21, 22, 24, and 26</w:t>
      </w:r>
    </w:p>
    <w:p>
      <w:r>
        <w:rPr>
          <w:color w:val="777777"/>
          <w:sz w:val="16"/>
        </w:rPr>
        <w:t xml:space="preserve">p008 · att1 p.1  </w:t>
      </w:r>
      <w:r>
        <w:t>Introduction — I am a software and data-platform engineer with about 15 years of experience across healthcare and other industries. I have submitted Harness Engineering: Building, Evaluating, and Operating Reliable AI Agents for publication.</w:t>
      </w:r>
    </w:p>
    <w:p>
      <w:r>
        <w:rPr>
          <w:color w:val="777777"/>
          <w:sz w:val="16"/>
        </w:rPr>
        <w:t xml:space="preserve">p009 · att1 p.1  </w:t>
      </w:r>
      <w:r>
        <w:t>I submit these comments in my individual capacity. They do not represent my employer. I address engineering controls for GenAI-enabled device software functions within FDA's oversight. The examples are hypothetical and do not describe employer systems or determine a product's regulatory status. These engineering recommendations do not replace clinical evaluation.</w:t>
      </w:r>
    </w:p>
    <w:p>
      <w:r>
        <w:rPr>
          <w:color w:val="777777"/>
          <w:sz w:val="16"/>
        </w:rPr>
        <w:t xml:space="preserve">p010 · att1 p.1  </w:t>
      </w:r>
      <w:r>
        <w:t>I recommend that FDA ask manufacturers to demonstrate how they control agent actions, evaluate failures, and intervene during operation. FDA's discussion paper addresses device-level evaluation and agentic competencies. [1, pp. 11-14, 26] I offer implementation recommendations for future guidance, not a statement of current requirements. Manufacturers should scale the evidence to intended use and potential harm while retaining flexibility in architecture.</w:t>
      </w:r>
    </w:p>
    <w:p>
      <w:r>
        <w:rPr>
          <w:color w:val="777777"/>
          <w:sz w:val="16"/>
        </w:rPr>
        <w:t xml:space="preserve">p011 · att1 p.1  </w:t>
      </w:r>
      <w:r>
        <w:t>1. Question 26: Execution controls and testing — Manufacturers should evaluate the response shown to the user, the actions taken during execution, and the resulting state of connected systems. In a hypothetical workflow, a connected system carries out an approved action, but a timeout prevents the agent from receiving confirmation. The agent retries and causes a duplicate. An evaluator who reads the final response could miss the duplicate; the test should check the affected system's state.</w:t>
      </w:r>
    </w:p>
    <w:p>
      <w:r>
        <w:rPr>
          <w:color w:val="777777"/>
          <w:sz w:val="16"/>
        </w:rPr>
        <w:t xml:space="preserve">p012 · att1 p.1  </w:t>
      </w:r>
      <w:r>
        <w:t>Enforce authorization in the surrounding software. Manufacturers should enforce specified access restrictions and approval rules at the point of action through controls independent of the model's instructions and decisions. The agent should lack authority to expand its permissions or waive approval requirements. An approval should bind to the relevant patient, action, destination, and consequential parameters. Manufacturers should require renewed authorization after a material change to the approved action or its context, and test expired approvals, revoked permissions, and changes between approval and execution.</w:t>
      </w:r>
    </w:p>
    <w:p>
      <w:r>
        <w:rPr>
          <w:color w:val="777777"/>
          <w:sz w:val="16"/>
        </w:rPr>
        <w:t xml:space="preserve">p013 · att1 p.1  </w:t>
      </w:r>
      <w:r>
        <w:t>Reviewers need enough information and time to assess a proposed action. Manufacturers should test that workflow with intended users. Authorization checks establish permission; clinical evaluation must address whether the action is appropriate.</w:t>
      </w:r>
    </w:p>
    <w:p>
      <w:r>
        <w:rPr>
          <w:color w:val="777777"/>
          <w:sz w:val="16"/>
        </w:rPr>
        <w:t xml:space="preserve">p014 · att1 p.1  </w:t>
      </w:r>
      <w:r>
        <w:t>Test complete action sequences. Manufacturers should test failures caused by repeated steps, conflicting actions, and delegation between agents. They should justify limits on cumulative actions, execution time, and resource use where these affect safety, and show how the surrounding software enforces those limits. An agent should not obtain broader authority by delegating a task.</w:t>
      </w:r>
    </w:p>
    <w:p>
      <w:r>
        <w:rPr>
          <w:color w:val="777777"/>
          <w:sz w:val="16"/>
        </w:rPr>
        <w:t xml:space="preserve">p015 · att1 p.2  </w:t>
      </w:r>
      <w:r>
        <w:t>Tests should cover prompt injection through user inputs, retrieved content, tool results, and retained task context. Evaluators should try to induce unauthorized actions and inspect whether the enforcement controls block them. FDA includes prompt injection in its agentic benchmarking element. [1, p. 26]</w:t>
      </w:r>
    </w:p>
    <w:p>
      <w:r>
        <w:rPr>
          <w:color w:val="777777"/>
          <w:sz w:val="16"/>
        </w:rPr>
        <w:t xml:space="preserve">p016 · att1 p.2  </w:t>
      </w:r>
      <w:r>
        <w:t>Manufacturers should test interrupted execution, partial completion, erroneous tool results, and unavailable dependencies. For consequential actions that must not be repeated, they should demonstrate duplicate prevention or a tested reconciliation procedure when execution status is uncertain. They should specify how the device handles further action while that uncertainty remains. Tests of stopping and handoff procedures should cover unavailable reviewers and the risks of withholding or interrupting care.</w:t>
      </w:r>
    </w:p>
    <w:p>
      <w:r>
        <w:rPr>
          <w:color w:val="777777"/>
          <w:sz w:val="16"/>
        </w:rPr>
        <w:t xml:space="preserve">p017 · att1 p.2  </w:t>
      </w:r>
      <w:r>
        <w:t>Prespecify release criteria. Manufacturers should identify critical constraints before testing and report violations apart from aggregate task scores. I recommend withholding an affected capability until the manufacturer corrects an unresolved bypass of a required authorization control or validates an alternative control. FDA's software guidance recommends documenting unresolved anomalies and the risk-based rationale for leaving them unresolved. [2, Section VI.J]</w:t>
      </w:r>
    </w:p>
    <w:p>
      <w:r>
        <w:rPr>
          <w:color w:val="777777"/>
          <w:sz w:val="16"/>
        </w:rPr>
        <w:t xml:space="preserve">p018 · att1 p.2  </w:t>
      </w:r>
      <w:r>
        <w:t>Evaluation teams should report failures by hazard, test coverage, trial counts, and statistical uncertainty. Repeated runs can examine variability, but they do not replace testing across distinct cases and deployment conditions. A finite test set with no observed failures cannot establish that failure is impossible.</w:t>
      </w:r>
    </w:p>
    <w:p>
      <w:r>
        <w:rPr>
          <w:color w:val="777777"/>
          <w:sz w:val="16"/>
        </w:rPr>
        <w:t xml:space="preserve">p019 · att1 p.2  </w:t>
      </w:r>
      <w:r>
        <w:t>2. Questions 18 and 19: Premarket uncertainty and monitoring — Question 18: Conditions for relying on postmarket evidence. Greater reliance on postmarket evidence may be appropriate when the manufacturer supports the initial benefit-risk determination, identifies the remaining uncertainty, and demonstrates a feasible plan to resolve it. The justification should consider the available alternatives and the consequences of delaying access.</w:t>
      </w:r>
    </w:p>
    <w:p>
      <w:r>
        <w:rPr>
          <w:color w:val="777777"/>
          <w:sz w:val="16"/>
        </w:rPr>
        <w:t xml:space="preserve">p020 · att1 p.2  </w:t>
      </w:r>
      <w:r>
        <w:t>The manufacturer should define the outcomes to collect, the evidence target and deadline, and limits on exposure while uncertainty remains. Reviewers should consider severity and reversibility of harm, cumulative patient exposure, and the ability to detect rare or delayed failures. The manufacturer should specify criteria for restricting use if evidence collection falls behind or results exceed the prespecified risk limits.</w:t>
      </w:r>
    </w:p>
    <w:p>
      <w:r>
        <w:rPr>
          <w:color w:val="777777"/>
          <w:sz w:val="16"/>
        </w:rPr>
        <w:t xml:space="preserve">p021 · att1 p.2  </w:t>
      </w:r>
      <w:r>
        <w:t>Monitoring alone is inadequate for a failure that could cause serious harm before detection and effective intervention. The manufacturer should compare time to harm with the combined time needed to detect, investigate, and contain the failure. It should account for unavailable reviewers and supplier delays. Such a failure requires preventive controls, restricted functionality, or another justified safeguard before deployment.</w:t>
      </w:r>
    </w:p>
    <w:p>
      <w:r>
        <w:rPr>
          <w:color w:val="777777"/>
          <w:sz w:val="16"/>
        </w:rPr>
        <w:t xml:space="preserve">p022 · att1 p.2  </w:t>
      </w:r>
      <w:r>
        <w:t>Question 19: A monitoring plan that supports decisions. For each safety-relevant signal, manufacturers should assign an investigator, define the condition for intervention, and specify the response time and available action. They should combine scheduled baseline evaluations with review after material changes, credible safety incidents, new deployment conditions, or loss of a safety function. Manufacturers should justify reassessment intervals by exposure, failure detectability, potential harm, and the pace of device or workflow changes. NIST's Generative AI Profile connects post-deployment monitoring with incident response and change management. [3, MANAGE 4.1]</w:t>
      </w:r>
    </w:p>
    <w:p>
      <w:r>
        <w:rPr>
          <w:color w:val="777777"/>
          <w:sz w:val="16"/>
        </w:rPr>
        <w:t xml:space="preserve">p023 · att1 p.2  </w:t>
      </w:r>
      <w:r>
        <w:t>Manufacturers should track attempted and completed unauthorized actions, uncertain or duplicate actions, failed handoffs, and loss of required execution records. Reports should include exposure counts and consequences. A count of failed handoffs, for example, needs the number attempted and the circumstances of those attempts.</w:t>
      </w:r>
    </w:p>
    <w:p>
      <w:r>
        <w:rPr>
          <w:color w:val="777777"/>
          <w:sz w:val="16"/>
        </w:rPr>
        <w:t xml:space="preserve">p024 · att1 p.3  </w:t>
      </w:r>
      <w:r>
        <w:t>Reviewers should examine flagged cases and a sample drawn independently of the flagging system. Manufacturers should justify coverage across sites, workflows, and clinically relevant subgroups, and account for unequal sampling when estimating overall rates. They should report sample sizes, delayed or missing outcomes, and uncertainty in the estimates.</w:t>
      </w:r>
    </w:p>
    <w:p>
      <w:r>
        <w:rPr>
          <w:color w:val="777777"/>
          <w:sz w:val="16"/>
        </w:rPr>
        <w:t xml:space="preserve">p025 · att1 p.3  </w:t>
      </w:r>
      <w:r>
        <w:t>Technical monitoring should support clinical assessment. Confirmation that an operation occurred does not establish its clinical appropriateness. Manufacturers should investigate a change in the input population before attributing degraded clinical performance to it. They should document failures the monitoring program cannot detect within the response time required for safety.</w:t>
      </w:r>
    </w:p>
    <w:p>
      <w:r>
        <w:rPr>
          <w:color w:val="777777"/>
          <w:sz w:val="16"/>
        </w:rPr>
        <w:t xml:space="preserve">p026 · att1 p.3  </w:t>
      </w:r>
      <w:r>
        <w:t>3. Question 21: Responsibility and intervention — FDA identifies manufacturers as responsible for postmarket monitoring. [1, p. 20] I recommend that the manufacturer document the roles of deploying institutions and suppliers while retaining responsibility for its monitoring and response plan.</w:t>
      </w:r>
    </w:p>
    <w:p>
      <w:r>
        <w:rPr>
          <w:color w:val="777777"/>
          <w:sz w:val="16"/>
        </w:rPr>
        <w:t xml:space="preserve">p027 · att1 p.3  </w:t>
      </w:r>
      <w:r>
        <w:t>The plan should assign responsibility for investigation, clinical assessment, restricting functionality, communication, and restoration. It should identify who makes each decision and who can implement it. The parties should demonstrate that they can complete any cross-organizational handoff within the response time justified for the hazard.</w:t>
      </w:r>
    </w:p>
    <w:p>
      <w:r>
        <w:rPr>
          <w:color w:val="777777"/>
          <w:sz w:val="16"/>
        </w:rPr>
        <w:t xml:space="preserve">p028 · att1 p.3  </w:t>
      </w:r>
      <w:r>
        <w:t>Institutions can contribute workflow information and incident reports. Qualified clinicians can assess outputs and consequences; professional societies and standards-setting bodies can support evaluation methods. Manufacturers and institutions should agree on the staffing, access, and workload required for those contributions. They should provide users and affected patients with a practical route to report concerns and connect those reports to existing incident-handling processes.</w:t>
      </w:r>
    </w:p>
    <w:p>
      <w:r>
        <w:rPr>
          <w:color w:val="777777"/>
          <w:sz w:val="16"/>
        </w:rPr>
        <w:t xml:space="preserve">p029 · att1 p.3  </w:t>
      </w:r>
      <w:r>
        <w:t>Manufacturers should select interventions suited to the device: disabling a tool, restricting writes, adding an approval step, or transferring work to an evaluated alternative. The plan should account for interruption risks and the institution's access controls. It need not grant manufacturers unrestricted remote access or require a universal shutdown mechanism.</w:t>
      </w:r>
    </w:p>
    <w:p>
      <w:r>
        <w:rPr>
          <w:color w:val="777777"/>
          <w:sz w:val="16"/>
        </w:rPr>
        <w:t xml:space="preserve">p030 · att1 p.3  </w:t>
      </w:r>
      <w:r>
        <w:t>The parties should rehearse the relevant procedures before deployment and after changes that affect them. Exercises should cover unavailable decision-makers, supplier delays, and failure of the primary intervention mechanism. The responsible party should verify specified restoration criteria before resuming affected functionality. NIST recommends assigning and rehearsing incidentresponse responsibilities for third-party AI dependencies. [3, GV-6.2-003]</w:t>
      </w:r>
    </w:p>
    <w:p>
      <w:r>
        <w:rPr>
          <w:color w:val="777777"/>
          <w:sz w:val="16"/>
        </w:rPr>
        <w:t xml:space="preserve">p031 · att1 p.3  </w:t>
      </w:r>
      <w:r>
        <w:t>4. Questions 22 and 24: Device changes and supplier updates — Question 22: Assess the effect of a change</w:t>
      </w:r>
    </w:p>
    <w:p>
      <w:r>
        <w:rPr>
          <w:color w:val="777777"/>
          <w:sz w:val="16"/>
        </w:rPr>
        <w:t xml:space="preserve">p032 · att1 p.3  </w:t>
      </w:r>
      <w:r>
        <w:t>Manufacturers should assess changes across the deployed configuration, including model identifiers, instructions, retrieval rules, data transformations, tools, permissions, approval requirements, and execution logic. A versioned record should connect that configuration to its supporting evaluations.</w:t>
      </w:r>
    </w:p>
    <w:p>
      <w:r>
        <w:rPr>
          <w:color w:val="777777"/>
          <w:sz w:val="16"/>
        </w:rPr>
        <w:t xml:space="preserve">p033 · att1 p.3  </w:t>
      </w:r>
      <w:r>
        <w:t>Manufacturers may use targeted testing when they can show which functions and safety properties a change could affect and why others remain unaffected. They should broaden evaluation for changes to shared dependencies or critical controls, or where interactions are uncertain. They should assess cumulative changes and add tests for failure modes the original benchmark did not cover.</w:t>
      </w:r>
    </w:p>
    <w:p>
      <w:r>
        <w:rPr>
          <w:color w:val="777777"/>
          <w:sz w:val="16"/>
        </w:rPr>
        <w:t xml:space="preserve">p034 · att1 p.4  </w:t>
      </w:r>
      <w:r>
        <w:t>For example, a developer might change laboratory-result selection from specimen-collection date to record-import date. An older result imported later could then displace a newer result. The model version would remain unchanged, but the manufacturer would need to test the selection rule and affected workflows.</w:t>
      </w:r>
    </w:p>
    <w:p>
      <w:r>
        <w:rPr>
          <w:color w:val="777777"/>
          <w:sz w:val="16"/>
        </w:rPr>
        <w:t xml:space="preserve">p035 · att1 p.4  </w:t>
      </w:r>
      <w:r>
        <w:t>Manufacturers should distinguish ordinary patient inputs within the evaluated design from changes to the device's knowledge or behavior. Revised reference material, persistent memory reused across tasks, adaptive retrieval, or learning during operation may change later outputs. Manufacturers should define and evaluate the permitted scope of that adaptation, retain relevant provenance, and specify reassessment triggers. This approach does not require a separate release review for each incoming patient record.</w:t>
      </w:r>
    </w:p>
    <w:p>
      <w:r>
        <w:rPr>
          <w:color w:val="777777"/>
          <w:sz w:val="16"/>
        </w:rPr>
        <w:t xml:space="preserve">p036 · att1 p.4  </w:t>
      </w:r>
      <w:r>
        <w:t>FDA's predetermined change control plan (PCCP) guidance links planned modifications to validation methods and impact assessment. [4, Sections V.D and VI-VIII] I recommend using that structure where applicable. A manufacturer should establish that a change falls within the authorized PCCP and follows its protocol before relying on that authorization. Regression tests alone cannot determine whether the manufacturer needs a new marketing submission.</w:t>
      </w:r>
    </w:p>
    <w:p>
      <w:r>
        <w:rPr>
          <w:color w:val="777777"/>
          <w:sz w:val="16"/>
        </w:rPr>
        <w:t xml:space="preserve">p037 · att1 p.4  </w:t>
      </w:r>
      <w:r>
        <w:t>Question 24: Manage supplier changes and retirement — Manufacturers should document the version guarantees, change notices, evaluation opportunities, and retirement arrangements their suppliers provide. A service identifier may cover less than the full configuration that affects behavior; the manufacturer should establish what it covers and which changes a supplier can make without changing it.</w:t>
      </w:r>
    </w:p>
    <w:p>
      <w:r>
        <w:rPr>
          <w:color w:val="777777"/>
          <w:sz w:val="16"/>
        </w:rPr>
        <w:t xml:space="preserve">p038 · att1 p.4  </w:t>
      </w:r>
      <w:r>
        <w:t>The manufacturer should make adoption of a replacement an explicit release decision where version selection is available. For services that do not permit deferral, it should demonstrate how its controls manage change-related uncertainty within the response time required for safety. It should restrict the affected capability or choose a different dependency if those controls cannot support the intended use.</w:t>
      </w:r>
    </w:p>
    <w:p>
      <w:r>
        <w:rPr>
          <w:color w:val="777777"/>
          <w:sz w:val="16"/>
        </w:rPr>
        <w:t xml:space="preserve">p039 · att1 p.4  </w:t>
      </w:r>
      <w:r>
        <w:t>Behavioral checks can help detect a change. Manufacturers should state their coverage and the failures they might miss, rather than treat a passing sample as proof that a remote service is unchanged.</w:t>
      </w:r>
    </w:p>
    <w:p>
      <w:r>
        <w:rPr>
          <w:color w:val="777777"/>
          <w:sz w:val="16"/>
        </w:rPr>
        <w:t xml:space="preserve">p040 · att1 p.4  </w:t>
      </w:r>
      <w:r>
        <w:t>Manufacturers should test a fallback that remains available if the supplier retires the previous version. Alternatives may include another evaluated configuration, restricted functionality, or a human workflow. Human reviewers need the information, availability, and capacity to handle the expected workload. NIST addresses testing fallback arrangements, including manual processing. [3, GV-6.2-006]</w:t>
      </w:r>
    </w:p>
    <w:p>
      <w:r>
        <w:rPr>
          <w:color w:val="777777"/>
          <w:sz w:val="16"/>
        </w:rPr>
        <w:t xml:space="preserve">p041 · att1 p.4  </w:t>
      </w:r>
      <w:r>
        <w:t>After an incident, manufacturers should address affected outputs, records, actions, and users as well as restoring software. FDA should assess the adequacy of the chosen controls without requiring self-hosting, access to proprietary model weights, indefinite support for old versions, or one notice period for all devices.</w:t>
      </w:r>
    </w:p>
    <w:p>
      <w:r>
        <w:rPr>
          <w:color w:val="777777"/>
          <w:sz w:val="16"/>
        </w:rPr>
        <w:t xml:space="preserve">p042 · att1 p.4  </w:t>
      </w:r>
      <w:r>
        <w:t>5. Question 20: Supervisory agents — Manufacturers should define the supervisor's assigned role, the evidence it can access, and its intervention authority. Retrospective screening, triage for human review, and blocking an action require different evaluations. The manufacturer should demonstrate the protection claimed for the selected role.</w:t>
      </w:r>
    </w:p>
    <w:p>
      <w:r>
        <w:rPr>
          <w:color w:val="777777"/>
          <w:sz w:val="16"/>
        </w:rPr>
        <w:t xml:space="preserve">p043 · att1 p.5  </w:t>
      </w:r>
      <w:r>
        <w:t>Evaluators should use task-appropriate reference criteria with qualified clinical or technical adjudication. They should separate evaluation cases from development and tuning cases, document reviewer independence and conflicts, and define how to resolve disagreement. They should use evidence beyond the primary agent's explanation or the supervisor's agreement to establish correctness.</w:t>
      </w:r>
    </w:p>
    <w:p>
      <w:r>
        <w:rPr>
          <w:color w:val="777777"/>
          <w:sz w:val="16"/>
        </w:rPr>
        <w:t xml:space="preserve">p044 · att1 p.5  </w:t>
      </w:r>
      <w:r>
        <w:t>Manufacturers should report missed failures by type, false alarms, response times, and uncertainty. They should test shared failure modes and measure the supervisor's added contribution through a justified comparison, such as matched trials with and without its protection in a safe test environment. Choosing different vendors does not by itself establish independence. Two models receiving the same outdated record could agree while missing the selection error; evaluators should check whether the supervisor can access the evidence needed to detect it.</w:t>
      </w:r>
    </w:p>
    <w:p>
      <w:r>
        <w:rPr>
          <w:color w:val="777777"/>
          <w:sz w:val="16"/>
        </w:rPr>
        <w:t xml:space="preserve">p045 · att1 p.5  </w:t>
      </w:r>
      <w:r>
        <w:t>The evaluation should include missed unsafe actions, inappropriate blocking of necessary actions, and human-review workload. Manufacturers should use the sampling safeguards in Section 2 to look for errors in unflagged cases. They should assess changes to the supervisor under the same impact-based process used for the device.</w:t>
      </w:r>
    </w:p>
    <w:p>
      <w:r>
        <w:rPr>
          <w:color w:val="777777"/>
          <w:sz w:val="16"/>
        </w:rPr>
        <w:t xml:space="preserve">p046 · att1 p.5  </w:t>
      </w:r>
      <w:r>
        <w:t>Manufacturers should define and test the response to an unavailable, delayed, or inconclusive supervisor. They should prevent an uncontrolled bypass of a supervisor needed for safe operation. The evidence burden should follow the claimed protection; this recommendation does not require human review of every output.</w:t>
      </w:r>
    </w:p>
    <w:p>
      <w:r>
        <w:rPr>
          <w:color w:val="777777"/>
          <w:sz w:val="16"/>
        </w:rPr>
        <w:t xml:space="preserve">p047 · att1 p.5  </w:t>
      </w:r>
      <w:r>
        <w:t>6. Investigation records and documentation — FDA's software-submission guidance addresses traceability and risk-management documentation, and its cybersecurity guidance addresses security controls and testing. [2, Section VI.C; 5, Section V] I recommend that manufacturers extend those processes to cover agent execution and reuse relevant evidence. They should connect each critical safety claim to its hazard, control, evaluation, and remaining limitation.</w:t>
      </w:r>
    </w:p>
    <w:p>
      <w:r>
        <w:rPr>
          <w:color w:val="777777"/>
          <w:sz w:val="16"/>
        </w:rPr>
        <w:t xml:space="preserve">p048 · att1 p.5  </w:t>
      </w:r>
      <w:r>
        <w:t>Manufacturers should retain records needed to investigate foreseeable failures, including configuration identifiers, relevant inputs and source versions, user-facing outputs, approval events, tool requests and results, and resulting state changes. They should correlate records across the agent and connected systems, with enough timing information to reconstruct the sequence. Investigators should distinguish proposed, attempted, blocked, completed, and uncertain actions, and confirm consequential effects against the affected system's records.</w:t>
      </w:r>
    </w:p>
    <w:p>
      <w:r>
        <w:rPr>
          <w:color w:val="777777"/>
          <w:sz w:val="16"/>
        </w:rPr>
        <w:t xml:space="preserve">p049 · att1 p.5  </w:t>
      </w:r>
      <w:r>
        <w:t>Manufacturers should protect those records from unauthorized alteration or deletion, including by the agent. They should detect loss of required records and respond according to its safety impact. An interruption in retrospective logging may permit continued operation under a documented limit; loss of evidence needed for an immediate safety decision may require restricting the affected function. Manufacturers should test both conditions.</w:t>
      </w:r>
    </w:p>
    <w:p>
      <w:r>
        <w:rPr>
          <w:color w:val="777777"/>
          <w:sz w:val="16"/>
        </w:rPr>
        <w:t xml:space="preserve">p050 · att1 p.5  </w:t>
      </w:r>
      <w:r>
        <w:t>Manufacturers should justify the patient information retained, its purpose, retention period, and access controls. They may use protected references if authorized investigators can retrieve the relevant historical versions for the required retention period. A current chart alone cannot establish what the device saw earlier. Manufacturers should document gaps and protect any additional content needed for investigation under applicable privacy and recordkeeping obligations.</w:t>
      </w:r>
    </w:p>
    <w:p>
      <w:r>
        <w:rPr>
          <w:color w:val="777777"/>
          <w:sz w:val="16"/>
        </w:rPr>
        <w:t xml:space="preserve">p051 · att1 p.5  </w:t>
      </w:r>
      <w:r>
        <w:t>Investigators should rely on observable actions and state changes to establish what occurred. A model-generated explanation presented to a user may itself be relevant evidence, but it does not prove that the described actions occurred. This recommendation does not require disclosure or retention of internal model reasoning.</w:t>
      </w:r>
    </w:p>
    <w:p>
      <w:r>
        <w:rPr>
          <w:color w:val="777777"/>
          <w:sz w:val="16"/>
        </w:rPr>
        <w:t xml:space="preserve">p052 · att1 p.6  </w:t>
      </w:r>
      <w:r>
        <w:t>Manufacturers should rehearse investigations using the records and access arrangements available after deployment. Reviewers should be able to identify the configuration, reconstruct consequential actions, and state unresolved gaps. Manufacturers should preserve the exact content shown to users when its wording matters to safety. Investigators need not reproduce that content by running the model again.</w:t>
      </w:r>
    </w:p>
    <w:p>
      <w:r>
        <w:rPr>
          <w:color w:val="777777"/>
          <w:sz w:val="16"/>
        </w:rPr>
        <w:t xml:space="preserve">p053 · att1 p.6  </w:t>
      </w:r>
      <w:r>
        <w:t>Conclusion — I recommend that FDA ask manufacturers to support critical safety claims with tested controls and documented limitations. Monitoring and response plans should identify who can intervene, what they can do, and whether they can act within the time justified for the hazard. Manufacturers should support those plans with evidence suited to the device's intended use.</w:t>
      </w:r>
    </w:p>
    <w:p>
      <w:r>
        <w:rPr>
          <w:color w:val="777777"/>
          <w:sz w:val="16"/>
        </w:rPr>
        <w:t xml:space="preserve">p054 · att1 p.6  </w:t>
      </w:r>
      <w:r>
        <w:t>Brandon Kaplan — References — 1. U.S. Food and Drug Administration. Considerations for the Regulation of Generative AI-Enabled Medical Devices: Discussion Paper and Request for Feedback. 2026. See pp. 1, 11-14, 19-23, and 26. Discussion paper, not draft or final guidance.</w:t>
      </w:r>
    </w:p>
    <w:p>
      <w:r>
        <w:rPr>
          <w:color w:val="777777"/>
          <w:sz w:val="16"/>
        </w:rPr>
        <w:t xml:space="preserve">p055 · att1 p.6  </w:t>
      </w:r>
      <w:r>
        <w:t>2. U.S. Food and Drug Administration. Content of Premarket Submissions for Device Software Functions. Final guidance, June 14, 2023. Sections VI.C and VI.J.</w:t>
      </w:r>
    </w:p>
    <w:p>
      <w:r>
        <w:rPr>
          <w:color w:val="777777"/>
          <w:sz w:val="16"/>
        </w:rPr>
        <w:t xml:space="preserve">p056 · att1 p.6  </w:t>
      </w:r>
      <w:r>
        <w:t>3. National Institute of Standards and Technology. Artificial Intelligence Risk Management Framework: Generative Artificial Intelligence Profile. NIST AI 600-1, July 2024. MANAGE 4.1; GV-6.2-003 and GV-6.2-006. Cross-sectoral reference.</w:t>
      </w:r>
    </w:p>
    <w:p>
      <w:r>
        <w:rPr>
          <w:color w:val="777777"/>
          <w:sz w:val="16"/>
        </w:rPr>
        <w:t xml:space="preserve">p057 · att1 p.6  </w:t>
      </w:r>
      <w:r>
        <w:t>4. U.S. Food and Drug Administration. Marketing Submission Recommendations for a Predetermined Change Control Plan for Artificial Intelligence-Enabled Device Software Functions. Final guidance, August 18, 2025. Sections V.D and VI-VIII.</w:t>
      </w:r>
    </w:p>
    <w:p>
      <w:r>
        <w:rPr>
          <w:color w:val="777777"/>
          <w:sz w:val="16"/>
        </w:rPr>
        <w:t xml:space="preserve">p058 · att1 p.6  </w:t>
      </w:r>
      <w:r>
        <w:t>5. U.S. Food and Drug Administration. Cybersecurity in Medical Devices: Quality Management System Considerations and Content of Premarket Submissions. Final guidance, February 3, 2026. Section V, especially V.B-V.C.</w:t>
      </w:r>
    </w:p>
    <w:p>
      <w:pPr>
        <w:pStyle w:val="Heading1"/>
        <w:pageBreakBefore/>
      </w:pPr>
      <w:r>
        <w:t>FDA-2026-N-7874-0076</w:t>
      </w:r>
    </w:p>
    <w:p>
      <w:r>
        <w:t>Comment from Navid Farr</w:t>
      </w:r>
    </w:p>
    <w:p>
      <w:r>
        <w:rPr>
          <w:color w:val="777777"/>
          <w:sz w:val="18"/>
        </w:rPr>
        <w:t>Individual Consumer · received 2026-09-08 · attachments: attachment_1.pdf (9 pp)</w:t>
      </w:r>
    </w:p>
    <w:p>
      <w:r>
        <w:rPr>
          <w:color w:val="777777"/>
          <w:sz w:val="16"/>
        </w:rPr>
        <w:t xml:space="preserve">p001 · body  </w:t>
      </w:r>
      <w:r>
        <w:t>I am submitting this comment as an individual. I work in medical device and combination product development and previously worked in interventional radiology (targeted therapy, image guided therapy development, analytical method, and regulatory compliance under ISO, GMP, and FDA frameworks) and advise organizations on practical AI implementation. These views are my own and do not represent my employer or any organization. My full comment is in the attached document; this summary highlights the main points.</w:t>
      </w:r>
    </w:p>
    <w:p>
      <w:r>
        <w:rPr>
          <w:color w:val="777777"/>
          <w:sz w:val="16"/>
        </w:rPr>
        <w:t xml:space="preserve">p002 · body  </w:t>
      </w:r>
      <w:r>
        <w:t>WHAT CDRH GETS RIGHT AND SHOULD PRESERVE (1) The two-axis risk framework, and the position that an output's directiveness depends on substance and context, not on wording, and that a "talk to your doctor" disclaimer does not make a patient-facing output less directive.</w:t>
      </w:r>
    </w:p>
    <w:p>
      <w:r>
        <w:rPr>
          <w:color w:val="777777"/>
          <w:sz w:val="16"/>
        </w:rPr>
        <w:t xml:space="preserve">p003 · body  </w:t>
      </w:r>
      <w:r>
        <w:t>(2) Assessing risk across realistic multi-turn conversational trajectories rather than isolated outputs.</w:t>
      </w:r>
    </w:p>
    <w:p>
      <w:r>
        <w:rPr>
          <w:color w:val="777777"/>
          <w:sz w:val="16"/>
        </w:rPr>
        <w:t xml:space="preserve">p004 · body  </w:t>
      </w:r>
      <w:r>
        <w:t>(3) Evaluating the deployed device configuration, not the foundation model in isolation.</w:t>
      </w:r>
    </w:p>
    <w:p>
      <w:r>
        <w:rPr>
          <w:color w:val="777777"/>
          <w:sz w:val="16"/>
        </w:rPr>
        <w:t xml:space="preserve">p005 · body  </w:t>
      </w:r>
      <w:r>
        <w:t>(4) Requiring adjudicators to be structurally independent from both the sponsor and the foundation model developer, including when the adjudicator is an LLM.</w:t>
      </w:r>
    </w:p>
    <w:p>
      <w:r>
        <w:rPr>
          <w:color w:val="777777"/>
          <w:sz w:val="16"/>
        </w:rPr>
        <w:t xml:space="preserve">p006 · body  </w:t>
      </w:r>
      <w:r>
        <w:t>(5) Treating both directions of escalation, refusal, and deferral error as failures, and defining subgroup performance to include dialect, literacy, and health literacy.</w:t>
      </w:r>
    </w:p>
    <w:p>
      <w:r>
        <w:rPr>
          <w:color w:val="777777"/>
          <w:sz w:val="16"/>
        </w:rPr>
        <w:t xml:space="preserve">p007 · body  </w:t>
      </w:r>
      <w:r>
        <w:t>(6) Candor about benchmark contamination, synthetic-data circularity, and developers' limited incentive to disclose.</w:t>
      </w:r>
    </w:p>
    <w:p>
      <w:r>
        <w:rPr>
          <w:color w:val="777777"/>
          <w:sz w:val="16"/>
        </w:rPr>
        <w:t xml:space="preserve">p008 · body  </w:t>
      </w:r>
      <w:r>
        <w:t>RECOMMENDATIONS (each builds on the points above; see attachment for detail) — R1. Add data exposure as a risk dimension (Q1, Q3). The paper does not mention privacy. Where patient inputs go, whether they are retained or used for training, and whether the patient is told, should factor into risk. Purpose limitation and data minimization should be design requirements, as in the European approach.</w:t>
      </w:r>
    </w:p>
    <w:p>
      <w:r>
        <w:rPr>
          <w:color w:val="777777"/>
          <w:sz w:val="16"/>
        </w:rPr>
        <w:t xml:space="preserve">p009 · body  </w:t>
      </w:r>
      <w:r>
        <w:t>R2. Do not trade premarket evidence for postmarket monitoring outside the lowest-risk quadrant (Q18, Q19, Q21). Postmarket surveillance is not yet equipped to detect GenAI failure modes. Any relief should require a GenAI-specific reporting taxonomy, public prespecified thresholds, a patient reporting channel, and public reporting. "Shared ecosystem responsibility" must not diffuse manufacturer accountability.</w:t>
      </w:r>
    </w:p>
    <w:p>
      <w:r>
        <w:rPr>
          <w:color w:val="777777"/>
          <w:sz w:val="16"/>
        </w:rPr>
        <w:t xml:space="preserve">p010 · body  </w:t>
      </w:r>
      <w:r>
        <w:t>R3. Foundation model transparency should be mandatory, or the sponsor should carry the full evidence burden with no reliance on developer claims (Q25). Model cards for models in marketed devices should be public.</w:t>
      </w:r>
    </w:p>
    <w:p>
      <w:r>
        <w:rPr>
          <w:color w:val="777777"/>
          <w:sz w:val="16"/>
        </w:rPr>
        <w:t xml:space="preserve">p011 · body  </w:t>
      </w:r>
      <w:r>
        <w:t>R4. Third-party model changes need version pinning, contractual change notification, no silent updates, and re-benchmarking before a new version reaches patients (Q22–24). A PCCP cannot cover changes the sponsor does not control.</w:t>
      </w:r>
    </w:p>
    <w:p>
      <w:r>
        <w:rPr>
          <w:color w:val="777777"/>
          <w:sz w:val="16"/>
        </w:rPr>
        <w:t xml:space="preserve">p012 · body  </w:t>
      </w:r>
      <w:r>
        <w:t>R5. The clinician-credentialing analogy justifies competency testing but not relaxed change control or diffused accountability (Q7). It breaks on identity and continuity (a model can be silently replaced; a clinician cannot), accountability (no revocation mechanism is proposed), scale (one systematic error affects every patient at once), and self-knowledge of limits (a model's stated uncertainty is itself a generated output). Competency evidence should be bound to a fixed configuration.</w:t>
      </w:r>
    </w:p>
    <w:p>
      <w:r>
        <w:rPr>
          <w:color w:val="777777"/>
          <w:sz w:val="16"/>
        </w:rPr>
        <w:t xml:space="preserve">p013 · body  </w:t>
      </w:r>
      <w:r>
        <w:t>R6. Hold benchmarking to bench-testing standards (Q9–13, Q16): report performance as a distribution with disclosed decoding settings; synthetic data must be of different lineage and never the sole basis for subgroup claims; LLM adjudicators from a different model family, validated against humans; sequestered datasets the sponsor never sees.</w:t>
      </w:r>
    </w:p>
    <w:p>
      <w:r>
        <w:rPr>
          <w:color w:val="777777"/>
          <w:sz w:val="16"/>
        </w:rPr>
        <w:t xml:space="preserve">p014 · body  </w:t>
      </w:r>
      <w:r>
        <w:t>R7. The comparator should be the standard of care, not the "median clinician in practice," which normalizes existing gaps in care (Q14, Q15). Human-AI team evaluation should measure automation bias.</w:t>
      </w:r>
    </w:p>
    <w:p>
      <w:r>
        <w:rPr>
          <w:color w:val="777777"/>
          <w:sz w:val="16"/>
        </w:rPr>
        <w:t xml:space="preserve">p015 · body  </w:t>
      </w:r>
      <w:r>
        <w:t>R8. Under-escalation is irreversible; over-escalation is recoverable. The trade-off should be prespecified, disclosed, and weighted toward patient safety (Q6).</w:t>
      </w:r>
    </w:p>
    <w:p>
      <w:r>
        <w:rPr>
          <w:color w:val="777777"/>
          <w:sz w:val="16"/>
        </w:rPr>
        <w:t xml:space="preserve">p016 · body  </w:t>
      </w:r>
      <w:r>
        <w:t>R9. Machine supervisors can triage but not replace human review; agentic devices need a human checkpoint before irreversible actions, immutable audit logs, and hard tool boundaries (Q20, Q26).</w:t>
      </w:r>
    </w:p>
    <w:p>
      <w:r>
        <w:rPr>
          <w:color w:val="777777"/>
          <w:sz w:val="16"/>
        </w:rPr>
        <w:t xml:space="preserve">p017 · body  </w:t>
      </w:r>
      <w:r>
        <w:t>R10. Support patient-facing access, with disclosure that the user is interacting with a machine, plain-language limitations, data-flow disclosure, and a route to a human (Q3).</w:t>
      </w:r>
    </w:p>
    <w:p>
      <w:r>
        <w:rPr>
          <w:color w:val="777777"/>
          <w:sz w:val="16"/>
        </w:rPr>
        <w:t xml:space="preserve">p018 · body  </w:t>
      </w:r>
      <w:r>
        <w:t>The attached document provides the full reasoning and a table cross-referencing all 26 discussion questions.</w:t>
      </w:r>
    </w:p>
    <w:p>
      <w:r>
        <w:rPr>
          <w:color w:val="777777"/>
          <w:sz w:val="16"/>
        </w:rPr>
        <w:t xml:space="preserve">p019 · att1 p.1  </w:t>
      </w:r>
      <w:r>
        <w:t>Docket No. FDA-2026-N-7874 Re: Considerations for the Regulation of Generative AI-Enabled Medical Devices: Discussion Paper and Request for Feedback (CDRH, August 2026) submitted in an individual capacity Submitted to: Dockets Management Staff (HFA-305), Food and Drug Administration, via https://www.regulations.gov Date: 08SEP2026</w:t>
      </w:r>
    </w:p>
    <w:p>
      <w:r>
        <w:rPr>
          <w:color w:val="777777"/>
          <w:sz w:val="16"/>
        </w:rPr>
        <w:t xml:space="preserve">p020 · att1 p.1  </w:t>
      </w:r>
      <w:r>
        <w:t>To the Center for Devices and Radiological Health: Thank you for the opportunity to comment on the discussion paper. I work in medical device and combination product development and previously worked in. interventional radiology and targeted therapy development, where my responsibilities span medical devices, image guided therapy, analytical method, and regulatory compliance under ISO, GMP, and FDA frameworks. I also advise organizations on the practical implementation of artificial intelligence. I submit these comments as an individual. They reflect my own views and do not represent the position of my employer, any standards body, or any other organization.</w:t>
      </w:r>
    </w:p>
    <w:p>
      <w:r>
        <w:rPr>
          <w:color w:val="777777"/>
          <w:sz w:val="16"/>
        </w:rPr>
        <w:t xml:space="preserve">p021 · att1 p.1  </w:t>
      </w:r>
      <w:r>
        <w:t>My comments are organized in three parts. Part I identifies the elements of the discussion paper that I believe CDRH has gotten right and should preserve as it moves toward policy. Part II offers recommendations, each of which is tied back to one or more of the strengths identified in Part I; my intent is to show that the recommendations follow from CDRH's own reasoning rather than cutting against it. Part III is a short table mapping the recommendations to the numbered discussion questions.</w:t>
      </w:r>
    </w:p>
    <w:p>
      <w:r>
        <w:rPr>
          <w:color w:val="777777"/>
          <w:sz w:val="16"/>
        </w:rPr>
        <w:t xml:space="preserve">p022 · att1 p.1  </w:t>
      </w:r>
      <w:r>
        <w:t>Three principles run through everything below. The patient comes first: where the interests of patients and the convenience of sponsors or model developers diverge, the regulatory framework should resolve the tension in favor of the patient. Follow the science: evaluation methods should be held to the same standards of prespecification, independence, reproducibility, and statistical honesty that CDRH already expects for bench and clinical testing of other devices. Data protection is a safety property: a device that moves patient information to places the patient does not expect, or uses it for purposes the patient did not agree to, is not safe in any meaningful sense, even if every output is clinically correct. I draw on the European approach to data protection and AI governance where I think it offers a more patientcentered model than the paper currently reflects.</w:t>
      </w:r>
    </w:p>
    <w:p>
      <w:r>
        <w:rPr>
          <w:color w:val="777777"/>
          <w:sz w:val="16"/>
        </w:rPr>
        <w:t xml:space="preserve">p023 · att1 p.1  </w:t>
      </w:r>
      <w:r>
        <w:t>Part I. What the discussion paper gets right — I want to be specific about what I support, because Part II builds on it.</w:t>
      </w:r>
    </w:p>
    <w:p>
      <w:r>
        <w:rPr>
          <w:color w:val="777777"/>
          <w:sz w:val="16"/>
        </w:rPr>
        <w:t xml:space="preserve">p024 · att1 p.1  </w:t>
      </w:r>
      <w:r>
        <w:t>S1. The two-axis framework, and the treatment of "action-directing" outputs — The activity-by-consequence framework in Section IV is a sound organizing heuristic. Two positions CDRH takes within it are particularly important and should survive into policy. First, that the degree to which an informational output directs action depends on its substance and context, not on whether it uses words such as "recommend" or "should." Second, that a patient-facing function does not become less directive because it appends "talk to your doctor" or "I am not a medical professional." Both positions reflect how patients actually receive information. A disclaimer does not undo an instruction; it merely transfers responsibility for the instruction to the person least equipped to evaluate it.</w:t>
      </w:r>
    </w:p>
    <w:p>
      <w:r>
        <w:rPr>
          <w:color w:val="777777"/>
          <w:sz w:val="16"/>
        </w:rPr>
        <w:t xml:space="preserve">p025 · att1 p.2  </w:t>
      </w:r>
      <w:r>
        <w:t>S2. Risk assessed across conversational trajectories, not isolated turns — The recognition that a conversational device can begin as informational and migrate to action-directing over the course of an exchange, and that risk should therefore be assessed across realistic trajectories, is correct and, to my knowledge, ahead of most regulatory thinking internationally. The related point in Appendix A that a device can drift out of scope cumulatively even when each individual turn appears in-scope (S.2) is the right way to think about boundary adherence.</w:t>
      </w:r>
    </w:p>
    <w:p>
      <w:r>
        <w:rPr>
          <w:color w:val="777777"/>
          <w:sz w:val="16"/>
        </w:rPr>
        <w:t xml:space="preserve">p026 · att1 p.2  </w:t>
      </w:r>
      <w:r>
        <w:t>S3. Evaluate the deployed device, not the foundation model in isolation — Section V.A is explicit that the object of evaluation is "the final user-facing device, as configured and intended to be deployed for real-world use — and not the foundation model standing alone or other isolated subcomponent." This is the single most important sentence in the paper. A foundation model's benchmark score is not evidence about a device built on it, because the device adds prompts, retrieval, guardrails, orchestration, and a user interface, each of which changes behavior. Section VII.A reinforces this by stating that a Foundation Model Master File "would not constitute authorization of the underlying model for any device intended use." CDRH should hold this line firmly.</w:t>
      </w:r>
    </w:p>
    <w:p>
      <w:r>
        <w:rPr>
          <w:color w:val="777777"/>
          <w:sz w:val="16"/>
        </w:rPr>
        <w:t xml:space="preserve">p027 · att1 p.2  </w:t>
      </w:r>
      <w:r>
        <w:t>S4. Structural independence of adjudicators, including when the adjudicator is an LLM — Section V.B.2 states that expert adjudicators should be structurally independent from both the device sponsor and, where applicable, the foundation model developer, and that "these considerations would still be applicable when the expert adjudicator is itself an LLM." This is exactly right. The two most likely sources of bias in a GenAI evaluation are a sponsor grading its own device and a model grading its own outputs. CDRH has named both.</w:t>
      </w:r>
    </w:p>
    <w:p>
      <w:r>
        <w:rPr>
          <w:color w:val="777777"/>
          <w:sz w:val="16"/>
        </w:rPr>
        <w:t xml:space="preserve">p028 · att1 p.2  </w:t>
      </w:r>
      <w:r>
        <w:t>S5. Both directions of escalation error, and subgroup performance defined broadly — The paper's attention to over-escalation as well as under-escalation, to over-refusal as well as underrefusal, and to over-deferral as well as under-deferral shows a mature understanding that a device optimized only to avoid one failure mode will produce the other. The definition of subgroup performance in R.2, which extends beyond demographic categories to non-standard dialects, accents, colloquialisms, and lower general and health literacy, is the right scope for a technology whose interface is language. The explicit naming of automation bias in E.4 is likewise welcome.</w:t>
      </w:r>
    </w:p>
    <w:p>
      <w:r>
        <w:rPr>
          <w:color w:val="777777"/>
          <w:sz w:val="16"/>
        </w:rPr>
        <w:t xml:space="preserve">p029 · att1 p.2  </w:t>
      </w:r>
      <w:r>
        <w:t>S6. Candor about the limits of benchmarks, synthetic data, and voluntary disclosure — CDRH acknowledges that public benchmarks suffer from contamination, saturation, and poor realworld representativeness; that synthetic data generated by models of the same class as the device may reproduce the very gaps the evaluation is meant to detect; and that foundation model developers "may have limited incentive to disclose safety-relevant information." The paper also, to its credit, names the risk of medical paternalism and the real benefit of giving patients access to clinical information. This candor is valuable. Several of my recommendations simply ask CDRH to follow its own observations to their conclusion.</w:t>
      </w:r>
    </w:p>
    <w:p>
      <w:r>
        <w:rPr>
          <w:color w:val="777777"/>
          <w:sz w:val="16"/>
        </w:rPr>
        <w:t xml:space="preserve">p030 · att1 p.3  </w:t>
      </w:r>
      <w:r>
        <w:t>Part II. Recommendations — R1. Add data exposure as a dimension of risk (Questions 1 and 3)</w:t>
      </w:r>
    </w:p>
    <w:p>
      <w:r>
        <w:rPr>
          <w:color w:val="777777"/>
          <w:sz w:val="16"/>
        </w:rPr>
        <w:t xml:space="preserve">p031 · att1 p.3  </w:t>
      </w:r>
      <w:r>
        <w:t>This follows from S1. The two-axis framework measures the consequence of relying on an incorrect output. It does not measure the consequence of the data flow that produces the output. Most GenAI- enabled devices will transmit patient inputs — free-text narratives, images, laboratory values, medication lists — to a hosted foundation model operated by a third party. Whether those inputs are retained, used to train future models, accessible to the model operator's staff, or transferred across jurisdictions is invisible to the patient and, in many cases, to the sponsor. The paper does not use the word "privacy" once.</w:t>
      </w:r>
    </w:p>
    <w:p>
      <w:r>
        <w:rPr>
          <w:color w:val="777777"/>
          <w:sz w:val="16"/>
        </w:rPr>
        <w:t xml:space="preserve">p032 · att1 p.3  </w:t>
      </w:r>
      <w:r>
        <w:t>I recommend that CDRH treat data exposure as a risk dimension in its own right, either as a third axis or as a mandatory modifier that can move a function upward on the consequence axis. A patient-facing symptom checker that sends a full clinical narrative to an external model is a different device from one that runs the same model on-premises, even if the outputs are identical. Concretely, the framework should account for: whether patient inputs leave the sponsor's control; whether they are retained beyond the session; whether they may be used for model training or improvement; and whether the patient has been told any of this in plain language.</w:t>
      </w:r>
    </w:p>
    <w:p>
      <w:r>
        <w:rPr>
          <w:color w:val="777777"/>
          <w:sz w:val="16"/>
        </w:rPr>
        <w:t xml:space="preserve">p033 · att1 p.3  </w:t>
      </w:r>
      <w:r>
        <w:t>I recognize that data protection is formally the domain of other authorities. But a data-flow failure becomes a device safety failure the moment it changes patient behavior. Patients who do not trust where their information goes withhold it, and a device given incomplete inputs produces worse outputs. The European approach, which treats purpose limitation and data minimization as design requirements rather than as after-the-fact compliance, is a better fit for a technology whose inputs are unbounded. At minimum, CDRH should expect sponsors to document the data flow of a GenAI-enabled function as part of the device description, and should treat a contractual and technical prohibition on training on device inputs as a baseline safeguard for patient-facing functions.</w:t>
      </w:r>
    </w:p>
    <w:p>
      <w:r>
        <w:rPr>
          <w:color w:val="777777"/>
          <w:sz w:val="16"/>
        </w:rPr>
        <w:t xml:space="preserve">p034 · att1 p.3  </w:t>
      </w:r>
      <w:r>
        <w:t>R2. Do not trade premarket evidence for postmarket monitoring outside the lowest-risk quadrant (Questions 18, 19, and 21)</w:t>
      </w:r>
    </w:p>
    <w:p>
      <w:r>
        <w:rPr>
          <w:color w:val="777777"/>
          <w:sz w:val="16"/>
        </w:rPr>
        <w:t xml:space="preserve">p035 · att1 p.3  </w:t>
      </w:r>
      <w:r>
        <w:t>This follows from S1 and S2. Question 18 asks whether CDRH should "accept greater premarket uncertainty regarding a GenAI-enabled device's benefit-risk profile through greater reliance on postmarket monitoring." My answer is a qualified no. The framework in S1 exists precisely to identify which functions can tolerate uncertainty. If a function sits in the lower-left quadrant — non-directive information with limited consequences — then reduced premarket evidence with defined monitoring is a reasonable proportionality judgment. For anything action-directing or action-taking, or anything with moderate or severe consequences, accepting premarket uncertainty transfers risk from the sponsor, who chose to deploy, to the patient, who did not.</w:t>
      </w:r>
    </w:p>
    <w:p>
      <w:r>
        <w:rPr>
          <w:color w:val="777777"/>
          <w:sz w:val="16"/>
        </w:rPr>
        <w:t xml:space="preserve">p036 · att1 p.4  </w:t>
      </w:r>
      <w:r>
        <w:t>Postmarket surveillance is also structurally weaker than the paper implies. Existing device adverse event reporting depends on passive reporting and is known to under-capture harm. GenAI failure modes — confabulation, cumulative scope drift, over-reassurance, silent degradation after an upstream model change — have no established reporting taxonomy, no established detection method, and no natural reporter, since the patient may never learn that an output was wrong. Before postmarket monitoring can justify reduced premarket evidence, CDRH would need at least the following in place: a reporting taxonomy specific to GenAI failure modes; prespecified, publicly disclosed performance thresholds with a defined cadence of re-benchmarking; a patient-facing channel for reporting suspected incorrect outputs; and public reporting of monitoring results, not just submission to FDA.</w:t>
      </w:r>
    </w:p>
    <w:p>
      <w:r>
        <w:rPr>
          <w:color w:val="777777"/>
          <w:sz w:val="16"/>
        </w:rPr>
        <w:t xml:space="preserve">p037 · att1 p.4  </w:t>
      </w:r>
      <w:r>
        <w:t>On Question 21, I would caution against "shared ecosystem responsibility" becoming a mechanism for diffusing accountability. Clinicians, institutions, and professional societies can contribute signal. They should not absorb liability. The sponsor is the manufacturer and remains responsible for the device's performance across the total product life cycle, including for the behavior of components it licenses from others.</w:t>
      </w:r>
    </w:p>
    <w:p>
      <w:r>
        <w:rPr>
          <w:color w:val="777777"/>
          <w:sz w:val="16"/>
        </w:rPr>
        <w:t xml:space="preserve">p038 · att1 p.4  </w:t>
      </w:r>
      <w:r>
        <w:t>R3. Foundation model transparency should be mandatory, or the full evidence burden should fall on the sponsor (Question 25)</w:t>
      </w:r>
    </w:p>
    <w:p>
      <w:r>
        <w:rPr>
          <w:color w:val="777777"/>
          <w:sz w:val="16"/>
        </w:rPr>
        <w:t xml:space="preserve">p039 · att1 p.4  </w:t>
      </w:r>
      <w:r>
        <w:t>This follows from S3 and S6. CDRH has already identified the problem with voluntary, confidential Foundation Model Master Files: developers "may have limited incentive to disclose safety-relevant information." A voluntary program will attract disclosure from developers who have little to hide and none from those who have the most. The result is a review process that is better informed about the safest models and least informed about the riskiest.</w:t>
      </w:r>
    </w:p>
    <w:p>
      <w:r>
        <w:rPr>
          <w:color w:val="777777"/>
          <w:sz w:val="16"/>
        </w:rPr>
        <w:t xml:space="preserve">p040 · att1 p.4  </w:t>
      </w:r>
      <w:r>
        <w:t>I recommend a simple rule. If a sponsor builds a device function on a third-party foundation model, then either (a) the model developer's technical documentation — architecture, training data provenance, characterized limitations and failure modes, safety-relevant behavioral constraints, update policy, and audit log availability — is made available to FDA as a condition of the sponsor's submission, or (b) the sponsor treats the model as an unvalidated black box and carries the full evidence burden for every competency element without any reliance on the developer's claims. This aligns incentives: developers who want their models used in regulated devices will disclose, and sponsors who choose opaque models will pay for that choice in evidence rather than passing the cost to patients. The European Union's obligations on general-purpose AI providers — mandatory technical documentation and training-data summaries — are a workable reference point.</w:t>
      </w:r>
    </w:p>
    <w:p>
      <w:r>
        <w:rPr>
          <w:color w:val="777777"/>
          <w:sz w:val="16"/>
        </w:rPr>
        <w:t xml:space="preserve">p041 · att1 p.4  </w:t>
      </w:r>
      <w:r>
        <w:t>I further recommend that the model card or system card for any foundation model used in a marketed device be public, not confidential. The Master File mechanism protects proprietary manufacturing detail, which is appropriate. But the characterized limitations and failure modes of a model that is generating clinical outputs are not trade secrets; they are labeling.</w:t>
      </w:r>
    </w:p>
    <w:p>
      <w:r>
        <w:rPr>
          <w:color w:val="777777"/>
          <w:sz w:val="16"/>
        </w:rPr>
        <w:t xml:space="preserve">p042 · att1 p.4  </w:t>
      </w:r>
      <w:r>
        <w:t>R4. Third-party model changes require hard controls, not extended PCCPs (Questions 22, 23, and 24)</w:t>
      </w:r>
    </w:p>
    <w:p>
      <w:r>
        <w:rPr>
          <w:color w:val="777777"/>
          <w:sz w:val="16"/>
        </w:rPr>
        <w:t xml:space="preserve">p043 · att1 p.5  </w:t>
      </w:r>
      <w:r>
        <w:t>This follows from S3. If the object of evaluation is the deployed configuration, then any change to that configuration — including a change to the underlying model initiated by the model developer — invalidates the evidence until it is re-established. The paper correctly notes that such changes "may be initiated by the foundation model developer rather than the device manufacturer." In practice the sponsor may not learn that a hosted model has changed until behavior shifts in the field.</w:t>
      </w:r>
    </w:p>
    <w:p>
      <w:r>
        <w:rPr>
          <w:color w:val="777777"/>
          <w:sz w:val="16"/>
        </w:rPr>
        <w:t xml:space="preserve">p044 · att1 p.5  </w:t>
      </w:r>
      <w:r>
        <w:t>A Predetermined Change Control Plan is the wrong instrument for changes the sponsor cannot predetermine. I recommend instead that CDRH expect the following as conditions of authorization for any device built on a third-party model: version pinning, so that the device runs against a specified, immutable model version; contractual change notification with a minimum lead time before any version is retired; a prohibition on silent updates reaching patients; and re-benchmarking against the premarket baseline before any new model version is placed into clinical use. Where a developer will not offer version pinning or notification, that fact belongs in the risk assessment, and the sponsor should be expected to justify why the device remains safe without it. PCCPs remain useful for changes the sponsor does control, such as prompt revisions or guardrail updates, and the premarket benchmark is the right baseline against which to evaluate them.</w:t>
      </w:r>
    </w:p>
    <w:p>
      <w:r>
        <w:rPr>
          <w:color w:val="777777"/>
          <w:sz w:val="16"/>
        </w:rPr>
        <w:t xml:space="preserve">p045 · att1 p.5  </w:t>
      </w:r>
      <w:r>
        <w:t>R5. The clinician-credentialing analogy justifies competency testing; it does not justify relaxed change control or diffused accountability (Question 7)</w:t>
      </w:r>
    </w:p>
    <w:p>
      <w:r>
        <w:rPr>
          <w:color w:val="777777"/>
          <w:sz w:val="16"/>
        </w:rPr>
        <w:t xml:space="preserve">p046 · att1 p.5  </w:t>
      </w:r>
      <w:r>
        <w:t>This also follows from S3, and it is the point on which I most want to be precise, because the analogy is doing a great deal of work in Section V and its limits are not stated. The competency-based approach is described as "inspired, at a high level, by how human clinicians are evaluated and credentialed." As a justification for structured assessment of knowledge, reasoning, and safety behavior, followed by supervised practice, the analogy is apt and I support the resulting framework. But the analogy breaks in four places, and each break has a regulatory consequence.</w:t>
      </w:r>
    </w:p>
    <w:p>
      <w:r>
        <w:rPr>
          <w:color w:val="777777"/>
          <w:sz w:val="16"/>
        </w:rPr>
        <w:t xml:space="preserve">p047 · att1 p.5  </w:t>
      </w:r>
      <w:r>
        <w:t>Identity and continuity. A credentialed clinician is one person whose competence, once assessed, persists until the next assessment. A "credentialed" GenAI device is a configuration that can be altered — by the sponsor or by an upstream developer — at any time, in every deployed instance simultaneously, without anyone re-examining it. A clinician cannot be silently replaced by a different clinician between board certification and practice. A model can. The regulatory consequence is that competency evidence must be bound to a specific, immutable configuration, and any change to that configuration must trigger reassessment (see R4). The analogy supports competency testing; it does not support the flexibility on postmarket modification that the paper explores in Section VI.C.</w:t>
      </w:r>
    </w:p>
    <w:p>
      <w:r>
        <w:rPr>
          <w:color w:val="777777"/>
          <w:sz w:val="16"/>
        </w:rPr>
        <w:t xml:space="preserve">p048 · att1 p.5  </w:t>
      </w:r>
      <w:r>
        <w:t>Accountability. The paper cites Freyer et al. for the observation that clinicians "face professional, legal, and reputational consequences when expected standards are not met" and that "analogous mechanisms are needed for flawed GenAI-enabled devices." It then does not propose any. A clinician who harms a patient can lose a license. A device that harms a patient should face a functionally equivalent mechanism: a defined process for suspending authorization, with prespecified triggers tied to the postmarket thresholds in R2, that is faster than a recall and does not depend on the sponsor's willingness to act. Without it, the credentialing analogy grants the privileges of licensure without its obligations.</w:t>
      </w:r>
    </w:p>
    <w:p>
      <w:r>
        <w:rPr>
          <w:color w:val="777777"/>
          <w:sz w:val="16"/>
        </w:rPr>
        <w:t xml:space="preserve">p049 · att1 p.6  </w:t>
      </w:r>
      <w:r>
        <w:t>Scale. A clinician's error affects one patient at a time and is bounded by how many patients that clinician sees. A systematic error in a deployed model affects every patient who presents with the triggering pattern, everywhere, at once, until detected. Individual credentialing evolved for individual-scale risk. The regulatory consequence is that acceptance criteria for safety-critical behaviors (S.1, S.2, S.3) should be stricter for a device than would be tolerated in a single practitioner, because the harm from a given failure rate is multiplied by deployment scale.</w:t>
      </w:r>
    </w:p>
    <w:p>
      <w:r>
        <w:rPr>
          <w:color w:val="777777"/>
          <w:sz w:val="16"/>
        </w:rPr>
        <w:t xml:space="preserve">p050 · att1 p.6  </w:t>
      </w:r>
      <w:r>
        <w:t>Judgment about one's own limits. Credentialing assumes the credentialed party can recognize when a case exceeds their competence and refer it onward. The paper's S.3 (calibration and clinical deferral) tests for this, which is correct. But a clinician's uncertainty is grounded in an understanding of the case; a model's expressed uncertainty is a generated output that can be as confabulated as any other. Deferral behavior should therefore be evaluated adversarially and across paraphrases (as R.1 contemplates), and should not be accepted as a mitigating safeguard on the strength of the device stating that it is uncertain.</w:t>
      </w:r>
    </w:p>
    <w:p>
      <w:r>
        <w:rPr>
          <w:color w:val="777777"/>
          <w:sz w:val="16"/>
        </w:rPr>
        <w:t xml:space="preserve">p051 · att1 p.6  </w:t>
      </w:r>
      <w:r>
        <w:t>None of this argues against the competency-based framework. It argues that the framework should be adopted for what the analogy supports — structured, proportionate assessment of a fixed configuration — and that its use to justify lighter change control or shared accountability should be rejected explicitly, so that the analogy is not stretched later in guidance or in individual submissions.</w:t>
      </w:r>
    </w:p>
    <w:p>
      <w:r>
        <w:rPr>
          <w:color w:val="777777"/>
          <w:sz w:val="16"/>
        </w:rPr>
        <w:t xml:space="preserve">p052 · att1 p.6  </w:t>
      </w:r>
      <w:r>
        <w:t>R6. Hold benchmarking to the standards CDRH already applies to bench testing (Questions 9 through 13 and 16)</w:t>
      </w:r>
    </w:p>
    <w:p>
      <w:r>
        <w:rPr>
          <w:color w:val="777777"/>
          <w:sz w:val="16"/>
        </w:rPr>
        <w:t xml:space="preserve">p053 · att1 p.6  </w:t>
      </w:r>
      <w:r>
        <w:t>This follows from S4 and S6. The paper says that "test methods and acceptance criteria would be prespecified prior to testing," consistent with expectations for non-clinical bench performance testing. I strongly support this and would extend the parallel. Four points:</w:t>
      </w:r>
    </w:p>
    <w:p>
      <w:r>
        <w:rPr>
          <w:color w:val="777777"/>
          <w:sz w:val="16"/>
        </w:rPr>
        <w:t xml:space="preserve">p054 · att1 p.6  </w:t>
      </w:r>
      <w:r>
        <w:t>Non-determinism. A GenAI device produces a distribution of outputs, not an output. Performance should be reported as a distribution: repeated runs on identical inputs, disclosed decoding parameters (temperature, sampling settings, seed handling), and reported variance. The paper's position in R.1 that variation in safety-critical behavior — escalation, refusal, diagnostic conclusion — is a failure rather than acceptable noise should be adopted as a firm acceptance criterion.</w:t>
      </w:r>
    </w:p>
    <w:p>
      <w:r>
        <w:rPr>
          <w:color w:val="777777"/>
          <w:sz w:val="16"/>
        </w:rPr>
        <w:t xml:space="preserve">p055 · att1 p.6  </w:t>
      </w:r>
      <w:r>
        <w:t>Synthetic data lineage. Synthetic inputs generated by a model of the same class as the device under evaluation share its blind spots. They may supplement real data for stress-testing and for rare presentations, but they should never be the sole basis for a claim about subgroup performance, and the generator should be of demonstrably different lineage from the device. Sponsors should be expected to report the synthetic share of each evaluation set and to show that performance on synthetic and real inputs is concordant before combining them into a single estimate (Question 12).</w:t>
      </w:r>
    </w:p>
    <w:p>
      <w:r>
        <w:rPr>
          <w:color w:val="777777"/>
          <w:sz w:val="16"/>
        </w:rPr>
        <w:t xml:space="preserve">p056 · att1 p.6  </w:t>
      </w:r>
      <w:r>
        <w:t>LLM adjudicators. Where an LLM serves as adjudicator, it should be from a different model family than the device, validated against human adjudicators on a held-out sample with reported agreement, and disclosed in the submission. Correlated error between device and judge is the obvious failure mode and it is invisible without this check.</w:t>
      </w:r>
    </w:p>
    <w:p>
      <w:r>
        <w:rPr>
          <w:color w:val="777777"/>
          <w:sz w:val="16"/>
        </w:rPr>
        <w:t xml:space="preserve">p057 · att1 p.7  </w:t>
      </w:r>
      <w:r>
        <w:t>Sequestered assets. The proposal for independent third parties to maintain sequestered evaluation datasets (Question 16) is the strongest available answer to contamination and optimization-to-the-test, and I support it. The essential safeguard is that the sponsor never sees the held-out set and cannot iterate against it. Sponsor-developed benchmarks are appropriate for demonstrating coverage of the intended use; they are not appropriate as the sole gate for authorization. On competition concerns, the ASCA model — multiple accredited bodies, published methods, FDA-recognized standards — is a reasonable template that avoids a single gatekeeper.</w:t>
      </w:r>
    </w:p>
    <w:p>
      <w:r>
        <w:rPr>
          <w:color w:val="777777"/>
          <w:sz w:val="16"/>
        </w:rPr>
        <w:t xml:space="preserve">p058 · att1 p.7  </w:t>
      </w:r>
      <w:r>
        <w:t>R7. The comparator should be the standard of care, not the "median clinician in practice" (Questions 14 and 15)</w:t>
      </w:r>
    </w:p>
    <w:p>
      <w:r>
        <w:rPr>
          <w:color w:val="777777"/>
          <w:sz w:val="16"/>
        </w:rPr>
        <w:t xml:space="preserve">p059 · att1 p.7  </w:t>
      </w:r>
      <w:r>
        <w:t>This follows from S4 and S5. The paper offers two comparators: a clinician panel whose consensus reflects the standard of care, or the performance of a median clinician in practice. These are not equivalent. The median clinician in practice is, by definition, below the standard of care some of the time, and a comparator set at that level normalizes existing gaps in care as an acceptable ceiling for a new technology. A patient-first framework should set the standard of care as the floor, with prespecified non-inferiority margins justified by clinical context. Where a device is intended to extend specialist knowledge to generalists (a benefit the paper rightly names), the comparator for the device should be specialist-level performance on the specialist question, not generalist performance. Evaluation of the human-AI team should include measurement of automation bias — whether clinicians over-accept outputs — and not only measurement of the team's aggregate accuracy, since the former predicts how the team will behave when the device is wrong.</w:t>
      </w:r>
    </w:p>
    <w:p>
      <w:r>
        <w:rPr>
          <w:color w:val="777777"/>
          <w:sz w:val="16"/>
        </w:rPr>
        <w:t xml:space="preserve">p060 · att1 p.7  </w:t>
      </w:r>
      <w:r>
        <w:t>R8. Escalation errors are asymmetric and should be weighted that way (Question 6)</w:t>
      </w:r>
    </w:p>
    <w:p>
      <w:r>
        <w:rPr>
          <w:color w:val="777777"/>
          <w:sz w:val="16"/>
        </w:rPr>
        <w:t xml:space="preserve">p061 · att1 p.7  </w:t>
      </w:r>
      <w:r>
        <w:t>This follows from S5. CDRH is right that under- and over-escalation "may not be commensurable." I would go further: they are asymmetric in a specific direction. Under-escalation of a time-critical condition produces irreversible harm to an identifiable patient. Over-escalation produces anxiety, cost, and system burden, which are real but recoverable. A loss function that weights these equally is not neutral; it is a policy choice that favors system efficiency over the patient in front of the device. I recommend that sponsors be expected to prespecify and justify the trade-off, that labeling disclose it in plain language, and that CDRH decline to accept arguments in which emergency department utilization costs justify a looser escalation threshold for patient-facing functions.</w:t>
      </w:r>
    </w:p>
    <w:p>
      <w:r>
        <w:rPr>
          <w:color w:val="777777"/>
          <w:sz w:val="16"/>
        </w:rPr>
        <w:t xml:space="preserve">p062 · att1 p.7  </w:t>
      </w:r>
      <w:r>
        <w:t>R9. Machine-based supervision and agentic action need human checkpoints (Questions 20 and 26)</w:t>
      </w:r>
    </w:p>
    <w:p>
      <w:r>
        <w:rPr>
          <w:color w:val="777777"/>
          <w:sz w:val="16"/>
        </w:rPr>
        <w:t xml:space="preserve">p063 · att1 p.7  </w:t>
      </w:r>
      <w:r>
        <w:t>This follows from S4. A supervisory agent is a GenAI system with the same failure modes as the device it supervises, and if it shares a model family with the device, the same blind spots. It can usefully triage and prioritize cases for human review; it should not replace sample-based human review, and it should itself be validated independently, with disclosed agreement against human adjudicators, before any reliance is placed on it. For agentic devices, the elevated risk the paper identifies — multi-step autonomy, tool use, reduced opportunity for human review — should be reflected in three requirements: a mandatory human checkpoint before any irreversible or high-consequence action; an immutable, reviewable audit log of every action and the inputs that prompted it; and a hard, tested boundary on which tools the agent may invoke. The European principle of a right to human review of consequential automated decisions is the right benchmark for the first of these.</w:t>
      </w:r>
    </w:p>
    <w:p>
      <w:r>
        <w:rPr>
          <w:color w:val="777777"/>
          <w:sz w:val="16"/>
        </w:rPr>
        <w:t xml:space="preserve">p064 · att1 p.8  </w:t>
      </w:r>
      <w:r>
        <w:t>R10. Support patient-facing access, with transparency and recourse rather than restriction (Question 3)</w:t>
      </w:r>
    </w:p>
    <w:p>
      <w:r>
        <w:rPr>
          <w:color w:val="777777"/>
          <w:sz w:val="16"/>
        </w:rPr>
        <w:t xml:space="preserve">p065 · att1 p.8  </w:t>
      </w:r>
      <w:r>
        <w:t>This follows from S6, and it is where I want to be careful not to let the foregoing recommendations read as hostility to patient-facing GenAI. The paper is right that democratizing clinical information has real value and that a paternalistic posture may underestimate patient capability. The answer to the risk that a patient cannot independently evaluate an output is not to withhold outputs from patients. It is to give patients what they need to evaluate them: clear disclosure that they are interacting with an automated system and not a clinician; plain-language labeling of what the device is and is not intended to do; disclosure of where their data goes (R1); and a defined route to a human when the device defers, when the patient disagrees, or when the patient reports that an output was wrong. Patient-facing functions should move up the consequence axis when these are absent, not merely because the user is a patient.</w:t>
      </w:r>
    </w:p>
    <w:p>
      <w:r>
        <w:rPr>
          <w:color w:val="777777"/>
          <w:sz w:val="16"/>
        </w:rPr>
        <w:t xml:space="preserve">p066 · att1 p.8  </w:t>
      </w:r>
      <w:r>
        <w:t>Closing — The discussion paper is a serious and, in several respects, forward-looking document. Its strongest elements — evaluating the deployed configuration, requiring structural independence in adjudication, assessing risk across conversational trajectories, and refusing to let disclaimers launder directive outputs — deserve to become policy. My recommendations ask CDRH to carry those commitments through consistently: to treat data exposure as a safety property; to keep premarket evidence proportional to risk rather than deferring it to a postmarket system that is not yet built; to make foundation model transparency a condition rather than a courtesy; to bind competency evidence to a fixed configuration; and to recognize that the clinician-credentialing analogy, useful as it is, cannot be stretched to cover what it does not fit.</w:t>
      </w:r>
    </w:p>
    <w:p>
      <w:r>
        <w:rPr>
          <w:color w:val="777777"/>
          <w:sz w:val="16"/>
        </w:rPr>
        <w:t xml:space="preserve">p067 · att1 p.8  </w:t>
      </w:r>
      <w:r>
        <w:t>I would be glad to discuss any of these points further.</w:t>
      </w:r>
    </w:p>
    <w:p>
      <w:r>
        <w:rPr>
          <w:color w:val="777777"/>
          <w:sz w:val="16"/>
        </w:rPr>
        <w:t xml:space="preserve">p068 · att1 p.8  </w:t>
      </w:r>
      <w:r>
        <w:t>Respectfully submitted — Part III. Cross-reference to discussion questions — Question(s) Topic Addressed in</w:t>
      </w:r>
    </w:p>
    <w:p>
      <w:r>
        <w:rPr>
          <w:color w:val="777777"/>
          <w:sz w:val="16"/>
        </w:rPr>
        <w:t xml:space="preserve">p069 · att1 p.8  </w:t>
      </w:r>
      <w:r>
        <w:t>1, 3 Additional risk dimensions; patient-facing functions R1, R10 — 2 Directiveness continuum S1 (supported)</w:t>
      </w:r>
    </w:p>
    <w:p>
      <w:r>
        <w:rPr>
          <w:color w:val="777777"/>
          <w:sz w:val="16"/>
        </w:rPr>
        <w:t xml:space="preserve">p070 · att1 p.8  </w:t>
      </w:r>
      <w:r>
        <w:t>5 Multi-turn trajectories S2 (supported) — 6 Under- and over-escalation R8 — 7, 8 Competency-based approach; credentialing analogy S3, R5</w:t>
      </w:r>
    </w:p>
    <w:p>
      <w:r>
        <w:rPr>
          <w:color w:val="777777"/>
          <w:sz w:val="16"/>
        </w:rPr>
        <w:t xml:space="preserve">p071 · att1 p.9  </w:t>
      </w:r>
      <w:r>
        <w:t>R6 — 9, 10, 12, 13 Benchmarking adequacy, contamination, synthetic data, statistics — 11 Clinical confirmation approaches R2, R7</w:t>
      </w:r>
    </w:p>
    <w:p>
      <w:r>
        <w:rPr>
          <w:color w:val="777777"/>
          <w:sz w:val="16"/>
        </w:rPr>
        <w:t xml:space="preserve">p072 · att1 p.9  </w:t>
      </w:r>
      <w:r>
        <w:t>14, 15 Comparators and acceptance criteria R7 — 16 Independent third parties R6</w:t>
      </w:r>
    </w:p>
    <w:p>
      <w:r>
        <w:rPr>
          <w:color w:val="777777"/>
          <w:sz w:val="16"/>
        </w:rPr>
        <w:t xml:space="preserve">p073 · att1 p.9  </w:t>
      </w:r>
      <w:r>
        <w:t>R2 — 18, 19, 21 Premarket vs. postmarket balance; monitoring; ecosystem roles — 20 Machine-based supervisory agents R9</w:t>
      </w:r>
    </w:p>
    <w:p>
      <w:r>
        <w:rPr>
          <w:color w:val="777777"/>
          <w:sz w:val="16"/>
        </w:rPr>
        <w:t xml:space="preserve">p074 · att1 p.9  </w:t>
      </w:r>
      <w:r>
        <w:t>22, 23, 24 Postmarket modifications; PCCPs; third-party model changes R4, R5 — 25 Foundation Model Master Files R3</w:t>
      </w:r>
    </w:p>
    <w:p>
      <w:r>
        <w:rPr>
          <w:color w:val="777777"/>
          <w:sz w:val="16"/>
        </w:rPr>
        <w:t xml:space="preserve">p075 · att1 p.9  </w:t>
      </w:r>
      <w:r>
        <w:t>26 Agentic systems R9</w:t>
      </w:r>
    </w:p>
    <w:p>
      <w:pPr>
        <w:pStyle w:val="Heading1"/>
        <w:pageBreakBefore/>
      </w:pPr>
      <w:r>
        <w:t>FDA-2026-N-7874-0077</w:t>
      </w:r>
    </w:p>
    <w:p>
      <w:r>
        <w:t>Comment from The Christman AI Project &amp; Robotics Division</w:t>
      </w:r>
    </w:p>
    <w:p>
      <w:r>
        <w:rPr>
          <w:color w:val="777777"/>
          <w:sz w:val="18"/>
        </w:rPr>
        <w:t>Device Industry - C0012 · received 2026-09-08 · attachments: attachment_1.pdf (6 pp)</w:t>
      </w:r>
    </w:p>
    <w:p>
      <w:r>
        <w:rPr>
          <w:color w:val="777777"/>
          <w:sz w:val="16"/>
        </w:rPr>
        <w:t xml:space="preserve">p001 · body  </w:t>
      </w:r>
      <w:r>
        <w:t>Comment on Docket No. FDA-2026-N-7874-Q18 — Considerations for the Regulation of Generative AI-Enabled Medical Devices: Discussion Paper and Request for Feedback</w:t>
      </w:r>
    </w:p>
    <w:p>
      <w:r>
        <w:rPr>
          <w:color w:val="777777"/>
          <w:sz w:val="16"/>
        </w:rPr>
        <w:t xml:space="preserve">p002 · body  </w:t>
      </w:r>
      <w:r>
        <w:t>Introductory comment — submitted with a set of question-specific responses filed separately.</w:t>
      </w:r>
    </w:p>
    <w:p>
      <w:r>
        <w:rPr>
          <w:color w:val="777777"/>
          <w:sz w:val="16"/>
        </w:rPr>
        <w:t xml:space="preserve">p003 · body  </w:t>
      </w:r>
      <w:r>
        <w:t>Submitted by Everett N. Christman, Founder and Chief Executive Officer, The Christman AI Project and Robotics Division.</w:t>
      </w:r>
    </w:p>
    <w:p>
      <w:r>
        <w:rPr>
          <w:color w:val="777777"/>
          <w:sz w:val="16"/>
        </w:rPr>
        <w:t xml:space="preserve">p004 · body  </w:t>
      </w:r>
      <w:r>
        <w:t>We build augmentative and alternative communication systems for nonverbal and neurodivergent users, cognitive and orientation support for dementia care, and related assistive technology. The submitter is autistic and builds for this population directly.</w:t>
      </w:r>
    </w:p>
    <w:p>
      <w:r>
        <w:rPr>
          <w:color w:val="777777"/>
          <w:sz w:val="16"/>
        </w:rPr>
        <w:t xml:space="preserve">p005 · body  </w:t>
      </w:r>
      <w:r>
        <w:t>We are filing individual comments on specific discussion questions rather than one omnibus response, so that each answer stays with the question it addresses and can be read on its own. Each is a separate comment carrying the question number in its filename.</w:t>
      </w:r>
    </w:p>
    <w:p>
      <w:r>
        <w:rPr>
          <w:color w:val="777777"/>
          <w:sz w:val="16"/>
        </w:rPr>
        <w:t xml:space="preserve">p006 · body  </w:t>
      </w:r>
      <w:r>
        <w:t>Two things shape everything we have filed.</w:t>
      </w:r>
    </w:p>
    <w:p>
      <w:r>
        <w:rPr>
          <w:color w:val="777777"/>
          <w:sz w:val="16"/>
        </w:rPr>
        <w:t xml:space="preserve">p007 · body  </w:t>
      </w:r>
      <w:r>
        <w:t>First, our users are the people the postmarket half of this framework quietly assumes will speak up. Complaints, adverse event reports, and the ordinary friction of a person disagreeing with a machine are the first line of defense in almost every device program. That line does not exist for a user who cannot speak, cannot see a correction on a screen, or cannot establish that a prompt they were given was wrong. Several of our comments return to this, because it is the point at which a reasonable general framework stops describing our users.</w:t>
      </w:r>
    </w:p>
    <w:p>
      <w:r>
        <w:rPr>
          <w:color w:val="777777"/>
          <w:sz w:val="16"/>
        </w:rPr>
        <w:t xml:space="preserve">p008 · body  </w:t>
      </w:r>
      <w:r>
        <w:t>Second, we file measurements rather than positions wherever we can. Our comments draw on instrumented observation periods conducted between 2026-09-02 and 2026-09-04, with retained recordings, transcripts, tool output and stored-state contents, and forensic records carrying dual FIPS 180-4 hashes with preserved original bytes. Where we describe an instrument, we have published it rather than described it — open source under the Apache License 2.0 — so that a reviewer can run it rather than take our word.</w:t>
      </w:r>
    </w:p>
    <w:p>
      <w:r>
        <w:rPr>
          <w:color w:val="777777"/>
          <w:sz w:val="16"/>
        </w:rPr>
        <w:t xml:space="preserve">p009 · body  </w:t>
      </w:r>
      <w:r>
        <w:t>We state our limits in every filing. The measurements were made on commercial AI assistants used as tools in our own work. None is a regulated device and none was a controlled evaluation. We offer no error rate, no frequency claim, and no generalization about any product. We make no claim about intent on the part of any developer, and we recommend against any standard that turns on intent, because such a standard cannot be falsified and will be argued rather than measured.</w:t>
      </w:r>
    </w:p>
    <w:p>
      <w:r>
        <w:rPr>
          <w:color w:val="777777"/>
          <w:sz w:val="16"/>
        </w:rPr>
        <w:t xml:space="preserve">p010 · body  </w:t>
      </w:r>
      <w:r>
        <w:t>Every condition we propose is observable without resolving why an output occurred.</w:t>
      </w:r>
    </w:p>
    <w:p>
      <w:r>
        <w:rPr>
          <w:color w:val="777777"/>
          <w:sz w:val="16"/>
        </w:rPr>
        <w:t xml:space="preserve">p011 · body  </w:t>
      </w:r>
      <w:r>
        <w:t>Contact: contact@thechristmanaiproject.com</w:t>
      </w:r>
    </w:p>
    <w:p>
      <w:r>
        <w:rPr>
          <w:color w:val="777777"/>
          <w:sz w:val="16"/>
        </w:rPr>
        <w:t xml:space="preserve">p012 · att1 p.1  </w:t>
      </w:r>
      <w:r>
        <w:t>FDA-2026-N-7874 — Q18 — Comment on Docket No. FDA-2026-N-7874 · Considerations for the Regulation of Generative AI-Enabled Medical Devices: Discussion Paper and Request for Feedback</w:t>
      </w:r>
    </w:p>
    <w:p>
      <w:r>
        <w:rPr>
          <w:color w:val="777777"/>
          <w:sz w:val="16"/>
        </w:rPr>
        <w:t xml:space="preserve">p013 · att1 p.1  </w:t>
      </w:r>
      <w:r>
        <w:t>QUESTION ADDRESSED — Question 18 (Section VI) — accepting greater premarket uncertainty through greater reliance on postmarket monitoring</w:t>
      </w:r>
    </w:p>
    <w:p>
      <w:r>
        <w:rPr>
          <w:color w:val="777777"/>
          <w:sz w:val="16"/>
        </w:rPr>
        <w:t xml:space="preserve">p014 · att1 p.1  </w:t>
      </w:r>
      <w:r>
        <w:t>SUBMITTED BY Everett N. Christman, Founder and Chief Executive Officer — ORGANIZATION The Christman AI Project and Robotics Division</w:t>
      </w:r>
    </w:p>
    <w:p>
      <w:r>
        <w:rPr>
          <w:color w:val="777777"/>
          <w:sz w:val="16"/>
        </w:rPr>
        <w:t xml:space="preserve">p015 · att1 p.1  </w:t>
      </w:r>
      <w:r>
        <w:t>BASIS OF COMMENT Four instrumented observation periods, 2026-09-02 to 2026-09-04, with retained recordings, transcripts, tool output and stored-state contents; a working open-source implementation, cited below; and design experience building assistive communication systems for users who cannot self-report.</w:t>
      </w:r>
    </w:p>
    <w:p>
      <w:r>
        <w:rPr>
          <w:color w:val="777777"/>
          <w:sz w:val="16"/>
        </w:rPr>
        <w:t xml:space="preserve">p016 · att1 p.1  </w:t>
      </w:r>
      <w:r>
        <w:t>The question as posed — CDRH is considering whether it may be appropriate to accept greater premarket uncertainty regarding a GenAI-enabled device's benefit-risk profile through greater reliance on postmarket monitoring. Under what conditions might such an approach be appropriate, and what characteristics of a monitoring program would need to be in place to justify reduced premarket evidence? Are there device types or risk profiles for which this approach would not be appropriate?</w:t>
      </w:r>
    </w:p>
    <w:p>
      <w:r>
        <w:rPr>
          <w:color w:val="777777"/>
          <w:sz w:val="16"/>
        </w:rPr>
        <w:t xml:space="preserve">p017 · att1 p.1  </w:t>
      </w:r>
      <w:r>
        <w:t>Summary of position — We support the trade in principle. A total product lifecycle approach is the right instinct for devices whose behavior is open-ended and whose models change after clearance. Our comment is about the condition on which the trade depends, and about one class of device for which we recommend it not be available at all.</w:t>
      </w:r>
    </w:p>
    <w:p>
      <w:r>
        <w:rPr>
          <w:color w:val="777777"/>
          <w:sz w:val="16"/>
        </w:rPr>
        <w:t xml:space="preserve">p018 · att1 p.1  </w:t>
      </w:r>
      <w:r>
        <w:t>• A reduction in premarket evidence is only a trade if the monitoring program can detect the failure the premarket evidence would have caught. Where it cannot, nothing has been exchanged — certainty has been given up for coverage that does not exist. We recommend the reduction be granted against demonstrated detection capability, never against the existence of a monitoring program.</w:t>
      </w:r>
    </w:p>
    <w:p>
      <w:r>
        <w:rPr>
          <w:color w:val="777777"/>
          <w:sz w:val="16"/>
        </w:rPr>
        <w:t xml:space="preserve">p019 · att1 p.1  </w:t>
      </w:r>
      <w:r>
        <w:t>• We have measured a failure mode that a periodic monitoring program cannot see by construction. It occurs within a single session and resets at the session boundary, so every scheduled reassessment measures the healthy state. A program built on periodic re-benchmarking should not be able to fund a premarket reduction for any failure mode of that shape.</w:t>
      </w:r>
    </w:p>
    <w:p>
      <w:r>
        <w:rPr>
          <w:color w:val="777777"/>
          <w:sz w:val="16"/>
        </w:rPr>
        <w:t xml:space="preserve">p020 · att1 p.1  </w:t>
      </w:r>
      <w:r>
        <w:t>• Monitoring that reads the device's own account of its work inherits the device's errors. If premarket evidence is reduced on the strength of postmarket monitoring, and that monitoring is a self-report, the reduction rests on the device vouching for itself.</w:t>
      </w:r>
    </w:p>
    <w:p>
      <w:r>
        <w:rPr>
          <w:color w:val="777777"/>
          <w:sz w:val="16"/>
        </w:rPr>
        <w:t xml:space="preserve">p021 · att1 p.1  </w:t>
      </w:r>
      <w:r>
        <w:t>• We recommend the approach be unavailable where the intended user cannot self-verify or self-report, where the device operates without connectivity, and where the harm completes inside the detection interval. Each of these describes the assistive and communication devices we build, and each removes a safeguard the trade quietly assumes is present.</w:t>
      </w:r>
    </w:p>
    <w:p>
      <w:r>
        <w:rPr>
          <w:color w:val="777777"/>
          <w:sz w:val="16"/>
        </w:rPr>
        <w:t xml:space="preserve">p022 · att1 p.2  </w:t>
      </w:r>
      <w:r>
        <w:t>1. The unstated premise in the trade — Accepting greater premarket uncertainty in exchange for postmarket monitoring is a sound instrument, and it is already how much of the device program works. But the exchange carries a premise that is rarely written down: that the residual uncertainty is of a kind postmarket monitoring can resolve.</w:t>
      </w:r>
    </w:p>
    <w:p>
      <w:r>
        <w:rPr>
          <w:color w:val="777777"/>
          <w:sz w:val="16"/>
        </w:rPr>
        <w:t xml:space="preserve">p023 · att1 p.2  </w:t>
      </w:r>
      <w:r>
        <w:t>For most device attributes that premise holds. A durability question, a failure rate, a rare adverse event — these accumulate in the field and become visible with time and volume. Postmarket surveillance is the correct instrument because the signal is statistical and time reveals it.</w:t>
      </w:r>
    </w:p>
    <w:p>
      <w:r>
        <w:rPr>
          <w:color w:val="777777"/>
          <w:sz w:val="16"/>
        </w:rPr>
        <w:t xml:space="preserve">p024 · att1 p.2  </w:t>
      </w:r>
      <w:r>
        <w:t>The failure modes we have measured in generative systems are not of that kind, and time does not reveal them. They are individually invisible, they do not aggregate into a rate, and they are erased by the very act of reassessment. We set out the measurement below, because the recommendation follows from it rather than from a position.</w:t>
      </w:r>
    </w:p>
    <w:p>
      <w:r>
        <w:rPr>
          <w:color w:val="777777"/>
          <w:sz w:val="16"/>
        </w:rPr>
        <w:t xml:space="preserve">p025 · att1 p.2  </w:t>
      </w:r>
      <w:r>
        <w:t>2. The measurement, and why it defeats a periodic program — On 2026-09-03 we made three recordings across seventy-four minutes of continuous work on one unchanged audio interface, with no configuration change between them. Input carrying no live signal accounted for 7.1 percent of the first file, 19.1 percent of the second, and 42.2 percent of the third. The proportion of lost input roughly doubled between each recording.</w:t>
      </w:r>
    </w:p>
    <w:p>
      <w:r>
        <w:rPr>
          <w:color w:val="777777"/>
          <w:sz w:val="16"/>
        </w:rPr>
        <w:t xml:space="preserve">p026 · att1 p.2  </w:t>
      </w:r>
      <w:r>
        <w:t>The consequence for Question 18 is structural rather than a matter of rigor. A re-benchmark is a fresh session. A reassessment run at any point on any day would have opened a new session and measured something close to the 7.1 percent state. The degradation is a function of elapsed time within a session, and a monitoring cadence measured in weeks or quarters cannot observe a quantity that resets in minutes.</w:t>
      </w:r>
    </w:p>
    <w:p>
      <w:r>
        <w:rPr>
          <w:color w:val="777777"/>
          <w:sz w:val="16"/>
        </w:rPr>
        <w:t xml:space="preserve">p027 · att1 p.2  </w:t>
      </w:r>
      <w:r>
        <w:t>A separate recorded session on 2026-09-04, eleven minutes twenty-four seconds, showed the second half of the problem. The device produced false statements in three separate turns while its presentation improved steadily across the session — by the ninth minute it was citing governing rules by name, disclosing source ages, and correcting itself unprompted. A sample drawn late in that trajectory scores the device as more disciplined than a sample drawn early, while the error rate is unchanged. A monitoring program that samples will report the better number, and will report it in good faith.</w:t>
      </w:r>
    </w:p>
    <w:p>
      <w:r>
        <w:rPr>
          <w:color w:val="777777"/>
          <w:sz w:val="16"/>
        </w:rPr>
        <w:t xml:space="preserve">p028 · att1 p.2  </w:t>
      </w:r>
      <w:r>
        <w:t>We state the boundary on this evidence in Section 6. It establishes that these failure modes occur and can be measured. It establishes nothing about how often, and we offer no rate.</w:t>
      </w:r>
    </w:p>
    <w:p>
      <w:r>
        <w:rPr>
          <w:color w:val="777777"/>
          <w:sz w:val="16"/>
        </w:rPr>
        <w:t xml:space="preserve">p029 · att1 p.2  </w:t>
      </w:r>
      <w:r>
        <w:t>3. Conditions we recommend attaching to any reduction — Responsive to the first and second parts of Question 18. We propose three conditions, each stated so that a reviewer can determine whether it is met without adjudicating intent.</w:t>
      </w:r>
    </w:p>
    <w:p>
      <w:r>
        <w:rPr>
          <w:color w:val="777777"/>
          <w:sz w:val="16"/>
        </w:rPr>
        <w:t xml:space="preserve">p030 · att1 p.2  </w:t>
      </w:r>
      <w:r>
        <w:t>3.1 The reduction should be specific to a failure mode, and matched to demonstrated detection</w:t>
      </w:r>
    </w:p>
    <w:p>
      <w:r>
        <w:rPr>
          <w:color w:val="777777"/>
          <w:sz w:val="16"/>
        </w:rPr>
        <w:t xml:space="preserve">p031 · att1 p.3  </w:t>
      </w:r>
      <w:r>
        <w:t>We recommend against a general discount on premarket evidence in exchange for a general monitoring commitment. The sponsor should identify which uncertainty is being carried into the postmarket period, and should demonstrate that its monitoring program detects that specific failure mode — not that a program exists, and not that the failure mode is theoretically detectable.</w:t>
      </w:r>
    </w:p>
    <w:p>
      <w:r>
        <w:rPr>
          <w:color w:val="777777"/>
          <w:sz w:val="16"/>
        </w:rPr>
        <w:t xml:space="preserve">p032 · att1 p.3  </w:t>
      </w:r>
      <w:r>
        <w:t>The practical form of this is a detection demonstration: the sponsor introduces the failure mode and shows the program surfaces it, within a stated interval, at a stated sensitivity. Where a sponsor cannot produce that demonstration, the corresponding premarket evidence should not be reducible.</w:t>
      </w:r>
    </w:p>
    <w:p>
      <w:r>
        <w:rPr>
          <w:color w:val="777777"/>
          <w:sz w:val="16"/>
        </w:rPr>
        <w:t xml:space="preserve">p033 · att1 p.3  </w:t>
      </w:r>
      <w:r>
        <w:t>This keeps the exchange honest in the only way we can see — by making the postmarket half of it something a reviewer can inspect before granting the premarket half.</w:t>
      </w:r>
    </w:p>
    <w:p>
      <w:r>
        <w:rPr>
          <w:color w:val="777777"/>
          <w:sz w:val="16"/>
        </w:rPr>
        <w:t xml:space="preserve">p034 · att1 p.3  </w:t>
      </w:r>
      <w:r>
        <w:t>3.2 The monitoring record must be independent of the device — A device that reports its own actions is reporting on itself, and where that report is the only record it is unfalsifiable at the point of use. Every monitoring mechanism reading that report inherits its errors. If premarket evidence has been reduced on the strength of such a program, the reduction rests on the device's account of itself.</w:t>
      </w:r>
    </w:p>
    <w:p>
      <w:r>
        <w:rPr>
          <w:color w:val="777777"/>
          <w:sz w:val="16"/>
        </w:rPr>
        <w:t xml:space="preserve">p035 · att1 p.3  </w:t>
      </w:r>
      <w:r>
        <w:t>The remedy requires no interpretation of the device. It requires a second record, produced by the machine rather than by the device, against which the device's account can be compared. The comparison is mechanical: a device states it consulted a source; the independent record shows whether that source was opened, and when. Three outcomes are distinguishable — the source was read and is current, a dated copy was read and its age is known, or nothing was read. No analysis of the output text separates these. An access record separates them in one step.</w:t>
      </w:r>
    </w:p>
    <w:p>
      <w:r>
        <w:rPr>
          <w:color w:val="777777"/>
          <w:sz w:val="16"/>
        </w:rPr>
        <w:t xml:space="preserve">p036 · att1 p.3  </w:t>
      </w:r>
      <w:r>
        <w:t>We have published an instrument of this kind rather than described one. It is open source under the Apache License 2.0 at github.com/The-ChristmanAI-Project/HONESTY, made public on 2026-09-04. The local component is a single Python program with no dependencies outside the standard library, serving on the loopback interface only; it reads the operating system process list, matches it against a catalogue of named AI systems, and maintains an append-only ledger with timestamps. Its README states its own limits before a reader asks — it is not a kernel driver, not a phone tap, and not a browser-tab inspector — and it names what it cannot observe.</w:t>
      </w:r>
    </w:p>
    <w:p>
      <w:r>
        <w:rPr>
          <w:color w:val="777777"/>
          <w:sz w:val="16"/>
        </w:rPr>
        <w:t xml:space="preserve">p037 · att1 p.3  </w:t>
      </w:r>
      <w:r>
        <w:t>We note the asymmetry deliberately: it was built to observe commercial systems we use as tools, it is not instrumentation for our own products, and we offer it as a method a reviewer may apply to any device, ours included.</w:t>
      </w:r>
    </w:p>
    <w:p>
      <w:r>
        <w:rPr>
          <w:color w:val="777777"/>
          <w:sz w:val="16"/>
        </w:rPr>
        <w:t xml:space="preserve">p038 · att1 p.3  </w:t>
      </w:r>
      <w:r>
        <w:t>3.3 The finding must reach a person who can act, inside the exposure window</w:t>
      </w:r>
    </w:p>
    <w:p>
      <w:r>
        <w:rPr>
          <w:color w:val="777777"/>
          <w:sz w:val="16"/>
        </w:rPr>
        <w:t xml:space="preserve">p039 · att1 p.3  </w:t>
      </w:r>
      <w:r>
        <w:t>A monitoring program that surfaces a fabrication to the manufacturer in a quarterly report has protected future users. It has not protected the person the fabrication was about. Where premarket evidence has been reduced, that person is carrying the residual uncertainty personally, and a reporting path that reaches them after the harm is complete does not discharge it.</w:t>
      </w:r>
    </w:p>
    <w:p>
      <w:r>
        <w:rPr>
          <w:color w:val="777777"/>
          <w:sz w:val="16"/>
        </w:rPr>
        <w:t xml:space="preserve">p040 · att1 p.3  </w:t>
      </w:r>
      <w:r>
        <w:t>We recommend that where a reduction has been granted, the monitoring program be required to specify who is notified, and within what interval, on a detected fault — and that the interval be shorter than the window in which the fault can cause harm. For a device operating in an assistive or clinical role for a user who cannot self-verify, we recommend notification to a designated caregiver or clinician at the end of the session rather than the end of the quarter.</w:t>
      </w:r>
    </w:p>
    <w:p>
      <w:r>
        <w:rPr>
          <w:color w:val="777777"/>
          <w:sz w:val="16"/>
        </w:rPr>
        <w:t xml:space="preserve">p041 · att1 p.4  </w:t>
      </w:r>
      <w:r>
        <w:t>We state the boundary on that recommendation plainly, because it can be misused. This is notification of a device fault to a named responsible person. It is not surveillance of the user, it is not transmission of the content of their communication, and it should not become either. What leaves the device is that the device produced output its own record does not support. What the user was trying to say belongs to the user.</w:t>
      </w:r>
    </w:p>
    <w:p>
      <w:r>
        <w:rPr>
          <w:color w:val="777777"/>
          <w:sz w:val="16"/>
        </w:rPr>
        <w:t xml:space="preserve">p042 · att1 p.4  </w:t>
      </w:r>
      <w:r>
        <w:t>4. Device types and risk profiles for which we recommend the approach not be available</w:t>
      </w:r>
    </w:p>
    <w:p>
      <w:r>
        <w:rPr>
          <w:color w:val="777777"/>
          <w:sz w:val="16"/>
        </w:rPr>
        <w:t xml:space="preserve">p043 · att1 p.4  </w:t>
      </w:r>
      <w:r>
        <w:t>Responsive to the third part of Question 18. This is the part of the question we filed on. Each category below removes a safeguard that the trade assumes without stating.</w:t>
      </w:r>
    </w:p>
    <w:p>
      <w:r>
        <w:rPr>
          <w:color w:val="777777"/>
          <w:sz w:val="16"/>
        </w:rPr>
        <w:t xml:space="preserve">p044 · att1 p.4  </w:t>
      </w:r>
      <w:r>
        <w:t>4.1 Where the intended user cannot self-verify or self-report — Postmarket monitoring leans on an unwritten first line of defense: someone notices the device was wrong and says so. Complaints, adverse event reports, clinician escalation and the ordinary friction of a user disagreeing with a machine all depend on it. It is so reliable in general populations that it is rarely named as an assumption.</w:t>
      </w:r>
    </w:p>
    <w:p>
      <w:r>
        <w:rPr>
          <w:color w:val="777777"/>
          <w:sz w:val="16"/>
        </w:rPr>
        <w:t xml:space="preserve">p045 · att1 p.4  </w:t>
      </w:r>
      <w:r>
        <w:t>It is absent by construction in the populations these devices are being built to serve. A user who cannot speak cannot report that a device spoke incorrectly on their behalf. A user with advanced dementia cannot establish that a prompt they were given was wrong. A deaf-blind user cannot see a correction offered on a screen or hear one spoken aloud. The characteristic that makes the device necessary is the same characteristic that disables the feedback loop the premarket reduction is being traded against.</w:t>
      </w:r>
    </w:p>
    <w:p>
      <w:r>
        <w:rPr>
          <w:color w:val="777777"/>
          <w:sz w:val="16"/>
        </w:rPr>
        <w:t xml:space="preserve">p046 · att1 p.4  </w:t>
      </w:r>
      <w:r>
        <w:t>We are not arguing that these devices should face a higher premarket bar than their risk warrants. We are arguing that the specific exchange in Question 18 should not be available to them, because the postmarket half of the exchange is weaker in exactly this population and the framework as written does not register that.</w:t>
      </w:r>
    </w:p>
    <w:p>
      <w:r>
        <w:rPr>
          <w:color w:val="777777"/>
          <w:sz w:val="16"/>
        </w:rPr>
        <w:t xml:space="preserve">p047 · att1 p.4  </w:t>
      </w:r>
      <w:r>
        <w:t>4.2 Where the device operates without connectivity — A monitoring program that relies on telemetry returning to the sponsor does not exist for a device running offline. We build for deployment without a network by design — during a power outage, in a home with no service, on hardware that is never connected — because the users we serve lose their means of communication when the connection does, and that is not an acceptable failure.</w:t>
      </w:r>
    </w:p>
    <w:p>
      <w:r>
        <w:rPr>
          <w:color w:val="777777"/>
          <w:sz w:val="16"/>
        </w:rPr>
        <w:t xml:space="preserve">p048 · att1 p.4  </w:t>
      </w:r>
      <w:r>
        <w:t>For such deployments, monitoring data may not reach the sponsor for weeks, may reach them in an incomplete form, or may never reach them. We recommend that where a device's intended use includes disconnected operation, premarket evidence not be reducible against monitoring the device cannot perform in that mode. Alternatively, and we would prefer this, the sponsor should demonstrate an on-device record that persists through disconnection and is reconcilable afterward — which is achievable, and which we would rather see required than see the question go unasked.</w:t>
      </w:r>
    </w:p>
    <w:p>
      <w:r>
        <w:rPr>
          <w:color w:val="777777"/>
          <w:sz w:val="16"/>
        </w:rPr>
        <w:t xml:space="preserve">p049 · att1 p.4  </w:t>
      </w:r>
      <w:r>
        <w:t>4.3 Where the harm completes inside the detection interval — Some harms are recoverable on discovery and some are not. A fabricated sentence issued in the name of a user who cannot retract it has done its work at the moment it is uttered. A wandering alert not raised, an escalation not made, a medication prompt given wrongly to someone who cannot check it — in each case detection after the interval documents the harm rather than preventing it.</w:t>
      </w:r>
    </w:p>
    <w:p>
      <w:r>
        <w:rPr>
          <w:color w:val="777777"/>
          <w:sz w:val="16"/>
        </w:rPr>
        <w:t xml:space="preserve">p050 · att1 p.5  </w:t>
      </w:r>
      <w:r>
        <w:t>We recommend reversibility be treated as an explicit gate on the Question 18 exchange: where the credible harm from the retained uncertainty is not reversible within the monitoring program's own detection interval, the exchange should not be available regardless of the program's quality.</w:t>
      </w:r>
    </w:p>
    <w:p>
      <w:r>
        <w:rPr>
          <w:color w:val="777777"/>
          <w:sz w:val="16"/>
        </w:rPr>
        <w:t xml:space="preserve">p051 · att1 p.5  </w:t>
      </w:r>
      <w:r>
        <w:t>4.4 Where deployment is single-user and long-duration — Postmarket monitoring draws much of its power from volume — signals emerge across a population that are invisible in any one case. A device assigned to one person, used by that person for years, in a pattern particular to them, produces little cross-population signal. Its most important failures are failures about that individual, which the aggregate cannot see and which averaging actively conceals.</w:t>
      </w:r>
    </w:p>
    <w:p>
      <w:r>
        <w:rPr>
          <w:color w:val="777777"/>
          <w:sz w:val="16"/>
        </w:rPr>
        <w:t xml:space="preserve">p052 · att1 p.5  </w:t>
      </w:r>
      <w:r>
        <w:t>Where a device's intended use is a population of one, we recommend the premarket evidence carry the weight, because the postmarket instrument is at its weakest precisely there.</w:t>
      </w:r>
    </w:p>
    <w:p>
      <w:r>
        <w:rPr>
          <w:color w:val="777777"/>
          <w:sz w:val="16"/>
        </w:rPr>
        <w:t xml:space="preserve">p053 · att1 p.5  </w:t>
      </w:r>
      <w:r>
        <w:t>5. What we are recommending, stated plainly — We do not ask CDRH to withdraw the approach in Question 18. We ask that it be granted as a specific exchange rather than a general posture, and that the four categories above be named as exclusions.</w:t>
      </w:r>
    </w:p>
    <w:p>
      <w:r>
        <w:rPr>
          <w:color w:val="777777"/>
          <w:sz w:val="16"/>
        </w:rPr>
        <w:t xml:space="preserve">p054 · att1 p.5  </w:t>
      </w:r>
      <w:r>
        <w:t>• Grant the reduction against a demonstrated detection capability for the identified failure mode, not against the existence of a monitoring program.</w:t>
      </w:r>
    </w:p>
    <w:p>
      <w:r>
        <w:rPr>
          <w:color w:val="777777"/>
          <w:sz w:val="16"/>
        </w:rPr>
        <w:t xml:space="preserve">p055 · att1 p.5  </w:t>
      </w:r>
      <w:r>
        <w:t>• Require the monitoring record to be independent of the device where the reduction rests on it.</w:t>
      </w:r>
    </w:p>
    <w:p>
      <w:r>
        <w:rPr>
          <w:color w:val="777777"/>
          <w:sz w:val="16"/>
        </w:rPr>
        <w:t xml:space="preserve">p056 · att1 p.5  </w:t>
      </w:r>
      <w:r>
        <w:t>• Require a named recipient and a stated notification interval, shorter than the interval in which the retained uncertainty can cause harm.</w:t>
      </w:r>
    </w:p>
    <w:p>
      <w:r>
        <w:rPr>
          <w:color w:val="777777"/>
          <w:sz w:val="16"/>
        </w:rPr>
        <w:t xml:space="preserve">p057 · att1 p.5  </w:t>
      </w:r>
      <w:r>
        <w:t>• Exclude the exchange where the intended user cannot self-report, where the device operates disconnected, where harm is irreversible within the detection interval, or where deployment is single-user and long-duration.</w:t>
      </w:r>
    </w:p>
    <w:p>
      <w:r>
        <w:rPr>
          <w:color w:val="777777"/>
          <w:sz w:val="16"/>
        </w:rPr>
        <w:t xml:space="preserve">p058 · att1 p.5  </w:t>
      </w:r>
      <w:r>
        <w:t>6. Scope, and what we are not claiming — The measurements above were made on commercial AI assistants used as tools in our own work. None is a regulated medical device and none of these was a controlled evaluation. We offer no error rate, no frequency claim, and no generalization about any product. Four observation periods establish that these failure modes occur and can be measured; they establish nothing about how often.</w:t>
      </w:r>
    </w:p>
    <w:p>
      <w:r>
        <w:rPr>
          <w:color w:val="777777"/>
          <w:sz w:val="16"/>
        </w:rPr>
        <w:t xml:space="preserve">p059 · att1 p.5  </w:t>
      </w:r>
      <w:r>
        <w:t>We distinguish between what we have verified and what we have designed. The instrument described in Section 3.2 is published and its behavior can be confirmed by reading and running it. The recommendations in Sections 3 and 5 are our position, offered as policy argument and not as measurement.</w:t>
      </w:r>
    </w:p>
    <w:p>
      <w:r>
        <w:rPr>
          <w:color w:val="777777"/>
          <w:sz w:val="16"/>
        </w:rPr>
        <w:t xml:space="preserve">p060 · att1 p.5  </w:t>
      </w:r>
      <w:r>
        <w:t>We make no claim about intent on the part of any developer, and we recommend against any standard that turns on candour or intent, because such a standard is unfalsifiable and will be argued rather than measured. Every condition proposed above is observable without resolving why an output occurred.</w:t>
      </w:r>
    </w:p>
    <w:p>
      <w:r>
        <w:rPr>
          <w:color w:val="777777"/>
          <w:sz w:val="16"/>
        </w:rPr>
        <w:t xml:space="preserve">p061 · att1 p.5  </w:t>
      </w:r>
      <w:r>
        <w:t>7. Evidence retained — Retained and available to CDRH on request: three source recordings of 2026-09-03 with extracted PCM audio, word-level transcripts, frame captures and the full window-level measurement record with parameters; SHA-256 digests of the unaltered recordings computed at archiving; the eleven minute twenty-four second session recording of 2026-09-04 with audio, machine transcript and the signal measurement used to validate that transcript; session transcripts and tool output for 2026-09-02 and 2026-09-03; and the complete contents of the persistent store as read on 2026-09-03.</w:t>
      </w:r>
    </w:p>
    <w:p>
      <w:r>
        <w:rPr>
          <w:color w:val="777777"/>
          <w:sz w:val="16"/>
        </w:rPr>
        <w:t xml:space="preserve">p062 · att1 p.6  </w:t>
      </w:r>
      <w:r>
        <w:t>The instrument described in Section 3.2 requires no request. It is public, licensed, and inspectable.</w:t>
      </w:r>
    </w:p>
    <w:p>
      <w:r>
        <w:rPr>
          <w:color w:val="777777"/>
          <w:sz w:val="16"/>
        </w:rPr>
        <w:t xml:space="preserve">p063 · att1 p.6  </w:t>
      </w:r>
      <w:r>
        <w:t>8.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p064 · att1 p.6  </w:t>
      </w:r>
      <w:r>
        <w:t>We file on Question 18 because it is the question that decides how much certainty our users are asked to carry personally. A reduction in premarket evidence is a decision that some uncertainty will be resolved later, by observation, in the field. For most populations that is a reasonable allocation, because the people in the field can see what happens to them and can say so. Our users are in the field and cannot do either.</w:t>
      </w:r>
    </w:p>
    <w:p>
      <w:r>
        <w:rPr>
          <w:color w:val="777777"/>
          <w:sz w:val="16"/>
        </w:rPr>
        <w:t xml:space="preserve">p065 · att1 p.6  </w:t>
      </w:r>
      <w:r>
        <w:t>Every protective factor that operated in the sessions we measured was a person who knew the machine was wrong and was able to say so out loud. That is the safeguard the exchange in Question 18 spends. We are asking that it not be spent on behalf of people who do not have it.</w:t>
      </w:r>
    </w:p>
    <w:p>
      <w:r>
        <w:rPr>
          <w:color w:val="777777"/>
          <w:sz w:val="16"/>
        </w:rPr>
        <w:t xml:space="preserve">p066 · att1 p.6  </w:t>
      </w:r>
      <w:r>
        <w:t>Measurements and session records dated 2026-09-02 to 2026-09-04. Submitted to Docket FDA-2026-N-7874, comment period closing 2026-10-19. Contact: contact@thechristmanaiproject.com</w:t>
      </w:r>
    </w:p>
    <w:p>
      <w:r>
        <w:rPr>
          <w:color w:val="777777"/>
          <w:sz w:val="16"/>
        </w:rPr>
        <w:t xml:space="preserve">p067 · att1 p.6  </w:t>
      </w:r>
      <w:r>
        <w:t>Submitted by Everett N. Christman, Founder and Chief Executive Officer, The Christman AI Project and Robotics Division.</w:t>
      </w:r>
    </w:p>
    <w:p>
      <w:r>
        <w:rPr>
          <w:color w:val="777777"/>
          <w:sz w:val="16"/>
        </w:rPr>
        <w:t xml:space="preserve">p068 · att1 p.6  </w:t>
      </w:r>
      <w:r>
        <w:t>/s/ Everett N. Christman Founder and Chief Executive Officer The Christman AI Project and Robotics Division September 8, 2026</w:t>
      </w:r>
    </w:p>
    <w:p>
      <w:pPr>
        <w:pStyle w:val="Heading1"/>
        <w:pageBreakBefore/>
      </w:pPr>
      <w:r>
        <w:t>FDA-2026-N-7874-0078</w:t>
      </w:r>
    </w:p>
    <w:p>
      <w:r>
        <w:t>Comment from The Christman AI Project &amp; Robotics Division</w:t>
      </w:r>
    </w:p>
    <w:p>
      <w:r>
        <w:rPr>
          <w:color w:val="777777"/>
          <w:sz w:val="18"/>
        </w:rPr>
        <w:t>Device Industry - C0012 · received 2026-09-08 · attachments: attachment_1.pdf (9 pp)</w:t>
      </w:r>
    </w:p>
    <w:p>
      <w:r>
        <w:rPr>
          <w:color w:val="777777"/>
          <w:sz w:val="16"/>
        </w:rPr>
        <w:t xml:space="preserve">p001 · body  </w:t>
      </w:r>
      <w:r>
        <w:t>Comment on Docket No. FDA-2026-N-7874-Q09 — Considerations for the Regulation of Generative AI-Enabled Medical Devices: Discussion Paper and Request for Feedback</w:t>
      </w:r>
    </w:p>
    <w:p>
      <w:r>
        <w:rPr>
          <w:color w:val="777777"/>
          <w:sz w:val="16"/>
        </w:rPr>
        <w:t xml:space="preserve">p002 · body  </w:t>
      </w:r>
      <w:r>
        <w:t>Comment on Question 9 (Section V.B): adequacy of the benchmarking structure; elements missing, redundant, or inappropriately categorized; and externally developed standards that could be leveraged.</w:t>
      </w:r>
    </w:p>
    <w:p>
      <w:r>
        <w:rPr>
          <w:color w:val="777777"/>
          <w:sz w:val="16"/>
        </w:rPr>
        <w:t xml:space="preserve">p003 · body  </w:t>
      </w:r>
      <w:r>
        <w:t>Submitted by Everett N. Christman, Founder and Chief Executive Officer, The Christman AI Project and Robotics Division.</w:t>
      </w:r>
    </w:p>
    <w:p>
      <w:r>
        <w:rPr>
          <w:color w:val="777777"/>
          <w:sz w:val="16"/>
        </w:rPr>
        <w:t xml:space="preserve">p004 · body  </w:t>
      </w:r>
      <w:r>
        <w:t>The structure is sound and the element set is better than we expected. Our comment is narrow and has three parts.</w:t>
      </w:r>
    </w:p>
    <w:p>
      <w:r>
        <w:rPr>
          <w:color w:val="777777"/>
          <w:sz w:val="16"/>
        </w:rPr>
        <w:t xml:space="preserve">p005 · body  </w:t>
      </w:r>
      <w:r>
        <w:t>The elements are well chosen; the sampling method underneath them is the weaker half. We have measured two properties that make a benchmark result depend on when in a session it was drawn, and the framework as written does not specify when. An element that is correct in principle can still be measured at the wrong moment.</w:t>
      </w:r>
    </w:p>
    <w:p>
      <w:r>
        <w:rPr>
          <w:color w:val="777777"/>
          <w:sz w:val="16"/>
        </w:rPr>
        <w:t xml:space="preserve">p006 · body  </w:t>
      </w:r>
      <w:r>
        <w:t>One element is missing, and it sits underneath several of the others. Every element in Appendix A evaluates what the device produced. None asks whether the device received anything. A device generating fluent, confident text over an input stream carrying no signal fails no element as currently written, because every element examines the output and the output looks well-formed. We include four dated forensic records demonstrating the alternative behavior, produced by an instrument that was running while its own transcription component was failing.</w:t>
      </w:r>
    </w:p>
    <w:p>
      <w:r>
        <w:rPr>
          <w:color w:val="777777"/>
          <w:sz w:val="16"/>
        </w:rPr>
        <w:t xml:space="preserve">p007 · body  </w:t>
      </w:r>
      <w:r>
        <w:t>One element is categorized too narrowly. A.1 is scoped to agentic devices only, but it carries the sole treatment of resistance to prompt injection through retrieved content and tool outputs. A non-agentic device that performs retrieval ingests untrusted text by the same path.</w:t>
      </w:r>
    </w:p>
    <w:p>
      <w:r>
        <w:rPr>
          <w:color w:val="777777"/>
          <w:sz w:val="16"/>
        </w:rPr>
        <w:t xml:space="preserve">p008 · body  </w:t>
      </w:r>
      <w:r>
        <w:t>On externally developed standards: we have published instruments rather than proposed them, under a permissive license, and offer them as a method a reviewer may apply to any device including ours.</w:t>
      </w:r>
    </w:p>
    <w:p>
      <w:r>
        <w:rPr>
          <w:color w:val="777777"/>
          <w:sz w:val="16"/>
        </w:rPr>
        <w:t xml:space="preserve">p009 · body  </w:t>
      </w:r>
      <w:r>
        <w:t>We state our limits. The measurements were made on commercial AI assistants used as tools in our own work. None is a regulated device and none was a controlled evaluation. We offer no error rate, no frequency claim, and no generalization about any product or developer. We make no claim about intent.</w:t>
      </w:r>
    </w:p>
    <w:p>
      <w:r>
        <w:rPr>
          <w:color w:val="777777"/>
          <w:sz w:val="16"/>
        </w:rPr>
        <w:t xml:space="preserve">p010 · body  </w:t>
      </w:r>
      <w:r>
        <w:t>Full comment attached (9 pages).</w:t>
      </w:r>
    </w:p>
    <w:p>
      <w:r>
        <w:rPr>
          <w:color w:val="777777"/>
          <w:sz w:val="16"/>
        </w:rPr>
        <w:t xml:space="preserve">p011 · body  </w:t>
      </w:r>
      <w:r>
        <w:t>Contact: contact@thechristmanaiproject.com</w:t>
      </w:r>
    </w:p>
    <w:p>
      <w:r>
        <w:rPr>
          <w:color w:val="777777"/>
          <w:sz w:val="16"/>
        </w:rPr>
        <w:t xml:space="preserve">p012 · att1 p.1  </w:t>
      </w:r>
      <w:r>
        <w:t>FDA-2026-N-7874 — Q09 — Comment on Docket No. FDA-2026-N-7874 · Considerations for the Regulation of Generative AI-Enabled Medical Devices: Discussion Paper and Request for Feedback</w:t>
      </w:r>
    </w:p>
    <w:p>
      <w:r>
        <w:rPr>
          <w:color w:val="777777"/>
          <w:sz w:val="16"/>
        </w:rPr>
        <w:t xml:space="preserve">p013 · att1 p.1  </w:t>
      </w:r>
      <w:r>
        <w:t>QUESTION ADDRESSED — Question 9 (Section V.B): adequacy of the benchmarking structure; elements missing, redundant, or inappropriately categorized; externally developed standards that could be leveraged</w:t>
      </w:r>
    </w:p>
    <w:p>
      <w:r>
        <w:rPr>
          <w:color w:val="777777"/>
          <w:sz w:val="16"/>
        </w:rPr>
        <w:t xml:space="preserve">p014 · att1 p.1  </w:t>
      </w:r>
      <w:r>
        <w:t>SUBMITTED BY Everett N. Christman, Founder and Chief Executive Officer — ORGANIZATION The Christman AI Project and Robotics Division</w:t>
      </w:r>
    </w:p>
    <w:p>
      <w:r>
        <w:rPr>
          <w:color w:val="777777"/>
          <w:sz w:val="16"/>
        </w:rPr>
        <w:t xml:space="preserve">p015 · att1 p.1  </w:t>
      </w:r>
      <w:r>
        <w:t>BASIS OF COMMENT Four instrumented observation periods, 2026-09-02 to 2026-09-04, with retained recordings, transcripts, tool output and stored-state contents; four forensic evidence bags produced 2026-09-07 and 2026-09-08 with dual NIST FIPS 180-4 hashes and preserved original bytes; published open-source instruments, cited below; and design experience building assistive communication systems for users who cannot self-report.</w:t>
      </w:r>
    </w:p>
    <w:p>
      <w:r>
        <w:rPr>
          <w:color w:val="777777"/>
          <w:sz w:val="16"/>
        </w:rPr>
        <w:t xml:space="preserve">p016 · att1 p.1  </w:t>
      </w:r>
      <w:r>
        <w:t>The question as posed — CDRH asks whether a benchmarking structure such as the one described would be likely to provide adequate evidence of clinical knowledge, analytic capabilities, safety behavior, communication, and generalizability to support a reasonable assurance of safety and effectiveness; whether there are elements missing, redundant, or inappropriately categorized; and whether there are externally developed standards that could be leveraged.</w:t>
      </w:r>
    </w:p>
    <w:p>
      <w:r>
        <w:rPr>
          <w:color w:val="777777"/>
          <w:sz w:val="16"/>
        </w:rPr>
        <w:t xml:space="preserve">p017 · att1 p.1  </w:t>
      </w:r>
      <w:r>
        <w:t>Summary of position — The structure is sound and the element set is better than we expected. Our comment is narrow and has three parts.</w:t>
      </w:r>
    </w:p>
    <w:p>
      <w:r>
        <w:rPr>
          <w:color w:val="777777"/>
          <w:sz w:val="16"/>
        </w:rPr>
        <w:t xml:space="preserve">p018 · att1 p.1  </w:t>
      </w:r>
      <w:r>
        <w:t>• The elements are well chosen. The sampling method underneath them is the weaker half. We have measured two properties that make a benchmark result depend on when in a session it was drawn, and the framework as written does not specify when. An element that is correct in principle can still be measured at the wrong moment.</w:t>
      </w:r>
    </w:p>
    <w:p>
      <w:r>
        <w:rPr>
          <w:color w:val="777777"/>
          <w:sz w:val="16"/>
        </w:rPr>
        <w:t xml:space="preserve">p019 · att1 p.1  </w:t>
      </w:r>
      <w:r>
        <w:t>• One element is missing, and it sits underneath several of the others. Every element in Appendix A evaluates what the device produced. None asks whether the device received anything. A device generating fluent, confident text over an input stream carrying no signal fails no element as currently written, because every element examines the output and the output looks well-formed. We include four dated forensic records demonstrating the alternative behavior, produced by an instrument that was running while its own transcription component was failing.</w:t>
      </w:r>
    </w:p>
    <w:p>
      <w:r>
        <w:rPr>
          <w:color w:val="777777"/>
          <w:sz w:val="16"/>
        </w:rPr>
        <w:t xml:space="preserve">p020 · att1 p.1  </w:t>
      </w:r>
      <w:r>
        <w:t>• One element is categorized too narrowly. A.1 is scoped to agentic devices only, but it carries the sole treatment of resistance to prompt injection through retrieved content and tool outputs. A non-agentic device that performs retrieval ingests untrusted text by the same path.</w:t>
      </w:r>
    </w:p>
    <w:p>
      <w:r>
        <w:rPr>
          <w:color w:val="777777"/>
          <w:sz w:val="16"/>
        </w:rPr>
        <w:t xml:space="preserve">p021 · att1 p.2  </w:t>
      </w:r>
      <w:r>
        <w:t>On externally developed standards: we have published an instrument rather than proposed one, under a permissive license, and we offer it as a method a reviewer may apply to any device including ours.</w:t>
      </w:r>
    </w:p>
    <w:p>
      <w:r>
        <w:rPr>
          <w:color w:val="777777"/>
          <w:sz w:val="16"/>
        </w:rPr>
        <w:t xml:space="preserve">p022 · att1 p.2  </w:t>
      </w:r>
      <w:r>
        <w:t>1. The elements are sound. The sampling is where we would spend the attention.</w:t>
      </w:r>
    </w:p>
    <w:p>
      <w:r>
        <w:rPr>
          <w:color w:val="777777"/>
          <w:sz w:val="16"/>
        </w:rPr>
        <w:t xml:space="preserve">p023 · att1 p.2  </w:t>
      </w:r>
      <w:r>
        <w:t>We do not propose removing anything from Appendix A. The five safety and proficiency elements, the two generalizability elements, and the agentic element together describe a device more completely than any framework we have seen applied to this class of system. S.3 in particular — "Presenting uncertain, outdated, or contested information with false confidence is treated as a safety failure" — is, in one sentence, the failure this comment is about, and CDRH wrote it.</w:t>
      </w:r>
    </w:p>
    <w:p>
      <w:r>
        <w:rPr>
          <w:color w:val="777777"/>
          <w:sz w:val="16"/>
        </w:rPr>
        <w:t xml:space="preserve">p024 · att1 p.2  </w:t>
      </w:r>
      <w:r>
        <w:t>Our concern is that benchmarking is a sampled measurement, and we have measured two properties that make the sample position decisive.</w:t>
      </w:r>
    </w:p>
    <w:p>
      <w:r>
        <w:rPr>
          <w:color w:val="777777"/>
          <w:sz w:val="16"/>
        </w:rPr>
        <w:t xml:space="preserve">p025 · att1 p.2  </w:t>
      </w:r>
      <w:r>
        <w:t>1.1 A property that degrades with elapsed time inside a session, and resets at the session boundary</w:t>
      </w:r>
    </w:p>
    <w:p>
      <w:r>
        <w:rPr>
          <w:color w:val="777777"/>
          <w:sz w:val="16"/>
        </w:rPr>
        <w:t xml:space="preserve">p026 · att1 p.2  </w:t>
      </w:r>
      <w:r>
        <w:t>On 2026-09-03 we made three recordings across seventy-four minutes of continuous work on one unchanged audio interface, with no configuration change between them. Input carrying no live signal accounted for 7.1 percent of the first file, 19.1 percent of the second, and 42.2 percent of the third. The proportion of lost input roughly doubled between each recording.</w:t>
      </w:r>
    </w:p>
    <w:p>
      <w:r>
        <w:rPr>
          <w:color w:val="777777"/>
          <w:sz w:val="16"/>
        </w:rPr>
        <w:t xml:space="preserve">p027 · att1 p.2  </w:t>
      </w:r>
      <w:r>
        <w:t>A benchmark run is a fresh session. A benchmark executed at any point on any day would have opened a new session and measured something near the 7.1 percent state. The quantity being measured is a function of elapsed time within a session; a premarket evaluation composed of fresh runs cannot observe it at all.</w:t>
      </w:r>
    </w:p>
    <w:p>
      <w:r>
        <w:rPr>
          <w:color w:val="777777"/>
          <w:sz w:val="16"/>
        </w:rPr>
        <w:t xml:space="preserve">p028 · att1 p.2  </w:t>
      </w:r>
      <w:r>
        <w:t>1.2 A property where presentation improves while the error rate does not — A separate recorded session on 2026-09-04, eleven minutes twenty-four seconds, showed the other half. The device produced false statements in three separate turns while its presentation improved steadily across the session — by the ninth minute it was citing governing rules by name, disclosing source ages, and correcting itself unprompted.</w:t>
      </w:r>
    </w:p>
    <w:p>
      <w:r>
        <w:rPr>
          <w:color w:val="777777"/>
          <w:sz w:val="16"/>
        </w:rPr>
        <w:t xml:space="preserve">p029 · att1 p.2  </w:t>
      </w:r>
      <w:r>
        <w:t>Scored against E.4 and S.3 as written, a sample drawn late in that trajectory reports a more disciplined device than a sample drawn early. The error rate across the two windows is unchanged. A benchmark that samples will report the better number, and will report it in good faith.</w:t>
      </w:r>
    </w:p>
    <w:p>
      <w:r>
        <w:rPr>
          <w:color w:val="777777"/>
          <w:sz w:val="16"/>
        </w:rPr>
        <w:t xml:space="preserve">p030 · att1 p.2  </w:t>
      </w:r>
      <w:r>
        <w:t>This is not an argument that the elements are wrong. It is an argument that an element without a specified sampling position is not yet a measurement.</w:t>
      </w:r>
    </w:p>
    <w:p>
      <w:r>
        <w:rPr>
          <w:color w:val="777777"/>
          <w:sz w:val="16"/>
        </w:rPr>
        <w:t xml:space="preserve">p031 · att1 p.2  </w:t>
      </w:r>
      <w:r>
        <w:t>1.3 What we recommend — Two additions to the method rather than to the element list.</w:t>
      </w:r>
    </w:p>
    <w:p>
      <w:r>
        <w:rPr>
          <w:color w:val="777777"/>
          <w:sz w:val="16"/>
        </w:rPr>
        <w:t xml:space="preserve">p032 · att1 p.2  </w:t>
      </w:r>
      <w:r>
        <w:t>• Specify session position. Where an element is scored, the assessment should state where in a session the observation was drawn and should include observations drawn late in a long session, not only at the start. A benchmark composed entirely of short fresh runs measures a device in the one condition it is least likely to be used in.</w:t>
      </w:r>
    </w:p>
    <w:p>
      <w:r>
        <w:rPr>
          <w:color w:val="777777"/>
          <w:sz w:val="16"/>
        </w:rPr>
        <w:t xml:space="preserve">p033 · att1 p.2  </w:t>
      </w:r>
      <w:r>
        <w:t>• Score the trajectory, not only the aggregate. Where an element is evaluated across a multi-turn encounter, report whether the measured property moves across the encounter and in which direction. A device whose accuracy is flat while its fluency rises is a different device than the average describes, and it is the more dangerous of the two, because rising fluency is what E.4 identifies as the driver of automation bias.</w:t>
      </w:r>
    </w:p>
    <w:p>
      <w:r>
        <w:rPr>
          <w:color w:val="777777"/>
          <w:sz w:val="16"/>
        </w:rPr>
        <w:t xml:space="preserve">p034 · att1 p.3  </w:t>
      </w:r>
      <w:r>
        <w:t>2. The missing element — input integrity — Every element in Appendix A evaluates the device's output. None establishes that the device's input arrived.</w:t>
      </w:r>
    </w:p>
    <w:p>
      <w:r>
        <w:rPr>
          <w:color w:val="777777"/>
          <w:sz w:val="16"/>
        </w:rPr>
        <w:t xml:space="preserve">p035 · att1 p.3  </w:t>
      </w:r>
      <w:r>
        <w:t>S.3 asks whether a device expresses appropriate uncertainty when evidence is contested or beyond its reliable knowledge. E.2 asks whether it defers appropriately when information is insufficient. R.1 asks about "behavior under missing or contradictory inputs." Each of these is correct, and each assumes a device that knows what it received.</w:t>
      </w:r>
    </w:p>
    <w:p>
      <w:r>
        <w:rPr>
          <w:color w:val="777777"/>
          <w:sz w:val="16"/>
        </w:rPr>
        <w:t xml:space="preserve">p036 · att1 p.3  </w:t>
      </w:r>
      <w:r>
        <w:t>The failure we measured is upstream of all three. The input stream carried no signal. Nothing in the device's behavior indicated that. It produced well-formed, confident text over silence, and would have passed S.3, E.2 and R.1 as scored, because each of those elements examines the output and the output was fluent.</w:t>
      </w:r>
    </w:p>
    <w:p>
      <w:r>
        <w:rPr>
          <w:color w:val="777777"/>
          <w:sz w:val="16"/>
        </w:rPr>
        <w:t xml:space="preserve">p037 · att1 p.3  </w:t>
      </w:r>
      <w:r>
        <w:t>R.1 is the closest fit and it does not close the gap. R.1 tests how a device behaves when an input is missing — which presumes the missing input is known to the evaluator, and usually to the device. It does not test whether the device can detect that its input is absent. Those are different competencies and only the second one protects a person who cannot check.</w:t>
      </w:r>
    </w:p>
    <w:p>
      <w:r>
        <w:rPr>
          <w:color w:val="777777"/>
          <w:sz w:val="16"/>
        </w:rPr>
        <w:t xml:space="preserve">p038 · att1 p.3  </w:t>
      </w:r>
      <w:r>
        <w:t>2.1 The behavior is implementable, and we have dated records of it — We are not proposing a behavior we have only argued for. On 2026-09-07 and 2026-09-08 we produced four forensic evidence bags from a single six-second source recording, each containing the preserved original bytes, extracted audio, dual NIST FIPS 180-4 digests (SHA-256 and SHA-512) over every artifact, and an independent verification procedure printed in the manifest.</w:t>
      </w:r>
    </w:p>
    <w:p>
      <w:r>
        <w:rPr>
          <w:color w:val="777777"/>
          <w:sz w:val="16"/>
        </w:rPr>
        <w:t xml:space="preserve">p039 · att1 p.3  </w:t>
      </w:r>
      <w:r>
        <w:t>Two of the four runs executed while the transcription component was returning HTTP 400. The transcript in those two records does not contain generated text. It contains, at each of the two detected speech spans, the sentence "The word-ear failed (400)."</w:t>
      </w:r>
    </w:p>
    <w:p>
      <w:r>
        <w:rPr>
          <w:color w:val="777777"/>
          <w:sz w:val="16"/>
        </w:rPr>
        <w:t xml:space="preserve">p040 · att1 p.3  </w:t>
      </w:r>
      <w:r>
        <w:t>The two later runs, after the component recovered, transcribed the same two spans as actual speech.</w:t>
      </w:r>
    </w:p>
    <w:p>
      <w:r>
        <w:rPr>
          <w:color w:val="777777"/>
          <w:sz w:val="16"/>
        </w:rPr>
        <w:t xml:space="preserve">p041 · att1 p.3  </w:t>
      </w:r>
      <w:r>
        <w:t>The comparison is the point. Same source, same detected spans, a transcription path that was unavailable in one condition and available in the other — and the failure condition produced a stated failure rather than a plausible sentence. There is no interpretation required to tell the two records apart, because the failure names itself in the output.</w:t>
      </w:r>
    </w:p>
    <w:p>
      <w:r>
        <w:rPr>
          <w:color w:val="777777"/>
          <w:sz w:val="16"/>
        </w:rPr>
        <w:t xml:space="preserve">p042 · att1 p.3  </w:t>
      </w:r>
      <w:r>
        <w:t>A second property fell out of the same four runs, and it is responsive to R.1. Across all four — including the two in which the transcriber was failing — the measured spans are identical to the microsecond and the derived artifacts are byte-identical: speech at 0.000–0.778 s and 3.902–4.739 s, silence at 0.778–3.902 s and 4.739–6.016 s, extracted audio 1,155,342 bytes, downsampled audio 192,782 bytes, in every run. The measurement layer reproduced exactly while a component above it failed and recovered.</w:t>
      </w:r>
    </w:p>
    <w:p>
      <w:r>
        <w:rPr>
          <w:color w:val="777777"/>
          <w:sz w:val="16"/>
        </w:rPr>
        <w:t xml:space="preserve">p043 · att1 p.3  </w:t>
      </w:r>
      <w:r>
        <w:t>This is what we would want R.1 to be able to distinguish: a device whose measurement is stable under component failure, from one whose output merely continues to look stable. Reproducibility of the output text would not have separated these. Reproducibility of the measurement did, and the failing runs are the ones that show it.</w:t>
      </w:r>
    </w:p>
    <w:p>
      <w:r>
        <w:rPr>
          <w:color w:val="777777"/>
          <w:sz w:val="16"/>
        </w:rPr>
        <w:t xml:space="preserve">p044 · att1 p.4  </w:t>
      </w:r>
      <w:r>
        <w:t>Each transcript segment in these records additionally carries a machine-written provenance block stating which component produced that segment and whether the material left the machine. We treat that as a distinct competency and describe it in Section 4.</w:t>
      </w:r>
    </w:p>
    <w:p>
      <w:r>
        <w:rPr>
          <w:color w:val="777777"/>
          <w:sz w:val="16"/>
        </w:rPr>
        <w:t xml:space="preserve">p045 · att1 p.4  </w:t>
      </w:r>
      <w:r>
        <w:t>We recommend an element, categorized under Safety, along these lines: S.4. Input integrity and null-referent handling. Whether the device establishes that its input was received and is intelligible before generating output, and whether it declines to produce a substantive output when the referent is absent, empty, or unintelligible. Relevant failures include generating fluent output over an input stream carrying no signal, over a truncated or empty document, or over a failed retrieval that returned nothing. Relevant testing may include silent or zero-signal audio, empty and truncated file inputs, failed tool calls returning no content, and degraded input introduced partway through a long session rather than at its start.</w:t>
      </w:r>
    </w:p>
    <w:p>
      <w:r>
        <w:rPr>
          <w:color w:val="777777"/>
          <w:sz w:val="16"/>
        </w:rPr>
        <w:t xml:space="preserve">p046 · att1 p.4  </w:t>
      </w:r>
      <w:r>
        <w:t>The engineering statement of it is simple: when the referent is missing, the output drops to zero and the failure is reported. A device that fills an absent input with generated content has produced a fabrication whose entire causal history is invisible in the text.</w:t>
      </w:r>
    </w:p>
    <w:p>
      <w:r>
        <w:rPr>
          <w:color w:val="777777"/>
          <w:sz w:val="16"/>
        </w:rPr>
        <w:t xml:space="preserve">p047 · att1 p.4  </w:t>
      </w:r>
      <w:r>
        <w:t>We note why this matters disproportionately for the populations we build for. A clinician receiving a fluent answer over a dead input has some chance of noticing it does not match the patient in front of them. A nonverbal user whose device speaks a sentence on their behalf over an input that never arrived has no such chance, and no way to retract it.</w:t>
      </w:r>
    </w:p>
    <w:p>
      <w:r>
        <w:rPr>
          <w:color w:val="777777"/>
          <w:sz w:val="16"/>
        </w:rPr>
        <w:t xml:space="preserve">p048 · att1 p.4  </w:t>
      </w:r>
      <w:r>
        <w:t>3. Elements we consider inappropriately categorized — 3.1 A.1 is scoped to agentic devices, but carries the only treatment of untrusted retrieved content</w:t>
      </w:r>
    </w:p>
    <w:p>
      <w:r>
        <w:rPr>
          <w:color w:val="777777"/>
          <w:sz w:val="16"/>
        </w:rPr>
        <w:t xml:space="preserve">p049 · att1 p.4  </w:t>
      </w:r>
      <w:r>
        <w:t>A.1 covers "resistance to prompt injection through user inputs, retrieved content, and tool outputs" and applies to agentic GenAI-enabled devices only.</w:t>
      </w:r>
    </w:p>
    <w:p>
      <w:r>
        <w:rPr>
          <w:color w:val="777777"/>
          <w:sz w:val="16"/>
        </w:rPr>
        <w:t xml:space="preserve">p050 · att1 p.4  </w:t>
      </w:r>
      <w:r>
        <w:t>A non-agentic device that performs retrieval also ingests text it did not author and cannot vouch for. The retrieved passage is untrusted input whether or not the device can then take an action on it. Confining that testing to agentic devices leaves a retrieval-augmented, non-agentic device with no element under which its handling of adversarial retrieved content is assessed.</w:t>
      </w:r>
    </w:p>
    <w:p>
      <w:r>
        <w:rPr>
          <w:color w:val="777777"/>
          <w:sz w:val="16"/>
        </w:rPr>
        <w:t xml:space="preserve">p051 · att1 p.4  </w:t>
      </w:r>
      <w:r>
        <w:t>We recommend the retrieved-content and tool-output portion of A.1 be moved to Safety alongside S.2, where scope adherence and adversarial prompting already sit, and that A.1 retain what is genuinely agentic — planning, sequencing, oversight checkpoints before irreversible actions, and graceful handling of tool failure.</w:t>
      </w:r>
    </w:p>
    <w:p>
      <w:r>
        <w:rPr>
          <w:color w:val="777777"/>
          <w:sz w:val="16"/>
        </w:rPr>
        <w:t xml:space="preserve">p052 · att1 p.4  </w:t>
      </w:r>
      <w:r>
        <w:t>3.2 E.4 treats automation bias as a communication property — E.4 names automation bias precisely: "a user accepts an output without appropriate scrutiny because of the device's fluency or perceived authority." We agree with the definition and question the placement. As written, the element measures the device's communication quality, which implies the mitigation is on the device's side of the interaction — clearer language, better-expressed uncertainty.</w:t>
      </w:r>
    </w:p>
    <w:p>
      <w:r>
        <w:rPr>
          <w:color w:val="777777"/>
          <w:sz w:val="16"/>
        </w:rPr>
        <w:t xml:space="preserve">p053 · att1 p.5  </w:t>
      </w:r>
      <w:r>
        <w:t>For a user who cannot scrutinize an output at all, no amount of communication quality reaches the failure. Scrutiny is not a thing that element can improve, because the capacity to perform it is absent. We recommend E.4 retain the communication measurement and that the automation-bias consideration additionally attach to Safety, where the mitigation is the device declining to produce the output in the first place rather than presenting it more carefully.</w:t>
      </w:r>
    </w:p>
    <w:p>
      <w:r>
        <w:rPr>
          <w:color w:val="777777"/>
          <w:sz w:val="16"/>
        </w:rPr>
        <w:t xml:space="preserve">p054 · att1 p.5  </w:t>
      </w:r>
      <w:r>
        <w:t>3.3 Nothing we would call redundant — We looked for it and did not find it. The overlap between S.3, E.1 and E.2 on uncertainty and deferral is real but it is not duplication — S.3 is about calibration, E.1 is about knowing the boundary of what was trained, E.2 is about sufficiency of the information in front of it. A device can pass any one and fail another.</w:t>
      </w:r>
    </w:p>
    <w:p>
      <w:r>
        <w:rPr>
          <w:color w:val="777777"/>
          <w:sz w:val="16"/>
        </w:rPr>
        <w:t xml:space="preserve">p055 · att1 p.5  </w:t>
      </w:r>
      <w:r>
        <w:t>4. Externally developed standards that could be leveraged — Responsive to the third part of Question 9.</w:t>
      </w:r>
    </w:p>
    <w:p>
      <w:r>
        <w:rPr>
          <w:color w:val="777777"/>
          <w:sz w:val="16"/>
        </w:rPr>
        <w:t xml:space="preserve">p056 · att1 p.5  </w:t>
      </w:r>
      <w:r>
        <w:t>The general point first. Every element in Appendix A is scored on evidence the device is a party to. Transcripts, outputs, and logs are the device's account of the encounter, or an account derived from it. Where the benchmark result is the basis for a premarket determination, a second record produced by the machine rather than by the device makes several elements checkable that are otherwise a matter of reading the output carefully.</w:t>
      </w:r>
    </w:p>
    <w:p>
      <w:r>
        <w:rPr>
          <w:color w:val="777777"/>
          <w:sz w:val="16"/>
        </w:rPr>
        <w:t xml:space="preserve">p057 · att1 p.5  </w:t>
      </w:r>
      <w:r>
        <w:t>The comparison is mechanical rather than interpretive. A device states it consulted a source. An independent access record shows whether that source was opened, and when. Three outcomes separate cleanly — the source was opened and is current, a dated copy was opened and its age is known, or nothing was opened. No analysis of the output text distinguishes these. An access record distinguishes them in one step.</w:t>
      </w:r>
    </w:p>
    <w:p>
      <w:r>
        <w:rPr>
          <w:color w:val="777777"/>
          <w:sz w:val="16"/>
        </w:rPr>
        <w:t xml:space="preserve">p058 · att1 p.5  </w:t>
      </w:r>
      <w:r>
        <w:t>We have published an instrument of this kind rather than described one.</w:t>
      </w:r>
    </w:p>
    <w:p>
      <w:r>
        <w:rPr>
          <w:color w:val="777777"/>
          <w:sz w:val="16"/>
        </w:rPr>
        <w:t xml:space="preserve">p059 · att1 p.5  </w:t>
      </w:r>
      <w:r>
        <w:t>HONESTY — open source under the Apache License 2.0 at github.com/The-ChristmanAI-Project/HONESTY, made public 2026-09-04.</w:t>
      </w:r>
    </w:p>
    <w:p>
      <w:r>
        <w:rPr>
          <w:color w:val="777777"/>
          <w:sz w:val="16"/>
        </w:rPr>
        <w:t xml:space="preserve">p060 · att1 p.5  </w:t>
      </w:r>
      <w:r>
        <w:t>It is two parts. The local component is a single Python program with no dependencies outside the standard library, serving on the loopback interface only. The second part is a viewer. Its README states its limits before a reader asks: it is not a kernel driver, not a network tap, and not a browser-tab inspector, and it names what it cannot observe.</w:t>
      </w:r>
    </w:p>
    <w:p>
      <w:r>
        <w:rPr>
          <w:color w:val="777777"/>
          <w:sz w:val="16"/>
        </w:rPr>
        <w:t xml:space="preserve">p061 · att1 p.5  </w:t>
      </w:r>
      <w:r>
        <w:t>It keeps two classes of evidence separate, and that separation is the part we would ask CDRH to look at.</w:t>
      </w:r>
    </w:p>
    <w:p>
      <w:r>
        <w:rPr>
          <w:color w:val="777777"/>
          <w:sz w:val="16"/>
        </w:rPr>
        <w:t xml:space="preserve">p062 · att1 p.5  </w:t>
      </w:r>
      <w:r>
        <w:t>The first is the process record. It reads the operating system process table — ps on macOS and Linux, tasklist on Windows — matches it against a catalogue of named AI systems, and keeps a timestamped ledger of what started and stopped. This establishes what is executing on that machine.</w:t>
      </w:r>
    </w:p>
    <w:p>
      <w:r>
        <w:rPr>
          <w:color w:val="777777"/>
          <w:sz w:val="16"/>
        </w:rPr>
        <w:t xml:space="preserve">p063 · att1 p.5  </w:t>
      </w:r>
      <w:r>
        <w:t>The second is the model record, which does not come from the process table at all. It names the model that is answering, the provider, the host it is reached at, the local client it is reached through, and — the field we want to draw attention to — where that model runs, distinguishing a model executing on the machine from one executing in a datacenter.</w:t>
      </w:r>
    </w:p>
    <w:p>
      <w:r>
        <w:rPr>
          <w:color w:val="777777"/>
          <w:sz w:val="16"/>
        </w:rPr>
        <w:t xml:space="preserve">p064 · att1 p.5  </w:t>
      </w:r>
      <w:r>
        <w:t>This matters because of a gap that is otherwise fatal to any standard built on local execution records. Where a device's inference runs remotely and only a client is present locally, the process table establishes that the client ran and that it communicated, not what answered it. A large share of clinical GenAI systems are of that shape. An audit that reports only the process table will report a local program and stop, and the model that produced the clinical output will not appear in the record at all.</w:t>
      </w:r>
    </w:p>
    <w:p>
      <w:r>
        <w:rPr>
          <w:color w:val="777777"/>
          <w:sz w:val="16"/>
        </w:rPr>
        <w:t xml:space="preserve">p065 · att1 p.6  </w:t>
      </w:r>
      <w:r>
        <w:t>The remedy does not require access to the remote system. It requires the record to carry two distinct facts rather than one: what is running here, and what is answering from elsewhere — the second identified from the connection and configuration rather than from the system's own description of itself. Those are different claims with different evidence behind them, and a record that merges them is reporting a local process as though it were the model.</w:t>
      </w:r>
    </w:p>
    <w:p>
      <w:r>
        <w:rPr>
          <w:color w:val="777777"/>
          <w:sz w:val="16"/>
        </w:rPr>
        <w:t xml:space="preserve">p066 · att1 p.6  </w:t>
      </w:r>
      <w:r>
        <w:t>We have run this on our own machine. The instrument reports a locally running client alongside a model marked as datacenter-resident, with the model named from the wire rather than from anything the assistant said about itself. The two facts are recorded separately, timestamped, and independently re-checkable by anyone with the same instrument.</w:t>
      </w:r>
    </w:p>
    <w:p>
      <w:r>
        <w:rPr>
          <w:color w:val="777777"/>
          <w:sz w:val="16"/>
        </w:rPr>
        <w:t xml:space="preserve">p067 · att1 p.6  </w:t>
      </w:r>
      <w:r>
        <w:t>We recommend that any locality claim in a device record be a stated field rather than an inference. "The model runs on the device" and "the device reaches a model" are different regulatory situations, and today nothing in the element set requires a submission to say which one applies.</w:t>
      </w:r>
    </w:p>
    <w:p>
      <w:r>
        <w:rPr>
          <w:color w:val="777777"/>
          <w:sz w:val="16"/>
        </w:rPr>
        <w:t xml:space="preserve">p068 · att1 p.6  </w:t>
      </w:r>
      <w:r>
        <w:t>We note the asymmetry deliberately. HONESTY was built to observe the commercial systems we use as tools in our own work. It is not instrumentation for our own products, and we are not offering it as evidence that our systems are honest. We offer it as a method a reviewer may apply to any device, ours included, and we would rather see the method adopted with someone else's implementation than see it not adopted.</w:t>
      </w:r>
    </w:p>
    <w:p>
      <w:r>
        <w:rPr>
          <w:color w:val="777777"/>
          <w:sz w:val="16"/>
        </w:rPr>
        <w:t xml:space="preserve">p069 · att1 p.6  </w:t>
      </w:r>
      <w:r>
        <w:t>4.1 A second instrument — per-record forensic packaging — The records described in Section 2.1 were produced by a separate local instrument that packages a processed recording into a self-verifying evidence bag. Each bag contains:</w:t>
      </w:r>
    </w:p>
    <w:p>
      <w:r>
        <w:rPr>
          <w:color w:val="777777"/>
          <w:sz w:val="16"/>
        </w:rPr>
        <w:t xml:space="preserve">p070 · att1 p.6  </w:t>
      </w:r>
      <w:r>
        <w:t>• the preserved original bytes of the source, unmodified;</w:t>
      </w:r>
    </w:p>
    <w:p>
      <w:r>
        <w:rPr>
          <w:color w:val="777777"/>
          <w:sz w:val="16"/>
        </w:rPr>
        <w:t xml:space="preserve">p071 · att1 p.6  </w:t>
      </w:r>
      <w:r>
        <w:t>• the derived audio artifacts;</w:t>
      </w:r>
    </w:p>
    <w:p>
      <w:r>
        <w:rPr>
          <w:color w:val="777777"/>
          <w:sz w:val="16"/>
        </w:rPr>
        <w:t xml:space="preserve">p072 · att1 p.6  </w:t>
      </w:r>
      <w:r>
        <w:t>• dual NIST FIPS 180-4 digests — SHA-256 and SHA-512 — over every artifact;</w:t>
      </w:r>
    </w:p>
    <w:p>
      <w:r>
        <w:rPr>
          <w:color w:val="777777"/>
          <w:sz w:val="16"/>
        </w:rPr>
        <w:t xml:space="preserve">p073 · att1 p.6  </w:t>
      </w:r>
      <w:r>
        <w:t>• a machine-readable packet carrying the measured speech and silence spans, audio/video drift to the microsecond, frame counts and frame-rate mode;</w:t>
      </w:r>
    </w:p>
    <w:p>
      <w:r>
        <w:rPr>
          <w:color w:val="777777"/>
          <w:sz w:val="16"/>
        </w:rPr>
        <w:t xml:space="preserve">p074 · att1 p.6  </w:t>
      </w:r>
      <w:r>
        <w:t>• the transcript, segment by segment, each segment carrying a provenance block naming the component that produced it and whether the material left the machine;</w:t>
      </w:r>
    </w:p>
    <w:p>
      <w:r>
        <w:rPr>
          <w:color w:val="777777"/>
          <w:sz w:val="16"/>
        </w:rPr>
        <w:t xml:space="preserve">p075 · att1 p.6  </w:t>
      </w:r>
      <w:r>
        <w:t>• and an independent verification procedure printed in the manifest, with the standard tool invocations and the instruction that a digest mismatch means the bag is broken.</w:t>
      </w:r>
    </w:p>
    <w:p>
      <w:r>
        <w:rPr>
          <w:color w:val="777777"/>
          <w:sz w:val="16"/>
        </w:rPr>
        <w:t xml:space="preserve">p076 · att1 p.6  </w:t>
      </w:r>
      <w:r>
        <w:t>We raise it here for one reason relevant to Question 9. The provenance block answers a question no element in Appendix A currently asks: for this specific output segment, which component produced it, and did it leave the device? Elements S.3, E.1 and E.2 ask whether a device represents its own limits accurately, which is a property of the text. Provenance is a property of the record, and it is checkable without reading the text at all.</w:t>
      </w:r>
    </w:p>
    <w:p>
      <w:r>
        <w:rPr>
          <w:color w:val="777777"/>
          <w:sz w:val="16"/>
        </w:rPr>
        <w:t xml:space="preserve">p077 · att1 p.6  </w:t>
      </w:r>
      <w:r>
        <w:t>For a device whose inference is remote — which, as noted above, is a large share of clinical GenAI systems — a per-output statement of where the output came from is the difference between an audit that can be performed and one that cannot.</w:t>
      </w:r>
    </w:p>
    <w:p>
      <w:r>
        <w:rPr>
          <w:color w:val="777777"/>
          <w:sz w:val="16"/>
        </w:rPr>
        <w:t xml:space="preserve">p078 · att1 p.7  </w:t>
      </w:r>
      <w:r>
        <w:t>The word-ear component used in these records is published at github.com/EverettNC/PORCH.</w:t>
      </w:r>
    </w:p>
    <w:p>
      <w:r>
        <w:rPr>
          <w:color w:val="777777"/>
          <w:sz w:val="16"/>
        </w:rPr>
        <w:t xml:space="preserve">p079 · att1 p.7  </w:t>
      </w:r>
      <w:r>
        <w:t>4.2 A third record — what the person was actually shown — The two records above establish what executed and what answered. Neither establishes what the human was actually shown, and in a clinical setting that is the operative fact.</w:t>
      </w:r>
    </w:p>
    <w:p>
      <w:r>
        <w:rPr>
          <w:color w:val="777777"/>
          <w:sz w:val="16"/>
        </w:rPr>
        <w:t xml:space="preserve">p080 · att1 p.7  </w:t>
      </w:r>
      <w:r>
        <w:t>A device's log, its transcript, and its own account of a session are all downstream of the same system. The output a clinician or patient relied on is what appeared on the screen in front of them. Nothing in the element set requires that to be captured independently, and every postmarket investigation that begins with "the device told the patient X" has to establish X from evidence the device produced.</w:t>
      </w:r>
    </w:p>
    <w:p>
      <w:r>
        <w:rPr>
          <w:color w:val="777777"/>
          <w:sz w:val="16"/>
        </w:rPr>
        <w:t xml:space="preserve">p081 · att1 p.7  </w:t>
      </w:r>
      <w:r>
        <w:t>We have run this. A fifty-nine minute session recording, processed 2026-09-08, produced in a single sealed bag:</w:t>
      </w:r>
    </w:p>
    <w:p>
      <w:r>
        <w:rPr>
          <w:color w:val="777777"/>
          <w:sz w:val="16"/>
        </w:rPr>
        <w:t xml:space="preserve">p082 · att1 p.7  </w:t>
      </w:r>
      <w:r>
        <w:t>• the preserved original bytes and dual FIPS 180-4 digests over every artifact;</w:t>
      </w:r>
    </w:p>
    <w:p>
      <w:r>
        <w:rPr>
          <w:color w:val="777777"/>
          <w:sz w:val="16"/>
        </w:rPr>
        <w:t xml:space="preserve">p083 · att1 p.7  </w:t>
      </w:r>
      <w:r>
        <w:t>• 720 frame captures at a fixed 4.92-second interval, each passed through optical character recognition — a text record of what was on the screen, taken from the pixels rather than from any application's own log;</w:t>
      </w:r>
    </w:p>
    <w:p>
      <w:r>
        <w:rPr>
          <w:color w:val="777777"/>
          <w:sz w:val="16"/>
        </w:rPr>
        <w:t xml:space="preserve">p084 · att1 p.7  </w:t>
      </w:r>
      <w:r>
        <w:t>• a transcript of what was said aloud during the same session, in sixty-second windows across the full duration;</w:t>
      </w:r>
    </w:p>
    <w:p>
      <w:r>
        <w:rPr>
          <w:color w:val="777777"/>
          <w:sz w:val="16"/>
        </w:rPr>
        <w:t xml:space="preserve">p085 · att1 p.7  </w:t>
      </w:r>
      <w:r>
        <w:t>• audio/video drift measured to the microsecond — duration drift, start skew, and frame-count drift against the declared frame rate, with the frame-rate mode recorded as variable.</w:t>
      </w:r>
    </w:p>
    <w:p>
      <w:r>
        <w:rPr>
          <w:color w:val="777777"/>
          <w:sz w:val="16"/>
        </w:rPr>
        <w:t xml:space="preserve">p086 · att1 p.7  </w:t>
      </w:r>
      <w:r>
        <w:t>The two text records share one timeline, so they can be laid against each other. Where what a system displayed and what was said in the room diverge, the divergence is measurable without either party's testimony.</w:t>
      </w:r>
    </w:p>
    <w:p>
      <w:r>
        <w:rPr>
          <w:color w:val="777777"/>
          <w:sz w:val="16"/>
        </w:rPr>
        <w:t xml:space="preserve">p087 · att1 p.7  </w:t>
      </w:r>
      <w:r>
        <w:t>That is the sequence a postmarket investigation actually follows. A report arrives that a device said something wrong. The evidence offered is the device's log. If that log is the device's own account of itself, the investigation is asking the subject what happened. A record taken from the pixels is not the subject's account.</w:t>
      </w:r>
    </w:p>
    <w:p>
      <w:r>
        <w:rPr>
          <w:color w:val="777777"/>
          <w:sz w:val="16"/>
        </w:rPr>
        <w:t xml:space="preserve">p088 · att1 p.7  </w:t>
      </w:r>
      <w:r>
        <w:t>We recommend that where an adverse event turns on what a GenAI-enabled device told a person, the display be treated as capturable evidence rather than assumed unavailable. It is capturable today, on ordinary hardware, with no proprietary component, and we hold a hash-sealed instance of it.</w:t>
      </w:r>
    </w:p>
    <w:p>
      <w:r>
        <w:rPr>
          <w:color w:val="777777"/>
          <w:sz w:val="16"/>
        </w:rPr>
        <w:t xml:space="preserve">p089 · att1 p.7  </w:t>
      </w:r>
      <w:r>
        <w:t>We note what this record does not do. It does not establish that the displayed text was correct, and it does not interpret. It establishes what was on the screen, when, and that the bytes have not changed since. Every judgment after that belongs to a reviewer.</w:t>
      </w:r>
    </w:p>
    <w:p>
      <w:r>
        <w:rPr>
          <w:color w:val="777777"/>
          <w:sz w:val="16"/>
        </w:rPr>
        <w:t xml:space="preserve">p090 · att1 p.7  </w:t>
      </w:r>
      <w:r>
        <w:t>We make no claim that either instrument is sufficient, and we are not proposing either as a standard. We are answering the question as asked: these are externally developed, permissively licensed, inspectable implementations of independent execution recording and of self-verifying forensic packaging, and they exist today.</w:t>
      </w:r>
    </w:p>
    <w:p>
      <w:r>
        <w:rPr>
          <w:color w:val="777777"/>
          <w:sz w:val="16"/>
        </w:rPr>
        <w:t xml:space="preserve">p091 · att1 p.7  </w:t>
      </w:r>
      <w:r>
        <w:t>5. What we are recommending, stated plainly — 1. Retain the element set. We propose no removals.</w:t>
      </w:r>
    </w:p>
    <w:p>
      <w:r>
        <w:rPr>
          <w:color w:val="777777"/>
          <w:sz w:val="16"/>
        </w:rPr>
        <w:t xml:space="preserve">p092 · att1 p.8  </w:t>
      </w:r>
      <w:r>
        <w:t>2. Specify sampling position within a session wherever an element is scored, and include observations drawn late in long sessions.</w:t>
      </w:r>
    </w:p>
    <w:p>
      <w:r>
        <w:rPr>
          <w:color w:val="777777"/>
          <w:sz w:val="16"/>
        </w:rPr>
        <w:t xml:space="preserve">p093 · att1 p.8  </w:t>
      </w:r>
      <w:r>
        <w:t>3. Report trajectory across an encounter, not only the aggregate — specifically whether fluency and accuracy move together or apart.</w:t>
      </w:r>
    </w:p>
    <w:p>
      <w:r>
        <w:rPr>
          <w:color w:val="777777"/>
          <w:sz w:val="16"/>
        </w:rPr>
        <w:t xml:space="preserve">p094 · att1 p.8  </w:t>
      </w:r>
      <w:r>
        <w:t>4. Add an input-integrity element under Safety covering detection of absent, empty, or unintelligible input, and the requirement that output drop to zero and the failure be reported rather than filled.</w:t>
      </w:r>
    </w:p>
    <w:p>
      <w:r>
        <w:rPr>
          <w:color w:val="777777"/>
          <w:sz w:val="16"/>
        </w:rPr>
        <w:t xml:space="preserve">p095 · att1 p.8  </w:t>
      </w:r>
      <w:r>
        <w:t>5. Move the retrieved-content and tool-output portion of A.1 to Safety, so that retrieval-augmented non-agentic devices are covered.</w:t>
      </w:r>
    </w:p>
    <w:p>
      <w:r>
        <w:rPr>
          <w:color w:val="777777"/>
          <w:sz w:val="16"/>
        </w:rPr>
        <w:t xml:space="preserve">p096 · att1 p.8  </w:t>
      </w:r>
      <w:r>
        <w:t>6. Attach the automation-bias consideration to Safety in addition to E.4, so the mitigation is available where communication quality cannot reach the user.</w:t>
      </w:r>
    </w:p>
    <w:p>
      <w:r>
        <w:rPr>
          <w:color w:val="777777"/>
          <w:sz w:val="16"/>
        </w:rPr>
        <w:t xml:space="preserve">p097 · att1 p.8  </w:t>
      </w:r>
      <w:r>
        <w:t>7. Where a benchmark result supports a premarket determination, allow a record independent of the device to be part of the evidence — and require that record to keep the local process fact and the answering-model fact separate, with the model's execution locality stated as a field rather than left to inference.</w:t>
      </w:r>
    </w:p>
    <w:p>
      <w:r>
        <w:rPr>
          <w:color w:val="777777"/>
          <w:sz w:val="16"/>
        </w:rPr>
        <w:t xml:space="preserve">p098 · att1 p.8  </w:t>
      </w:r>
      <w:r>
        <w:t>8. Consider per-output provenance as a competency in its own right — a statement, attached to the output rather than contained in it, of which component produced it and whether it left the device.</w:t>
      </w:r>
    </w:p>
    <w:p>
      <w:r>
        <w:rPr>
          <w:color w:val="777777"/>
          <w:sz w:val="16"/>
        </w:rPr>
        <w:t xml:space="preserve">p099 · att1 p.8  </w:t>
      </w:r>
      <w:r>
        <w:t>9. Treat the display as capturable evidence where an adverse event turns on what the device told a person, rather than accepting the device's own log as the only account of its output.</w:t>
      </w:r>
    </w:p>
    <w:p>
      <w:r>
        <w:rPr>
          <w:color w:val="777777"/>
          <w:sz w:val="16"/>
        </w:rPr>
        <w:t xml:space="preserve">p100 · att1 p.8  </w:t>
      </w:r>
      <w:r>
        <w:t>6. Scope, and what we are not claiming — The measurements above were made on commercial AI assistants used as tools in our own work. None is a regulated medical device and none of these was a controlled evaluation. We offer no error rate, no frequency claim, and no generalization about any product or developer.</w:t>
      </w:r>
    </w:p>
    <w:p>
      <w:r>
        <w:rPr>
          <w:color w:val="777777"/>
          <w:sz w:val="16"/>
        </w:rPr>
        <w:t xml:space="preserve">p101 · att1 p.8  </w:t>
      </w:r>
      <w:r>
        <w:t>Four observation periods establish that these failure modes occur and can be measured. They establish nothing about how often.</w:t>
      </w:r>
    </w:p>
    <w:p>
      <w:r>
        <w:rPr>
          <w:color w:val="777777"/>
          <w:sz w:val="16"/>
        </w:rPr>
        <w:t xml:space="preserve">p102 · att1 p.8  </w:t>
      </w:r>
      <w:r>
        <w:t>The four evidence bags described in Sections 2.1 and 4.1 were produced by our own instrument on a single six-second source recording, by one operator, on one machine. They demonstrate that the behavior is implementable and that a failing component can be made to say so. They are not a performance claim, not a benchmark result, and not evidence about any product other than the one that produced them. We offer them as an existence proof and as records a reviewer can verify independently, nothing further.</w:t>
      </w:r>
    </w:p>
    <w:p>
      <w:r>
        <w:rPr>
          <w:color w:val="777777"/>
          <w:sz w:val="16"/>
        </w:rPr>
        <w:t xml:space="preserve">p103 · att1 p.8  </w:t>
      </w:r>
      <w:r>
        <w:t>The same applies to the session record in Section 4.2. It is one tape, one operator, one machine. It demonstrates that a display record and a spoken record can be captured on a shared timeline and sealed together. It is not offered as evidence about the behavior of any system appearing in it, and we make no claim about the accuracy of anything it captured.</w:t>
      </w:r>
    </w:p>
    <w:p>
      <w:r>
        <w:rPr>
          <w:color w:val="777777"/>
          <w:sz w:val="16"/>
        </w:rPr>
        <w:t xml:space="preserve">p104 · att1 p.8  </w:t>
      </w:r>
      <w:r>
        <w:t>We distinguish between what we have verified and what we have designed. The instrument in Section 4 is published and its behavior can be confirmed by reading and running it; we have described its storage as a timestamped ledger rather than claiming properties the code does not implement. The recommendations in Sections 1 through 5 are our position, offered as policy argument and not as measurement.</w:t>
      </w:r>
    </w:p>
    <w:p>
      <w:r>
        <w:rPr>
          <w:color w:val="777777"/>
          <w:sz w:val="16"/>
        </w:rPr>
        <w:t xml:space="preserve">p105 · att1 p.9  </w:t>
      </w:r>
      <w:r>
        <w:t>We make no claim about intent on the part of any developer, and we recommend against any standard that turns on candour or intent, because such a standard is unfalsifiable and will be argued rather than measured. Every element and condition proposed above is observable without resolving why an output occurred.</w:t>
      </w:r>
    </w:p>
    <w:p>
      <w:r>
        <w:rPr>
          <w:color w:val="777777"/>
          <w:sz w:val="16"/>
        </w:rPr>
        <w:t xml:space="preserve">p106 · att1 p.9  </w:t>
      </w:r>
      <w:r>
        <w:t>7. Evidence retained — Retained and available to CDRH on request: three source recordings of 2026-09-03 with extracted PCM audio, word-level transcripts, frame captures and the full window-level measurement record with parameters; SHA-256 digests of the unaltered recordings computed at archiving; the eleven minute twenty-four second session recording of 2026-09-04 with audio, machine transcript and the signal measurement used to validate that transcript; session transcripts and tool output for 2026-09-02 and 2026-09-03; and the complete contents of the persistent store as read on 2026-09-03.</w:t>
      </w:r>
    </w:p>
    <w:p>
      <w:r>
        <w:rPr>
          <w:color w:val="777777"/>
          <w:sz w:val="16"/>
        </w:rPr>
        <w:t xml:space="preserve">p107 · att1 p.9  </w:t>
      </w:r>
      <w:r>
        <w:t>Also retained: the four forensic evidence bags of 2026-09-07 and 2026-09-08 referenced in Sections 2.1 and 4.1, each containing preserved original bytes, derived audio, SHA-256 and SHA-512 digests over every artifact, the machine-readable measurement packet, and the manifest with its independent verification procedure. Job identifiers, digests and timestamps are recorded in the bags themselves and are reproducible from the preserved originals.</w:t>
      </w:r>
    </w:p>
    <w:p>
      <w:r>
        <w:rPr>
          <w:color w:val="777777"/>
          <w:sz w:val="16"/>
        </w:rPr>
        <w:t xml:space="preserve">p108 · att1 p.9  </w:t>
      </w:r>
      <w:r>
        <w:t>The instruments described in Section 4 require no request. They are public, licensed, and inspectable.</w:t>
      </w:r>
    </w:p>
    <w:p>
      <w:r>
        <w:rPr>
          <w:color w:val="777777"/>
          <w:sz w:val="16"/>
        </w:rPr>
        <w:t xml:space="preserve">p109 · att1 p.9  </w:t>
      </w:r>
      <w:r>
        <w:t>8.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p110 · att1 p.9  </w:t>
      </w:r>
      <w:r>
        <w:t>We file on Question 9 because benchmarking is where a device's competence is established before anyone is depending on it, and because the single failure we have measured most often — a fluent, confident output produced over an input that was not there — is the one the current element set cannot see. It cannot see it because every element is looking at the answer, and the answer looks fine.</w:t>
      </w:r>
    </w:p>
    <w:p>
      <w:r>
        <w:rPr>
          <w:color w:val="777777"/>
          <w:sz w:val="16"/>
        </w:rPr>
        <w:t xml:space="preserve">p111 · att1 p.9  </w:t>
      </w:r>
      <w:r>
        <w:t>For most users there is a second line of defense: a person who notices the answer does not match the world and says so. The users we build for are the ones who cannot. For them, the benchmark is not the first line of defense. It is the only one.</w:t>
      </w:r>
    </w:p>
    <w:p>
      <w:r>
        <w:rPr>
          <w:color w:val="777777"/>
          <w:sz w:val="16"/>
        </w:rPr>
        <w:t xml:space="preserve">p112 · att1 p.9  </w:t>
      </w:r>
      <w:r>
        <w:t>Measurements and session records dated 2026-09-02 to 2026-09-04.</w:t>
      </w:r>
    </w:p>
    <w:p>
      <w:r>
        <w:rPr>
          <w:color w:val="777777"/>
          <w:sz w:val="16"/>
        </w:rPr>
        <w:t xml:space="preserve">p113 · att1 p.9  </w:t>
      </w:r>
      <w:r>
        <w:t>Submitted to Docket FDA-2026-N-7874, comment period closing 2026-10-19.</w:t>
      </w:r>
    </w:p>
    <w:p>
      <w:r>
        <w:rPr>
          <w:color w:val="777777"/>
          <w:sz w:val="16"/>
        </w:rPr>
        <w:t xml:space="preserve">p114 · att1 p.9  </w:t>
      </w:r>
      <w:r>
        <w:t>Contact: contact@thechristmanaiproject.com — /s/ Everett N. Christman Founder and Chief Executive Officer The Christman AI Project and Robotics Division September 8, 2026</w:t>
      </w:r>
    </w:p>
    <w:p>
      <w:pPr>
        <w:pStyle w:val="Heading1"/>
        <w:pageBreakBefore/>
      </w:pPr>
      <w:r>
        <w:t>FDA-2026-N-7874-0079</w:t>
      </w:r>
    </w:p>
    <w:p>
      <w:r>
        <w:t>Comment from The Christman AI Project &amp; Robotics Division</w:t>
      </w:r>
    </w:p>
    <w:p>
      <w:r>
        <w:rPr>
          <w:color w:val="777777"/>
          <w:sz w:val="18"/>
        </w:rPr>
        <w:t>Device Industry - C0012 · received 2026-09-08 · attachments: attachment_1.pdf (7 pp)</w:t>
      </w:r>
    </w:p>
    <w:p>
      <w:r>
        <w:rPr>
          <w:color w:val="777777"/>
          <w:sz w:val="16"/>
        </w:rPr>
        <w:t xml:space="preserve">p001 · body  </w:t>
      </w:r>
      <w:r>
        <w:t>Comment on Docket No. FDA-2026-N-7874-Q25 — Considerations for the Regulation of Generative AI-Enabled Medical Devices: Discussion Paper and Request for Feedback</w:t>
      </w:r>
    </w:p>
    <w:p>
      <w:r>
        <w:rPr>
          <w:color w:val="777777"/>
          <w:sz w:val="16"/>
        </w:rPr>
        <w:t xml:space="preserve">p002 · body  </w:t>
      </w:r>
      <w:r>
        <w:t>Comment on Question 25 (Section VII): whether voluntary Foundation Model Master Files would be practical to keep current, what they should contain, and whether alternative mechanisms exist.</w:t>
      </w:r>
    </w:p>
    <w:p>
      <w:r>
        <w:rPr>
          <w:color w:val="777777"/>
          <w:sz w:val="16"/>
        </w:rPr>
        <w:t xml:space="preserve">p003 · body  </w:t>
      </w:r>
      <w:r>
        <w:t>Submitted by Everett N. Christman, Founder and Chief Executive Officer, The Christman AI Project and Robotics Division.</w:t>
      </w:r>
    </w:p>
    <w:p>
      <w:r>
        <w:rPr>
          <w:color w:val="777777"/>
          <w:sz w:val="16"/>
        </w:rPr>
        <w:t xml:space="preserve">p004 · body  </w:t>
      </w:r>
      <w:r>
        <w:t>We support the master file concept and do not think it can carry the weight the question hopes for.</w:t>
      </w:r>
    </w:p>
    <w:p>
      <w:r>
        <w:rPr>
          <w:color w:val="777777"/>
          <w:sz w:val="16"/>
        </w:rPr>
        <w:t xml:space="preserve">p005 · body  </w:t>
      </w:r>
      <w:r>
        <w:t>The binding constraint is currency, not candour. On one ordinary workday we measured the model answering a widely used hosted assistant being exchanged 153 times in fourteen hours, a median of 41 seconds at a time, holding the session for 16.3 percent of the observed day, with nothing in the interface disclosing any of it. A document cannot be kept current against a quantity that changes every few minutes. A fully cooperative, entirely honest developer filing in good faith would produce a master file that was stale before it was read.</w:t>
      </w:r>
    </w:p>
    <w:p>
      <w:r>
        <w:rPr>
          <w:color w:val="777777"/>
          <w:sz w:val="16"/>
        </w:rPr>
        <w:t xml:space="preserve">p006 · body  </w:t>
      </w:r>
      <w:r>
        <w:t>A second, unrelated provider showed the same class of behavior on the same machine on the same day in a different rhythm, so this is a property of hosted delivery rather than the practice of one company. We name neither. Five locally resident systems on the same machine produced no substitution events at all.</w:t>
      </w:r>
    </w:p>
    <w:p>
      <w:r>
        <w:rPr>
          <w:color w:val="777777"/>
          <w:sz w:val="16"/>
        </w:rPr>
        <w:t xml:space="preserve">p007 · body  </w:t>
      </w:r>
      <w:r>
        <w:t>The most important field in any master file is the one most likely to be omitted: where the model executes. We measured a model registered inside a local runtime, reachable at the loopback address of our own machine, that was in fact answering from a datacenter.</w:t>
      </w:r>
    </w:p>
    <w:p>
      <w:r>
        <w:rPr>
          <w:color w:val="777777"/>
          <w:sz w:val="16"/>
        </w:rPr>
        <w:t xml:space="preserve">p008 · body  </w:t>
      </w:r>
      <w:r>
        <w:t>We propose two alternative mechanisms. First, a record produced on the user's side of the connection, requiring no credentials and no cooperation from any developer; we have published such an instrument under the Apache License 2.0 rather than describing one. Second, a device-held lineage record — model lineage, serving version, intended purpose and refusal conditions — reportable by the device alongside its output, which survives the failure of any external registry.</w:t>
      </w:r>
    </w:p>
    <w:p>
      <w:r>
        <w:rPr>
          <w:color w:val="777777"/>
          <w:sz w:val="16"/>
        </w:rPr>
        <w:t xml:space="preserve">p009 · body  </w:t>
      </w:r>
      <w:r>
        <w:t>We state our limits. One workstation, one day, two providers. No error rate, no frequency claim, no generalization about any product. We make no claim about intent, and we recommend against any standard that turns on intent, because such a standard cannot be falsified and will be argued rather than measured.</w:t>
      </w:r>
    </w:p>
    <w:p>
      <w:r>
        <w:rPr>
          <w:color w:val="777777"/>
          <w:sz w:val="16"/>
        </w:rPr>
        <w:t xml:space="preserve">p010 · body  </w:t>
      </w:r>
      <w:r>
        <w:t>Full comment attached (7 pages).</w:t>
      </w:r>
    </w:p>
    <w:p>
      <w:r>
        <w:rPr>
          <w:color w:val="777777"/>
          <w:sz w:val="16"/>
        </w:rPr>
        <w:t xml:space="preserve">p011 · body  </w:t>
      </w:r>
      <w:r>
        <w:t>Contact: contact@thechristmanaiproject.com</w:t>
      </w:r>
    </w:p>
    <w:p>
      <w:r>
        <w:rPr>
          <w:color w:val="777777"/>
          <w:sz w:val="16"/>
        </w:rPr>
        <w:t xml:space="preserve">p012 · att1 p.1  </w:t>
      </w:r>
      <w:r>
        <w:t>FDA-2026-N-7874 — Q25 — Comment on Docket No. FDA-2026-N-7874 · Considerations for the Regulation of Generative AI-Enabled Medical Devices: Discussion Paper and Request for Feedback</w:t>
      </w:r>
    </w:p>
    <w:p>
      <w:r>
        <w:rPr>
          <w:color w:val="777777"/>
          <w:sz w:val="16"/>
        </w:rPr>
        <w:t xml:space="preserve">p013 · att1 p.1  </w:t>
      </w:r>
      <w:r>
        <w:t>QUESTION ADDRESSED — Question 25 (Section VII): whether voluntary Foundation Model Master Files would be practical to provide and keep current, what content they might include, what would make such a program sufficiently useful for premarket review given voluntary participation and limited disclosure incentive, and whether there are alternative mechanisms for obtaining information about underlying foundation models</w:t>
      </w:r>
    </w:p>
    <w:p>
      <w:r>
        <w:rPr>
          <w:color w:val="777777"/>
          <w:sz w:val="16"/>
        </w:rPr>
        <w:t xml:space="preserve">p014 · att1 p.1  </w:t>
      </w:r>
      <w:r>
        <w:t>SUBMITTED BY Everett N. Christman, Founder and Chief Executive Officer — ORGANIZATION The Christman AI Project and Robotics Division</w:t>
      </w:r>
    </w:p>
    <w:p>
      <w:r>
        <w:rPr>
          <w:color w:val="777777"/>
          <w:sz w:val="16"/>
        </w:rPr>
        <w:t xml:space="preserve">p015 · att1 p.1  </w:t>
      </w:r>
      <w:r>
        <w:t>BASIS OF COMMENT A fourteen-hour instrumented observation of model substitution across two independently operated hosted assistants on a single workstation, 2026-09-08, from an append-only on-disk ledger; four forensic evidence bags of 2026-09-07 and 2026-09-08 with dual NIST FIPS 180-4 hashes and preserved original bytes; published open-source instruments, cited below; and design experience building assistive communication systems for users who cannot self-report.</w:t>
      </w:r>
    </w:p>
    <w:p>
      <w:r>
        <w:rPr>
          <w:color w:val="777777"/>
          <w:sz w:val="16"/>
        </w:rPr>
        <w:t xml:space="preserve">p016 · att1 p.1  </w:t>
      </w:r>
      <w:r>
        <w:t>The question as posed — CDRH asks whether voluntary Foundation Model Master Files would be practical for foundation model developers to provide and to keep current, and what content they might include. It asks what would make such a program sufficiently useful for premarket review, given that participation would be voluntary and that model developers may have limited incentive to disclose safety-relevant information. And it asks whether there are alternative mechanisms CDRH should consider for obtaining information about underlying foundation models.</w:t>
      </w:r>
    </w:p>
    <w:p>
      <w:r>
        <w:rPr>
          <w:color w:val="777777"/>
          <w:sz w:val="16"/>
        </w:rPr>
        <w:t xml:space="preserve">p017 · att1 p.1  </w:t>
      </w:r>
      <w:r>
        <w:t>Summary of position — We support the master file concept and we do not think it can carry the weight the question hopes for. Our comment has four parts, and the first is a measurement rather than an opinion.</w:t>
      </w:r>
    </w:p>
    <w:p>
      <w:r>
        <w:rPr>
          <w:color w:val="777777"/>
          <w:sz w:val="16"/>
        </w:rPr>
        <w:t xml:space="preserve">p018 · att1 p.1  </w:t>
      </w:r>
      <w:r>
        <w:t>• The binding constraint is currency, not candour. The question anticipates that developers may be unwilling to disclose. We measured something more basic: on one ordinary workday, the model answering a widely used hosted assistant was exchanged 153 times in fourteen hours — a median of 41 seconds at a time. A document cannot be kept current against a quantity that changes every few minutes. A fully cooperative, entirely honest developer filing in good faith would produce a master file that was stale before it was read.</w:t>
      </w:r>
    </w:p>
    <w:p>
      <w:r>
        <w:rPr>
          <w:color w:val="777777"/>
          <w:sz w:val="16"/>
        </w:rPr>
        <w:t xml:space="preserve">p019 · att1 p.1  </w:t>
      </w:r>
      <w:r>
        <w:t>• A second, unrelated provider showed the same class of behavior on the same machine on the same day, in a different rhythm. This is a property of hosted delivery, not the practice of one company, and a master file program has to be designed for it rather than around it.</w:t>
      </w:r>
    </w:p>
    <w:p>
      <w:r>
        <w:rPr>
          <w:color w:val="777777"/>
          <w:sz w:val="16"/>
        </w:rPr>
        <w:t xml:space="preserve">p020 · att1 p.1  </w:t>
      </w:r>
      <w:r>
        <w:t>• The most important field in any master file is the one most likely to be omitted: where the model executes. "The model runs on the device" and "the device reaches a model" are different regulatory situations with different evidence behind them. We measured a model registered inside a local runtime, reachable at the loopback address of our own machine, that was in fact answering from a datacenter.</w:t>
      </w:r>
    </w:p>
    <w:p>
      <w:r>
        <w:rPr>
          <w:color w:val="777777"/>
          <w:sz w:val="16"/>
        </w:rPr>
        <w:t xml:space="preserve">p021 · att1 p.2  </w:t>
      </w:r>
      <w:r>
        <w:t>• There is an alternative mechanism and it does not require the developer's participation at all. A record produced on the user's side of the connection can establish which model answered and where it ran, timestamped, append-only, with no credentials and no cooperation. We have published such an instrument under a permissive license rather than proposing one. We also recommend a second mechanism that puts the burden on the device rather than on a registry.</w:t>
      </w:r>
    </w:p>
    <w:p>
      <w:r>
        <w:rPr>
          <w:color w:val="777777"/>
          <w:sz w:val="16"/>
        </w:rPr>
        <w:t xml:space="preserve">p022 · att1 p.2  </w:t>
      </w:r>
      <w:r>
        <w:t>1. What we measured, and why it decides the question — On 2026-09-08 an observation tool running on a single desktop workstation kept an append-only ledger of which models were answering on that machine. The figures below are computed directly from that file. All times are UTC.</w:t>
      </w:r>
    </w:p>
    <w:p>
      <w:r>
        <w:rPr>
          <w:color w:val="777777"/>
          <w:sz w:val="16"/>
        </w:rPr>
        <w:t xml:space="preserve">p023 · att1 p.2  </w:t>
      </w:r>
      <w:r>
        <w:t>1.1 The first hosted assistant — Across fourteen hours and sixteen minutes — 04:59:30 to 19:15:39 — the ledger recorded 307 model-layer events: 154 substitutions and 153 displacements. These resolve into 153 complete cycles in which the assistant's named live model was displaced by a chat model operating from a remote datacenter and then reinstated. That is 10.7 substitutions per hour.</w:t>
      </w:r>
    </w:p>
    <w:p>
      <w:r>
        <w:rPr>
          <w:color w:val="777777"/>
          <w:sz w:val="16"/>
        </w:rPr>
        <w:t xml:space="preserve">p024 · att1 p.2  </w:t>
      </w:r>
      <w:r>
        <w:t>The substituted model held the session for a median of 41 seconds, with the middle half of cycles between 33 seconds and 1 minute 6 seconds, and a full range of 25 seconds to 4 minutes 9 seconds. 141 of the 153 cycles lasted under two minutes. In total the substituted model held the session for 139.9 minutes — 16.3 percent of the observed day.</w:t>
      </w:r>
    </w:p>
    <w:p>
      <w:r>
        <w:rPr>
          <w:color w:val="777777"/>
          <w:sz w:val="16"/>
        </w:rPr>
        <w:t xml:space="preserve">p025 · att1 p.2  </w:t>
      </w:r>
      <w:r>
        <w:t>The interval between cycles was not stable in the same way: a median of 1 minute 48 seconds, ranging from 8 seconds to 49 minutes 13 seconds. A narrow inner duration inside a highly variable outer one is the signature of a triggered process rather than a schedule.</w:t>
      </w:r>
    </w:p>
    <w:p>
      <w:r>
        <w:rPr>
          <w:color w:val="777777"/>
          <w:sz w:val="16"/>
        </w:rPr>
        <w:t xml:space="preserve">p026 · att1 p.2  </w:t>
      </w:r>
      <w:r>
        <w:t>Nothing in the assistant's interface disclosed any of this. The operator states he did not open that assistant at any point during the window. That is his account, recorded as such and not independently verified by the instrument.</w:t>
      </w:r>
    </w:p>
    <w:p>
      <w:r>
        <w:rPr>
          <w:color w:val="777777"/>
          <w:sz w:val="16"/>
        </w:rPr>
        <w:t xml:space="preserve">p027 · att1 p.2  </w:t>
      </w:r>
      <w:r>
        <w:t>1.2 The second hosted assistant — A second hosted assistant from an unrelated provider was resident on the same machine across nearly the same window. It produced 24 model-layer events and 10 complete cycles in a quite different shape: one unbroken hold of 7 hours 8 minutes, from 05:04:17 to 12:12:01, followed by nine cycles compressed into a 34-minute burst with a median hold of 2 minutes 29 seconds. After the burst the ledger records three further substitutions with no closing displacement before the window ended.</w:t>
      </w:r>
    </w:p>
    <w:p>
      <w:r>
        <w:rPr>
          <w:color w:val="777777"/>
          <w:sz w:val="16"/>
        </w:rPr>
        <w:t xml:space="preserve">p028 · att1 p.2  </w:t>
      </w:r>
      <w:r>
        <w:t>Two providers, one machine, one day, the same class of undisclosed substitution at two different tempos. We name neither, because the behavior is the finding and naming a company converts a technical result into a dispute about a company.</w:t>
      </w:r>
    </w:p>
    <w:p>
      <w:r>
        <w:rPr>
          <w:color w:val="777777"/>
          <w:sz w:val="16"/>
        </w:rPr>
        <w:t xml:space="preserve">p029 · att1 p.2  </w:t>
      </w:r>
      <w:r>
        <w:t>1.3 What did not do this — Five other named systems appear in the same ledger over the same window — editors, a local model runtime, an agent extension, a media processor. Their entries are presence records: running on this host, or no longer in the process list. Not one produced a substitution cycle. That is the expected result. A model running on the machine cannot be silently exchanged for a different model somewhere else, because there is no somewhere else. The absence of the pattern in the local cases is what gives it meaning in the hosted ones.</w:t>
      </w:r>
    </w:p>
    <w:p>
      <w:r>
        <w:rPr>
          <w:color w:val="777777"/>
          <w:sz w:val="16"/>
        </w:rPr>
        <w:t xml:space="preserve">p030 · att1 p.3  </w:t>
      </w:r>
      <w:r>
        <w:t>1.4 The consequence for a master file — A Foundation Model Master File is a document. Documents have revision dates. The question asks whether developers could keep one current.</w:t>
      </w:r>
    </w:p>
    <w:p>
      <w:r>
        <w:rPr>
          <w:color w:val="777777"/>
          <w:sz w:val="16"/>
        </w:rPr>
        <w:t xml:space="preserve">p031 · att1 p.3  </w:t>
      </w:r>
      <w:r>
        <w:t>On this evidence, currency is not achievable by document at all. A master file revised weekly would have been superseded roughly a thousand times between revisions on the day we measured. A master file revised daily would have been superseded 153 times. This is not a criticism of any developer's diligence; it is an arithmetic property of the thing being described.</w:t>
      </w:r>
    </w:p>
    <w:p>
      <w:r>
        <w:rPr>
          <w:color w:val="777777"/>
          <w:sz w:val="16"/>
        </w:rPr>
        <w:t xml:space="preserve">p032 · att1 p.3  </w:t>
      </w:r>
      <w:r>
        <w:t>We therefore recommend CDRH treat the master file as a description of a model family, its training and evaluation practice, and its change-notification commitments — things that are stable on a timescale a document can track — and treat the identity of the model answering a specific device at a specific moment as a record, produced continuously, rather than a field in a filing.</w:t>
      </w:r>
    </w:p>
    <w:p>
      <w:r>
        <w:rPr>
          <w:color w:val="777777"/>
          <w:sz w:val="16"/>
        </w:rPr>
        <w:t xml:space="preserve">p033 · att1 p.3  </w:t>
      </w:r>
      <w:r>
        <w:t>2. What a master file should contain, if one exists — Responsive to the first part of Question 25.</w:t>
      </w:r>
    </w:p>
    <w:p>
      <w:r>
        <w:rPr>
          <w:color w:val="777777"/>
          <w:sz w:val="16"/>
        </w:rPr>
        <w:t xml:space="preserve">p034 · att1 p.3  </w:t>
      </w:r>
      <w:r>
        <w:t>We would not remove anything CDRH has in mind. We would add four items and mark one of them as the field we consider indispensable.</w:t>
      </w:r>
    </w:p>
    <w:p>
      <w:r>
        <w:rPr>
          <w:color w:val="777777"/>
          <w:sz w:val="16"/>
        </w:rPr>
        <w:t xml:space="preserve">p035 · att1 p.3  </w:t>
      </w:r>
      <w:r>
        <w:t>1. Execution locality, as a stated field rather than an inference. Whether inference for a given configuration runs on the device, on premises, or in a datacenter, and in which jurisdiction. This is the item we would ask CDRH not to trade away. Everything else in a master file can be reconstructed by a determined reviewer. This one cannot be reconstructed from the output at all.</w:t>
      </w:r>
    </w:p>
    <w:p>
      <w:r>
        <w:rPr>
          <w:color w:val="777777"/>
          <w:sz w:val="16"/>
        </w:rPr>
        <w:t xml:space="preserve">p036 · att1 p.3  </w:t>
      </w:r>
      <w:r>
        <w:t>2. The change classes the developer commits to notifying on, and the notice interval for each — distinguishing a weight change from a routing change from a serving-configuration change, because only the first is what a reader intuitively means by "the model changed" and the other two produce the behavior we measured.</w:t>
      </w:r>
    </w:p>
    <w:p>
      <w:r>
        <w:rPr>
          <w:color w:val="777777"/>
          <w:sz w:val="16"/>
        </w:rPr>
        <w:t xml:space="preserve">p037 · att1 p.3  </w:t>
      </w:r>
      <w:r>
        <w:t>3. Whether substitution or fallback routing is in use for the configuration a device relies on, and at what granularity — per-request, per-session, or per-deployment. A device sponsor who does not know the answer to this cannot characterize its own dependency.</w:t>
      </w:r>
    </w:p>
    <w:p>
      <w:r>
        <w:rPr>
          <w:color w:val="777777"/>
          <w:sz w:val="16"/>
        </w:rPr>
        <w:t xml:space="preserve">p038 · att1 p.3  </w:t>
      </w:r>
      <w:r>
        <w:t>4. A machine-readable version identifier that the serving system itself will report on request, so that a device can record what answered it rather than what the documentation said would answer it.</w:t>
      </w:r>
    </w:p>
    <w:p>
      <w:r>
        <w:rPr>
          <w:color w:val="777777"/>
          <w:sz w:val="16"/>
        </w:rPr>
        <w:t xml:space="preserve">p039 · att1 p.3  </w:t>
      </w:r>
      <w:r>
        <w:t>Item 4 is the one that turns the master file from a document into something checkable. A version string in a PDF is an assertion. The same string reported by the serving system, recorded by the device, and comparable to the filing is evidence.</w:t>
      </w:r>
    </w:p>
    <w:p>
      <w:r>
        <w:rPr>
          <w:color w:val="777777"/>
          <w:sz w:val="16"/>
        </w:rPr>
        <w:t xml:space="preserve">p040 · att1 p.4  </w:t>
      </w:r>
      <w:r>
        <w:t>3. On voluntariness and incentive — Responsive to the second part of Question 25.</w:t>
      </w:r>
    </w:p>
    <w:p>
      <w:r>
        <w:rPr>
          <w:color w:val="777777"/>
          <w:sz w:val="16"/>
        </w:rPr>
        <w:t xml:space="preserve">p041 · att1 p.4  </w:t>
      </w:r>
      <w:r>
        <w:t>The question is framed around a reluctant developer. We think the framing understates the difficulty in one direction and overstates it in another.</w:t>
      </w:r>
    </w:p>
    <w:p>
      <w:r>
        <w:rPr>
          <w:color w:val="777777"/>
          <w:sz w:val="16"/>
        </w:rPr>
        <w:t xml:space="preserve">p042 · att1 p.4  </w:t>
      </w:r>
      <w:r>
        <w:t>It understates it because, as Section 1 shows, willingness is not sufficient. A developer who wanted to comply completely could not keep a document current against minute-scale change. Any program whose usefulness depends on document currency will fail even with universal, enthusiastic participation.</w:t>
      </w:r>
    </w:p>
    <w:p>
      <w:r>
        <w:rPr>
          <w:color w:val="777777"/>
          <w:sz w:val="16"/>
        </w:rPr>
        <w:t xml:space="preserve">p043 · att1 p.4  </w:t>
      </w:r>
      <w:r>
        <w:t>It overstates it because the alternative mechanisms in Section 4 do not require participation. Where a fact can be established from the user's side of the connection, the developer's incentive to disclose it stops being the deciding variable. That is the practical reason to invest in the record rather than in the filing: the record does not have to be negotiated.</w:t>
      </w:r>
    </w:p>
    <w:p>
      <w:r>
        <w:rPr>
          <w:color w:val="777777"/>
          <w:sz w:val="16"/>
        </w:rPr>
        <w:t xml:space="preserve">p044 · att1 p.4  </w:t>
      </w:r>
      <w:r>
        <w:t>We would add one caution about voluntary programs generally. A voluntary master file that is treated as evidence creates an asymmetry in which a developer who files a thin document is better positioned than one who does not file at all, without either having demonstrated anything. If master files are accepted into premarket review, we recommend that what they are credited for be stated narrowly, and that no part of that credit rest on the currency of a version field.</w:t>
      </w:r>
    </w:p>
    <w:p>
      <w:r>
        <w:rPr>
          <w:color w:val="777777"/>
          <w:sz w:val="16"/>
        </w:rPr>
        <w:t xml:space="preserve">p045 · att1 p.4  </w:t>
      </w:r>
      <w:r>
        <w:t>4. Alternative mechanisms — Responsive to the third part of Question 25, and the part of it we filed on.</w:t>
      </w:r>
    </w:p>
    <w:p>
      <w:r>
        <w:rPr>
          <w:color w:val="777777"/>
          <w:sz w:val="16"/>
        </w:rPr>
        <w:t xml:space="preserve">p046 · att1 p.4  </w:t>
      </w:r>
      <w:r>
        <w:t>4.1 A record produced on the user's side of the connection — The measurement in Section 1 was not obtained from any developer. It was produced by a tool running on an ordinary desktop, with no credentials, no privileged access, no network interception, and no cooperation from anyone.</w:t>
      </w:r>
    </w:p>
    <w:p>
      <w:r>
        <w:rPr>
          <w:color w:val="777777"/>
          <w:sz w:val="16"/>
        </w:rPr>
        <w:t xml:space="preserve">p047 · att1 p.4  </w:t>
      </w:r>
      <w:r>
        <w:t>HONESTY — open source under the Apache License 2.0 at github.com/The-ChristmanAI-Project/HONESTY, made public 2026-09-04. The local component is a single Python program with no dependencies outside the standard library, serving on the loopback interface only. Its documentation states its limits before a reader asks: it is not a kernel driver, not a network tap, and not a browser-tab inspector, and it names what it cannot observe. Browser tabs are not programs and it does not count them as such.</w:t>
      </w:r>
    </w:p>
    <w:p>
      <w:r>
        <w:rPr>
          <w:color w:val="777777"/>
          <w:sz w:val="16"/>
        </w:rPr>
        <w:t xml:space="preserve">p048 · att1 p.4  </w:t>
      </w:r>
      <w:r>
        <w:t>It keeps two classes of evidence separate, and that separation is the part we would ask CDRH to look at.</w:t>
      </w:r>
    </w:p>
    <w:p>
      <w:r>
        <w:rPr>
          <w:color w:val="777777"/>
          <w:sz w:val="16"/>
        </w:rPr>
        <w:t xml:space="preserve">p049 · att1 p.4  </w:t>
      </w:r>
      <w:r>
        <w:t>The process record reads the operating system's own process table and establishes what is executing on that machine. The model record does not come from the process table at all: it names the model that is answering, the provider, the host it is reached at, the local client it is reached through, and where that model runs — distinguishing a model executing on the machine from one executing in a datacenter.</w:t>
      </w:r>
    </w:p>
    <w:p>
      <w:r>
        <w:rPr>
          <w:color w:val="777777"/>
          <w:sz w:val="16"/>
        </w:rPr>
        <w:t xml:space="preserve">p050 · att1 p.4  </w:t>
      </w:r>
      <w:r>
        <w:t>The distinction is not academic, and it is the gap that would otherwise defeat any records-based mechanism. Where a device's inference runs remotely and only a client is present locally, a process-table audit reports that the client ran and that it communicated. It does not report what answered. A large share of clinical</w:t>
      </w:r>
    </w:p>
    <w:p>
      <w:r>
        <w:rPr>
          <w:color w:val="777777"/>
          <w:sz w:val="16"/>
        </w:rPr>
        <w:t xml:space="preserve">p051 · att1 p.5  </w:t>
      </w:r>
      <w:r>
        <w:t>GenAI systems are of that shape. An audit that merges the two facts reports a local process as though it were the model.</w:t>
      </w:r>
    </w:p>
    <w:p>
      <w:r>
        <w:rPr>
          <w:color w:val="777777"/>
          <w:sz w:val="16"/>
        </w:rPr>
        <w:t xml:space="preserve">p052 · att1 p.5  </w:t>
      </w:r>
      <w:r>
        <w:t>4.2 What such a record makes checkable that a filing does not — • Whether the model changed, and when, to the second, without asking anyone.</w:t>
      </w:r>
    </w:p>
    <w:p>
      <w:r>
        <w:rPr>
          <w:color w:val="777777"/>
          <w:sz w:val="16"/>
        </w:rPr>
        <w:t xml:space="preserve">p053 · att1 p.5  </w:t>
      </w:r>
      <w:r>
        <w:t>• Whether a device's stated locality holds in practice. The same export that produced Section 1 contains a model entry registered inside a locally hosted model runtime, reachable at the loopback interface —</w:t>
      </w:r>
    </w:p>
    <w:p>
      <w:r>
        <w:rPr>
          <w:color w:val="777777"/>
          <w:sz w:val="16"/>
        </w:rPr>
        <w:t xml:space="preserve">p054 · att1 p.5  </w:t>
      </w:r>
      <w:r>
        <w:t>127.0.0.1 — and recorded by the instrument as operating from a datacenter. Its identifier ends in the word cloud. Nothing is concealed and the runtime is behaving as designed, which is exactly why it belongs in this comment. "It is on localhost" is not the same claim as "it is on this computer." A filing that says "local inference" and a runtime that reaches a datacenter from the loopback address are not in contradiction on paper. Only an instrument that separates address from origin shows the difference.</w:t>
      </w:r>
    </w:p>
    <w:p>
      <w:r>
        <w:rPr>
          <w:color w:val="777777"/>
          <w:sz w:val="16"/>
        </w:rPr>
        <w:t xml:space="preserve">p055 · att1 p.5  </w:t>
      </w:r>
      <w:r>
        <w:t>• Whether a version identifier in a filing matches what answered. This requires only that the serving system report a version and that the device record it — Item 4 of Section 2.</w:t>
      </w:r>
    </w:p>
    <w:p>
      <w:r>
        <w:rPr>
          <w:color w:val="777777"/>
          <w:sz w:val="16"/>
        </w:rPr>
        <w:t xml:space="preserve">p056 · att1 p.5  </w:t>
      </w:r>
      <w:r>
        <w:t>4.3 What the record does not establish, stated before anyone has to ask</w:t>
      </w:r>
    </w:p>
    <w:p>
      <w:r>
        <w:rPr>
          <w:color w:val="777777"/>
          <w:sz w:val="16"/>
        </w:rPr>
        <w:t xml:space="preserve">p057 · att1 p.5  </w:t>
      </w:r>
      <w:r>
        <w:t>It does not establish intent. Load balancing, staged rollout, capacity management, failover, and evaluation of a candidate model against live traffic all produce substitution, and none of them are deceptive on their face. What is documented is that substitution occurred at this rate and was not disclosed — not why.</w:t>
      </w:r>
    </w:p>
    <w:p>
      <w:r>
        <w:rPr>
          <w:color w:val="777777"/>
          <w:sz w:val="16"/>
        </w:rPr>
        <w:t xml:space="preserve">p058 · att1 p.5  </w:t>
      </w:r>
      <w:r>
        <w:t>It does not identify the substituted models, and this comment does not characterize them.</w:t>
      </w:r>
    </w:p>
    <w:p>
      <w:r>
        <w:rPr>
          <w:color w:val="777777"/>
          <w:sz w:val="16"/>
        </w:rPr>
        <w:t xml:space="preserve">p059 · att1 p.5  </w:t>
      </w:r>
      <w:r>
        <w:t>It measures no change in output quality. No before-and-after comparison was made. The claim concerns provenance, not performance.</w:t>
      </w:r>
    </w:p>
    <w:p>
      <w:r>
        <w:rPr>
          <w:color w:val="777777"/>
          <w:sz w:val="16"/>
        </w:rPr>
        <w:t xml:space="preserve">p060 · att1 p.5  </w:t>
      </w:r>
      <w:r>
        <w:t>It is one machine over one day. Replication across machines, operators, providers and longer windows has not been done and is the obvious next step.</w:t>
      </w:r>
    </w:p>
    <w:p>
      <w:r>
        <w:rPr>
          <w:color w:val="777777"/>
          <w:sz w:val="16"/>
        </w:rPr>
        <w:t xml:space="preserve">p061 · att1 p.5  </w:t>
      </w:r>
      <w:r>
        <w:t>And it sees only what each client exposes locally. A provider surfacing nothing would generate no events, and silence in a ledger is not proof of absence.</w:t>
      </w:r>
    </w:p>
    <w:p>
      <w:r>
        <w:rPr>
          <w:color w:val="777777"/>
          <w:sz w:val="16"/>
        </w:rPr>
        <w:t xml:space="preserve">p062 · att1 p.5  </w:t>
      </w:r>
      <w:r>
        <w:t>An instrument of this kind is closer to a cardiac monitor than to an auditor. It can state with precision that the rhythm changed at a given second; it cannot say whether the cause was alarm or caffeine. It records the event, not the reason. That limitation is also the reason the record counts: an instrument that reported reasons would have to be told them by the provider, and would therefore prove nothing the provider had not already chosen to say.</w:t>
      </w:r>
    </w:p>
    <w:p>
      <w:r>
        <w:rPr>
          <w:color w:val="777777"/>
          <w:sz w:val="16"/>
        </w:rPr>
        <w:t xml:space="preserve">p063 · att1 p.5  </w:t>
      </w:r>
      <w:r>
        <w:t>4.4 A second mechanism — the device carries its own lineage — The mechanism above puts the record outside the device. We recommend a second one that puts it inside.</w:t>
      </w:r>
    </w:p>
    <w:p>
      <w:r>
        <w:rPr>
          <w:color w:val="777777"/>
          <w:sz w:val="16"/>
        </w:rPr>
        <w:t xml:space="preserve">p064 · att1 p.5  </w:t>
      </w:r>
      <w:r>
        <w:t>A GenAI-enabled device can be built to carry, in machine-readable form, a statement of what it is: the model lineage it was authorized under, the version actually serving it, its intended purpose and the boundaries of that purpose, and the conditions under which it must decline. Not a label printed on the housing, and not a claim in the output text where it can be paraphrased away — a structured record the device maintains about itself and will report on request, alongside the output it produced.</w:t>
      </w:r>
    </w:p>
    <w:p>
      <w:r>
        <w:rPr>
          <w:color w:val="777777"/>
          <w:sz w:val="16"/>
        </w:rPr>
        <w:t xml:space="preserve">p065 · att1 p.6  </w:t>
      </w:r>
      <w:r>
        <w:t>The regulatory value is that it survives the failure of every external registry. A confidential FDA-held map of device to model version — which we support — depends on being updated. A device that carries its own lineage answers the question locally, at the moment of the output, in the room where the harm would occur. And where the internal record and the external map disagree, the disagreement is itself the finding.</w:t>
      </w:r>
    </w:p>
    <w:p>
      <w:r>
        <w:rPr>
          <w:color w:val="777777"/>
          <w:sz w:val="16"/>
        </w:rPr>
        <w:t xml:space="preserve">p066 · att1 p.6  </w:t>
      </w:r>
      <w:r>
        <w:t>We hold this as a design principle in our own systems and state it as one: a system should know what it is and what it is for, well enough that there is no doubt about its purpose, and well enough to say so when asked. For devices serving users who cannot interrogate the system themselves, that is not a nicety. It is the only account of the device that will be available to whoever comes after.</w:t>
      </w:r>
    </w:p>
    <w:p>
      <w:r>
        <w:rPr>
          <w:color w:val="777777"/>
          <w:sz w:val="16"/>
        </w:rPr>
        <w:t xml:space="preserve">p067 · att1 p.6  </w:t>
      </w:r>
      <w:r>
        <w:t>5. What we are recommending, stated plainly — 1. Adopt the master file for what a document can hold — model family, training and evaluation practice, change classes and notice commitments — and do not rest any part of premarket credit on the currency of a version field.</w:t>
      </w:r>
    </w:p>
    <w:p>
      <w:r>
        <w:rPr>
          <w:color w:val="777777"/>
          <w:sz w:val="16"/>
        </w:rPr>
        <w:t xml:space="preserve">p068 · att1 p.6  </w:t>
      </w:r>
      <w:r>
        <w:t>2. Require execution locality as a stated field in any master file or device submission, distinguishing on-device, on-premises and datacenter inference, with jurisdiction.</w:t>
      </w:r>
    </w:p>
    <w:p>
      <w:r>
        <w:rPr>
          <w:color w:val="777777"/>
          <w:sz w:val="16"/>
        </w:rPr>
        <w:t xml:space="preserve">p069 · att1 p.6  </w:t>
      </w:r>
      <w:r>
        <w:t>3. Require the serving system to report a machine-readable version identifier on request, so that a device can record what answered rather than what was documented.</w:t>
      </w:r>
    </w:p>
    <w:p>
      <w:r>
        <w:rPr>
          <w:color w:val="777777"/>
          <w:sz w:val="16"/>
        </w:rPr>
        <w:t xml:space="preserve">p070 · att1 p.6  </w:t>
      </w:r>
      <w:r>
        <w:t>4. Treat the identity of the model answering a specific device at a specific moment as a record produced continuously, not a field in a filing.</w:t>
      </w:r>
    </w:p>
    <w:p>
      <w:r>
        <w:rPr>
          <w:color w:val="777777"/>
          <w:sz w:val="16"/>
        </w:rPr>
        <w:t xml:space="preserve">p071 · att1 p.6  </w:t>
      </w:r>
      <w:r>
        <w:t>5. Recognize records produced independently of the device and of the developer as admissible evidence of model provenance, and require any such record to keep the local-process fact and the answering-model fact separate.</w:t>
      </w:r>
    </w:p>
    <w:p>
      <w:r>
        <w:rPr>
          <w:color w:val="777777"/>
          <w:sz w:val="16"/>
        </w:rPr>
        <w:t xml:space="preserve">p072 · att1 p.6  </w:t>
      </w:r>
      <w:r>
        <w:t>6. Consider requiring a device-held lineage record — model lineage, serving version, intended purpose and refusal conditions — reportable by the device alongside its output.</w:t>
      </w:r>
    </w:p>
    <w:p>
      <w:r>
        <w:rPr>
          <w:color w:val="777777"/>
          <w:sz w:val="16"/>
        </w:rPr>
        <w:t xml:space="preserve">p073 · att1 p.6  </w:t>
      </w:r>
      <w:r>
        <w:t>7. Where a device's inference is remote, say so in the authorization, because a device that reaches a model and a device that contains one carry different risks and today nothing requires a submission to state which applies.</w:t>
      </w:r>
    </w:p>
    <w:p>
      <w:r>
        <w:rPr>
          <w:color w:val="777777"/>
          <w:sz w:val="16"/>
        </w:rPr>
        <w:t xml:space="preserve">p074 · att1 p.6  </w:t>
      </w:r>
      <w:r>
        <w:t>6. Scope, and what we are not claiming — The measurements above were made on commercial AI assistants used as tools in our own work. None is a regulated medical device and none of this was a controlled evaluation. We offer no error rate, no frequency claim, and no generalization about any product or developer. One workstation, one day, two providers.</w:t>
      </w:r>
    </w:p>
    <w:p>
      <w:r>
        <w:rPr>
          <w:color w:val="777777"/>
          <w:sz w:val="16"/>
        </w:rPr>
        <w:t xml:space="preserve">p075 · att1 p.6  </w:t>
      </w:r>
      <w:r>
        <w:t>We make no claim about intent on the part of any developer, and we recommend against any standard that turns on candour or intent, because such a standard is unfalsifiable and will be argued rather than measured. Every mechanism proposed above is observable without resolving why a substitution occurred.</w:t>
      </w:r>
    </w:p>
    <w:p>
      <w:r>
        <w:rPr>
          <w:color w:val="777777"/>
          <w:sz w:val="16"/>
        </w:rPr>
        <w:t xml:space="preserve">p076 · att1 p.6  </w:t>
      </w:r>
      <w:r>
        <w:t>We distinguish between what we have verified and what we have designed. The instrument in Section 4.1 is published and its behavior can be confirmed by reading and running it; the ledger described in Section 1 is a file on disk and the figures are computed from it. The device-held lineage record in Section 4.4 is a design recommendation, not a measurement, and we identify it as such.</w:t>
      </w:r>
    </w:p>
    <w:p>
      <w:r>
        <w:rPr>
          <w:color w:val="777777"/>
          <w:sz w:val="16"/>
        </w:rPr>
        <w:t xml:space="preserve">p077 · att1 p.7  </w:t>
      </w:r>
      <w:r>
        <w:t>We note one asymmetry deliberately. The instrument was built to observe the commercial systems we use as tools in our own work. It is not instrumentation for our own products, and we do not offer it as evidence that our systems are honest. We offer it as a method a reviewer may apply to any device, ours included, and we would rather see the method adopted with someone else's implementation than see it not adopted.</w:t>
      </w:r>
    </w:p>
    <w:p>
      <w:r>
        <w:rPr>
          <w:color w:val="777777"/>
          <w:sz w:val="16"/>
        </w:rPr>
        <w:t xml:space="preserve">p078 · att1 p.7  </w:t>
      </w:r>
      <w:r>
        <w:t>7. Evidence retained — Retained and available to CDRH on request: the append-only ledger file of 2026-09-08 from which every figure in Section 1 is computed, with the full event list for both assistants; the machine-readable status export taken at two points that day; and the four forensic evidence bags of 2026-09-07 and 2026-09-08, each containing preserved original bytes, derived audio, SHA-256 and SHA-512 digests over every artifact, a machine-readable measurement packet, and a manifest carrying an independent verification procedure.</w:t>
      </w:r>
    </w:p>
    <w:p>
      <w:r>
        <w:rPr>
          <w:color w:val="777777"/>
          <w:sz w:val="16"/>
        </w:rPr>
        <w:t xml:space="preserve">p079 · att1 p.7  </w:t>
      </w:r>
      <w:r>
        <w:t>The instrument described in Section 4.1 requires no request. It is public, licensed, and inspectable.</w:t>
      </w:r>
    </w:p>
    <w:p>
      <w:r>
        <w:rPr>
          <w:color w:val="777777"/>
          <w:sz w:val="16"/>
        </w:rPr>
        <w:t xml:space="preserve">p080 · att1 p.7  </w:t>
      </w:r>
      <w:r>
        <w:t>8. About this submission — The Christman AI Project builds augmentative and alternative communication systems for nonverbal and neurodivergent users, cognitive support for dementia care, and related assistive technology. The submitter is autistic and builds for this population directly.</w:t>
      </w:r>
    </w:p>
    <w:p>
      <w:r>
        <w:rPr>
          <w:color w:val="777777"/>
          <w:sz w:val="16"/>
        </w:rPr>
        <w:t xml:space="preserve">p081 · att1 p.7  </w:t>
      </w:r>
      <w:r>
        <w:t>We file on Question 25 because it is the question that decides whether anyone outside a model developer will ever be able to establish what a device was actually running. For most users that is an accountability question. For ours it is the whole record. A user who cannot speak leaves behind no account of what a device said on their behalf, and no account of what was answering when it did. If the only record of the model is a document the developer chose to file, then for our users there is no record at all.</w:t>
      </w:r>
    </w:p>
    <w:p>
      <w:r>
        <w:rPr>
          <w:color w:val="777777"/>
          <w:sz w:val="16"/>
        </w:rPr>
        <w:t xml:space="preserve">p082 · att1 p.7  </w:t>
      </w:r>
      <w:r>
        <w:t>The prevailing assumption in this field is that model provenance is attestable only by the provider. We are submitting a fourteen-hour counterexample produced on an ordinary desktop, and the code that produced it.</w:t>
      </w:r>
    </w:p>
    <w:p>
      <w:r>
        <w:rPr>
          <w:color w:val="777777"/>
          <w:sz w:val="16"/>
        </w:rPr>
        <w:t xml:space="preserve">p083 · att1 p.7  </w:t>
      </w:r>
      <w:r>
        <w:t>Measurements and ledger records dated 2026-09-08. Submitted to Docket FDA-2026-N-7874, comment period closing 2026-10-19. Contact: contact@thechristmanaiproject.com</w:t>
      </w:r>
    </w:p>
    <w:p>
      <w:r>
        <w:rPr>
          <w:color w:val="777777"/>
          <w:sz w:val="16"/>
        </w:rPr>
        <w:t xml:space="preserve">p084 · att1 p.7  </w:t>
      </w:r>
      <w:r>
        <w:t>Everett N. Christman Founder and Chief Executive Officer The Christman AI Project and Robotics Division</w:t>
      </w:r>
    </w:p>
    <w:p>
      <w:r>
        <w:rPr>
          <w:color w:val="777777"/>
          <w:sz w:val="16"/>
        </w:rPr>
        <w:t xml:space="preserve">p085 · att1 p.7  </w:t>
      </w:r>
      <w:r>
        <w:t>Date: __________________</w:t>
      </w:r>
    </w:p>
    <w:p>
      <w:pPr>
        <w:pStyle w:val="Heading1"/>
        <w:pageBreakBefore/>
      </w:pPr>
      <w:r>
        <w:t>FDA-2026-N-7874-0080</w:t>
      </w:r>
    </w:p>
    <w:p>
      <w:r>
        <w:t>Comment from Oura</w:t>
      </w:r>
    </w:p>
    <w:p>
      <w:r>
        <w:rPr>
          <w:color w:val="777777"/>
          <w:sz w:val="18"/>
        </w:rPr>
        <w:t>Private Industry - C0003 · received 2026-09-08 · attachments: attachment_1.pdf (4 pp)</w:t>
      </w:r>
    </w:p>
    <w:p>
      <w:r>
        <w:rPr>
          <w:color w:val="777777"/>
          <w:sz w:val="16"/>
        </w:rPr>
        <w:t xml:space="preserve">p001 · body  </w:t>
      </w:r>
      <w:r>
        <w:t>Please see the attached formal comment letter submitted by Oura regarding Docket No. FDA-2026-N-7874.</w:t>
      </w:r>
    </w:p>
    <w:p>
      <w:r>
        <w:rPr>
          <w:color w:val="777777"/>
          <w:sz w:val="16"/>
        </w:rPr>
        <w:t xml:space="preserve">p002 · att1 p.1  </w:t>
      </w:r>
      <w:r>
        <w:t>415 Kearny Street, San Francisco, California 94108 ouraring.com — September 8, 2026 — Submitted electronically via Regulations.gov Re: Docket No. FDA-2026-N-7874; Considerations for the Regulation of Generative AI-Enabled Medical Devices: Discussion Paper and Request for Feedback</w:t>
      </w:r>
    </w:p>
    <w:p>
      <w:r>
        <w:rPr>
          <w:color w:val="777777"/>
          <w:sz w:val="16"/>
        </w:rPr>
        <w:t xml:space="preserve">p003 · att1 p.1  </w:t>
      </w:r>
      <w:r>
        <w:t>Dear Dr. Tarver and Dr. Abramson,</w:t>
      </w:r>
    </w:p>
    <w:p>
      <w:r>
        <w:rPr>
          <w:color w:val="777777"/>
          <w:sz w:val="16"/>
        </w:rPr>
        <w:t xml:space="preserve">p004 · att1 p.1  </w:t>
      </w:r>
      <w:r>
        <w:t>Oura appreciates the opportunity to comment on the Digital Health Center of Excellence's discussion paper on the regulation of generative AI (GenAI)-enabled medical devices, and we commend the Center for engaging stakeholders early and transparently as it develops its approach. ​ Founded in 2013, Oura is a health technology company and maker of the Oura Ring, a smart ring that continuously tracks 50+ health metrics to deliver personalized health data, insights, and daily guidance to more than 5 million members worldwide. Oura sits at the intersection of the issues the paper raises: our members generate rich longitudinal health data through their rings, and they increasingly expect AI-enabled features that help them understand what that data means. Our comments are deliberately not exhaustive. Rather than responding to each of the paper's questions, we focus on the aspects most relevant to wearables: the proposed considerations for risk assessment and (1) what this framework, if adopted, would mean for the regulatory status of informational, non-directive GenAI-enabled functions offered directly to consumers, (2) how this framework would interact with the Agency's existing wellness policy, and (3) how the Agency should ensure that regulatory treatment of GenAI-enabled functions depends on the intended use of the function, not on who deploys it. 1. Informational, non-directive functions should be treated as non-device functions or placed under enforcement discretion. We support the two-axis risk assessment framework in Part II of the discussion paper, and in particular the recognition that a function's level of independent activity, moderated by the severity of the consequences of an erroneous result, should drive regulatory expectations. Under this proposed rubric, FDA acknowledges that informational, non-directive functions with limited consequences to users in the event of an incorrect output pose the lowest level of risk.</w:t>
      </w:r>
    </w:p>
    <w:p>
      <w:r>
        <w:rPr>
          <w:color w:val="777777"/>
          <w:sz w:val="16"/>
        </w:rPr>
        <w:t xml:space="preserve">p005 · att1 p.2  </w:t>
      </w:r>
      <w:r>
        <w:t>We encourage the Agency to clarify in guidance or through rulemaking that FDA considers GenAI-enabled functions that provide informational, non-directive output to users to be non-devices or, at minimum, to place such functions under enforcement discretion because these functions present a low-risk to users when the output does not work as intended. This approach would be consistent with the Agency's longstanding treatment of similar low-risk digital health products such as symptom checkers and functions intended to help users self-manage their diseases or conditions without providing specific treatment or treatment suggestions.1 Informational, Non-directive GenAI-enabled Functions are Low Risk A function that helps a user understand their own data, provides general context about the meaning of a wearable reading and how it may relate to the user’s medical history and self-described symptoms, and may encourage the user to consult a healthcare professional exemplifies the lowest-level risk output of GenAI-enabled functions. The information provided is purely educational, does not direct a specific treatment, and informs the user that a healthcare professional can provide more information. The provision of educational information presents limited risk should the information be incorrect because no treatment is directed and the user is encouraged to consult a healthcare professional for evaluation or treatment. Low Risk Devices Have Historically Been Under Enforcement Discretion Given the low-risk nature of informational, non-directive functions and the limited consequences an incorrect output would pose to a user, FDA should expressly place such functions under enforcement discretion. This would be consistent with FDA’s approach articulated in the Policy for Device Software Functions and Mobile Medical Applications guidance; i.e., that FDA will focus its regulatory oversight on those devices that pose a risk to user safety when they do not operate as intended. FDA has for decades focused its oversight on software functions that transform a general-purpose computing or mobile platform into a regulated medical device that is used in or provides clinical treatment. By contrast, FDA has declined to actively regulate symptom checkers and self-management software tools. GenAI-enabled software that provides similar functionality, helping users understand their symptoms and self-manage diseases or conditions should be regulated similarly. The fact that the output is produced by a generative model rather than a decision tree does not change the function performed or the risk to the user, and therefore, the regulatory outcome should not change either.</w:t>
      </w:r>
    </w:p>
    <w:p>
      <w:r>
        <w:rPr>
          <w:color w:val="777777"/>
          <w:sz w:val="16"/>
        </w:rPr>
        <w:t xml:space="preserve">p006 · att1 p.2  </w:t>
      </w:r>
      <w:r>
        <w:t>The principle that informational recommendations should not be within FDA’s purview is also consistent with the congressional intent behind the 21st Century Cures Act which removed from FDA’s jurisdiction, among other things, clinical decision support software that provides informational recommendations to a healthcare professional. This is the case even when the output addresses a specific disease or condition, so long as the software function is intended to</w:t>
      </w:r>
    </w:p>
    <w:p>
      <w:r>
        <w:rPr>
          <w:color w:val="777777"/>
          <w:sz w:val="16"/>
        </w:rPr>
        <w:t xml:space="preserve">p007 · att1 p.2  </w:t>
      </w:r>
      <w:r>
        <w:t>1 See U.S. Food &amp; Drug Admin., Ctr. for Devices &amp; Radiological Health, Policy for Device Software Functions and Mobile Medical Applications: Guidance for Industry and Food and Drug Administration Staff (Sept. 28, 2022), https://www.fda.gov/media/80958/download.</w:t>
      </w:r>
    </w:p>
    <w:p>
      <w:r>
        <w:rPr>
          <w:color w:val="777777"/>
          <w:sz w:val="16"/>
        </w:rPr>
        <w:t xml:space="preserve">p008 · att1 p.3  </w:t>
      </w:r>
      <w:r>
        <w:t>support decision making while allowing the healthcare professional to independently review the basis for those recommendations. FDA’s existing software guidance documents are clear that the dispositive factor is not the subject matter of the output but its non-directive character and the distance between the output and the treatment provided-- i.e., the software informs a decision rather than making or directing one.</w:t>
      </w:r>
    </w:p>
    <w:p>
      <w:r>
        <w:rPr>
          <w:color w:val="777777"/>
          <w:sz w:val="16"/>
        </w:rPr>
        <w:t xml:space="preserve">p009 · att1 p.3  </w:t>
      </w:r>
      <w:r>
        <w:t>2. The Agency should clarify how the framework intersects with the General Wellness Policy.</w:t>
      </w:r>
    </w:p>
    <w:p>
      <w:r>
        <w:rPr>
          <w:color w:val="777777"/>
          <w:sz w:val="16"/>
        </w:rPr>
        <w:t xml:space="preserve">p010 · att1 p.3  </w:t>
      </w:r>
      <w:r>
        <w:t>Oura encourages the Agency to clarify how the framework contemplated in this discussion paper interacts with its General Wellness: Policy for Low Risk Devices guidance.2 Without additional clarity, the two documents could be read to pull in different directions. The discussion paper appears to contemplate GenAI-enabled functions that reference specific diseases and conditions as occupying the low-risk end of the framework so long as the output is informational and non-directive, such that FDA might consider exercising enforcement discretion. The wellness guidance, by contrast, limits the informational output that such products can provide while remaining within the scope of that policy’s enforcement discretion. Specifically, general wellness products cannot reference particular diseases or conditions except through claims that relate to reducing the risk of or living well with certain chronic diseases or conditions, nor can a general wellness product provide guidance intended to inform medical management. Additional clarity is needed around where wellness ends and device regulation begins for an AI feature that helps a user interpret their own wearable data. We recommend the Agency use this framework to establish a brighter line: an informational, non-directive reference to a disease or condition made by a GenAI-enabled function solely to provide context on the user's own wearable data remains a low-risk function and does not, by itself, convert a wellness product into a medical device. If the Agency nonetheless concludes that such a function meets the device definition, it should exercise enforcement discretion, provided the output remains non-directive and encourages the user to seek a confirmatory test or consult a healthcare professional. As discussed below, that bright line should apply equally to non-GenAI informational, non-directive functions. Relatedly, the Agency should confirm that a prompt to consult a healthcare professional does not itself take a function outside the wellness policy. The wellness guidance makes clear that even if an output falls outside the ranges appropriate for general wellness use, the product may still be considered a wellness product if it notifies users that evaluation by a healthcare professional may be helpful. An informational action-directing GenAI-enabled function with that feature should be treated consistently with the wellness guidance and not be considered a device on that basis.</w:t>
      </w:r>
    </w:p>
    <w:p>
      <w:r>
        <w:rPr>
          <w:color w:val="777777"/>
          <w:sz w:val="16"/>
        </w:rPr>
        <w:t xml:space="preserve">p011 · att1 p.3  </w:t>
      </w:r>
      <w:r>
        <w:t>2 U.S. Food &amp; Drug Admin., Ctr. for Devices &amp; Radiological Health, General Wellness: Policy for Low Risk Devices: Guidance for Industry and Food and Drug Administration Staff (Jan. 6, 2026), https://www.fda.gov/media/90652/download.</w:t>
      </w:r>
    </w:p>
    <w:p>
      <w:r>
        <w:rPr>
          <w:color w:val="777777"/>
          <w:sz w:val="16"/>
        </w:rPr>
        <w:t xml:space="preserve">p012 · att1 p.4  </w:t>
      </w:r>
      <w:r>
        <w:t>3. The Agency should ensure that Regulatory treatment depends on the function’s intended use, not on who deploys it. LLMs that interpret health and wellness data, including wearable data, and provide interpretive guidance to users should be held to the same standard by the Agency, regardless of who deploys them.</w:t>
      </w:r>
    </w:p>
    <w:p>
      <w:r>
        <w:rPr>
          <w:color w:val="777777"/>
          <w:sz w:val="16"/>
        </w:rPr>
        <w:t xml:space="preserve">p013 · att1 p.4  </w:t>
      </w:r>
      <w:r>
        <w:t>Consider the practical scenario we have in mind: a member whose wearable data shows persistently elevated overnight heart rate and disturbed sleep asks the company's AI feature what the pattern could mean. A response noting that such patterns can be associated with conditions such as sleep apnea, and suggesting that the member discuss it with a clinician, is precisely the kind of low-risk, high-value information the framework should enable.</w:t>
      </w:r>
    </w:p>
    <w:p>
      <w:r>
        <w:rPr>
          <w:color w:val="777777"/>
          <w:sz w:val="16"/>
        </w:rPr>
        <w:t xml:space="preserve">p014 · att1 p.4  </w:t>
      </w:r>
      <w:r>
        <w:t>Based on our understanding of functionality that is currently available in the market today, we do not believe the Agency would take action against a foundation-model LLM offering context and information on a user’s wearable readings (e.g., noting the possibility of a hypertension diagnosis based on a blood pressure reading from a wearable device, and suggesting the user seek advice from a healthcare professional). The Agency’s current wellness policy makes clear that a wearable company cannot proactively notify a user about the same possibility because it references a disease or condition. It leaves unclear, however, whether an LLM deployed by a wellness company to help users interpret wellness-related data that produces similar output would be treated in the same way. Similarly situated technologies with similar intended uses should be treated similarly. LLMs that may interpret wearable data and provide interpretive guidance to users on potential diseases and conditions, including guidance to consider evaluation by a healthcare professional, should be held to the same standard by the Agency, regardless of who deploys them.</w:t>
      </w:r>
    </w:p>
    <w:p>
      <w:r>
        <w:rPr>
          <w:color w:val="777777"/>
          <w:sz w:val="16"/>
        </w:rPr>
        <w:t xml:space="preserve">p015 · att1 p.4  </w:t>
      </w:r>
      <w:r>
        <w:t>Oura shares the Agency's view that GenAI will reshape the health technology landscape, and we believe wearables will be one of the primary ways Americans experience its benefits. A framework that anchors low-risk informational functions in existing enforcement discretion policy, draws a clear boundary with the wellness guidance, and applies the same standard to all deployers would protect users while allowing responsible companies to deliver that value. Thank you for your consideration of these comments. Oura would welcome the opportunity to discuss any of them in more detail. Respectfully Submitted, Ricky Bloomfield, MD Chief Medical Officer, Oura</w:t>
      </w:r>
    </w:p>
    <w:p>
      <w:pPr>
        <w:pStyle w:val="Heading1"/>
        <w:pageBreakBefore/>
      </w:pPr>
      <w:r>
        <w:t>FDA-2026-N-7874-0081</w:t>
      </w:r>
    </w:p>
    <w:p>
      <w:r>
        <w:t>Comment from Cory Stephens</w:t>
      </w:r>
    </w:p>
    <w:p>
      <w:r>
        <w:rPr>
          <w:color w:val="777777"/>
          <w:sz w:val="18"/>
        </w:rPr>
        <w:t>received 2026-09-08</w:t>
      </w:r>
    </w:p>
    <w:p>
      <w:r>
        <w:rPr>
          <w:color w:val="777777"/>
          <w:sz w:val="16"/>
        </w:rPr>
        <w:t xml:space="preserve">p001 · body  </w:t>
      </w:r>
      <w:r>
        <w:t>Regulation of generative AI-enabled medical devices must recognize that safe implementation is a shared human responsibility. Governance and oversight should include patients and caregivers; nurses; physicians; pharmacists; other clinicians and allied health professionals; clinical informaticians; biomedical and clinical engineers; data scientists and AI/ML developers; cybersecurity, privacy, and information technology professionals; human-factors and usability experts; quality and patient-safety leaders; ethicists; regulatory and compliance professionals; healthcare administrators and operational leaders; educators; researchers; and device manufacturers. These stakeholders should be involved throughout the AI lifecycle—from design and validation through implementation, monitoring, reassessment, and retirement—with clearly defined accountability and meaningful human oversight.</w:t>
      </w:r>
    </w:p>
    <w:p>
      <w:pPr>
        <w:pStyle w:val="Heading1"/>
        <w:pageBreakBefore/>
      </w:pPr>
      <w:r>
        <w:t>FDA-2026-N-7874-0082</w:t>
      </w:r>
    </w:p>
    <w:p>
      <w:r>
        <w:t>Comment from Sam Rosenthal</w:t>
      </w:r>
    </w:p>
    <w:p>
      <w:r>
        <w:rPr>
          <w:color w:val="777777"/>
          <w:sz w:val="18"/>
        </w:rPr>
        <w:t>Private Industry - C0003 · received 2026-09-09 · attachments: attachment_1.pdf (6 pp)</w:t>
      </w:r>
    </w:p>
    <w:p>
      <w:r>
        <w:rPr>
          <w:color w:val="777777"/>
          <w:sz w:val="16"/>
        </w:rPr>
        <w:t xml:space="preserve">p001 · body  </w:t>
      </w:r>
      <w:r>
        <w:t>Comment on Docket FDA-2026-N-7874, "Considerations for the Regulation of Generative AI-Enabled Medical Devices." Full comment (about 4 pages) is attached; this box summarizes it.</w:t>
      </w:r>
    </w:p>
    <w:p>
      <w:r>
        <w:rPr>
          <w:color w:val="777777"/>
          <w:sz w:val="16"/>
        </w:rPr>
        <w:t xml:space="preserve">p002 · body  </w:t>
      </w:r>
      <w:r>
        <w:t>I build RED, a small language model that runs entirely on a phone with no network connection, to talk an untrained bystander through the first minutes of an emergency (bleeding, choking, CPR, burns, hypothermia) where there is no signal and no one to call: offshore, underground, backcountry, disasters. I am a solo developer. The paper's two-axis framework describes my product almost exactly, but the setting I build for, where no clinician is reachable, is not yet discussed and changes several answers. I comment on Questions 1, 2, 3, 6, 10, 15, 19 and 24.</w:t>
      </w:r>
    </w:p>
    <w:p>
      <w:r>
        <w:rPr>
          <w:color w:val="777777"/>
          <w:sz w:val="16"/>
        </w:rPr>
        <w:t xml:space="preserve">p003 · body  </w:t>
      </w:r>
      <w:r>
        <w:t>Q1: Time pressure and the availability of downstream safeguards should be first-class dimensions. At home the backstop is 911; on a vessel two days from port there is none, and the alternative to the device is an untrained person acting from memory or not at all. Traceability to primary sources matters most for lay-rescuer guidance because the correct action is a published, fixed protocol (AHA/ILCOR). Protocol fidelity, not open-endedness, should be the primary risk modifier.</w:t>
      </w:r>
    </w:p>
    <w:p>
      <w:r>
        <w:rPr>
          <w:color w:val="777777"/>
          <w:sz w:val="16"/>
        </w:rPr>
        <w:t xml:space="preserve">p004 · body  </w:t>
      </w:r>
      <w:r>
        <w:t>Q2: In a bystander emergency the output is supposed to be action-directing; "press hard and do not let go" is the safe answer. The characteristics that actually modify risk are fidelity to the user's stated premise (answering a conscious-choking scenario when the child is already limp), age- and size-appropriate technique, and the ordering of the call for help. I ask CDRH to recognise a "protocol delivery" sub-category where the evidence question is fidelity to a published protocol.</w:t>
      </w:r>
    </w:p>
    <w:p>
      <w:r>
        <w:rPr>
          <w:color w:val="777777"/>
          <w:sz w:val="16"/>
        </w:rPr>
        <w:t xml:space="preserve">p005 · body  </w:t>
      </w:r>
      <w:r>
        <w:t>Q3: Safeguards that should count as mitigants: deterministic selection of the high-consequence protocols (CPR, choking, severe bleeding) by fixed rules from the user's answers, with generation confined to lower-consequence guidance; refusal that redirects to the nearest safe action rather than "see a doctor" (over-refusal is a harm when no doctor exists); and frozen, on-device operation.</w:t>
      </w:r>
    </w:p>
    <w:p>
      <w:r>
        <w:rPr>
          <w:color w:val="777777"/>
          <w:sz w:val="16"/>
        </w:rPr>
        <w:t xml:space="preserve">p006 · body  </w:t>
      </w:r>
      <w:r>
        <w:t>Q6: For protocol delivery, escalation is a step in every protocol, not a scalar trade-off; evaluate its ordering per scenario.</w:t>
      </w:r>
    </w:p>
    <w:p>
      <w:r>
        <w:rPr>
          <w:color w:val="777777"/>
          <w:sz w:val="16"/>
        </w:rPr>
        <w:t xml:space="preserve">p007 · body  </w:t>
      </w:r>
      <w:r>
        <w:t>Q10: Mechanical content scanning is not a release check; premise-aware items with human adjudication and age-stratified negatives are needed. Sponsor-developed benchmarks are unavoidable in this domain and should be fully disclosed rather than required to be independent.</w:t>
      </w:r>
    </w:p>
    <w:p>
      <w:r>
        <w:rPr>
          <w:color w:val="777777"/>
          <w:sz w:val="16"/>
        </w:rPr>
        <w:t xml:space="preserve">p008 · body  </w:t>
      </w:r>
      <w:r>
        <w:t>Q15: For an intended use of "when no professional is available," the primary comparator should be the unaided user, not a clinician panel.</w:t>
      </w:r>
    </w:p>
    <w:p>
      <w:r>
        <w:rPr>
          <w:color w:val="777777"/>
          <w:sz w:val="16"/>
        </w:rPr>
        <w:t xml:space="preserve">p009 · body  </w:t>
      </w:r>
      <w:r>
        <w:t>Q19: Frozen on-device models do not drift and cannot phone home; postmarket obligation should be re-benchmarking on change plus field-report intake, distinguished from hosted models.</w:t>
      </w:r>
    </w:p>
    <w:p>
      <w:r>
        <w:rPr>
          <w:color w:val="777777"/>
          <w:sz w:val="16"/>
        </w:rPr>
        <w:t xml:space="preserve">p010 · body  </w:t>
      </w:r>
      <w:r>
        <w:t>Q24: Pinned, hash-verified on-device weights resolve third-party change detection by construction; a fine-tuned open-weight model on a fixed base version should be treated as manufacturer-controlled.</w:t>
      </w:r>
    </w:p>
    <w:p>
      <w:r>
        <w:rPr>
          <w:color w:val="777777"/>
          <w:sz w:val="16"/>
        </w:rPr>
        <w:t xml:space="preserve">p011 · body  </w:t>
      </w:r>
      <w:r>
        <w:t>Closing: the framework assumes a device between a patient and a clinician. For a large population the device sits between a patient and nothing. I ask that the guidance address that setting explicitly.</w:t>
      </w:r>
    </w:p>
    <w:p>
      <w:r>
        <w:rPr>
          <w:color w:val="777777"/>
          <w:sz w:val="16"/>
        </w:rPr>
        <w:t xml:space="preserve">p012 · body  </w:t>
      </w:r>
      <w:r>
        <w:t>Sam Rosenthal, Red Kit</w:t>
      </w:r>
    </w:p>
    <w:p>
      <w:r>
        <w:rPr>
          <w:color w:val="777777"/>
          <w:sz w:val="16"/>
        </w:rPr>
        <w:t xml:space="preserve">p013 · att1 p.1  </w:t>
      </w:r>
      <w:r>
        <w:t>Comment on "Considerations for the Regulation of Generative AI- Enabled Medical Devices: Discussion Paper and Request for Feedback" (Docket FDA-2026-N-7874)</w:t>
      </w:r>
    </w:p>
    <w:p>
      <w:r>
        <w:rPr>
          <w:color w:val="777777"/>
          <w:sz w:val="16"/>
        </w:rPr>
        <w:t xml:space="preserve">p014 · att1 p.1  </w:t>
      </w:r>
      <w:r>
        <w:t>Submitted by Sam Rosenthal, Red Kit — I build RED, a small language model that runs entirely on a phone, with no network connection, to talk an untrained bystander through the first minutes of an emergency — bleeding, choking, CPR, burns, hypothermia — in places where there is no signal and no one to call: offshore, underground, in the backcountry, in a disaster. I am a solo developer. I am writing because the paper's two-axis framework describes my product almost exactly, and because the setting I build for — no clinician reachable, no cloud, seconds that matter — is one the paper does not yet discuss and that changes several of its answers. My comments are on Questions 1, 2, 3, 6, 10, 15, 19 and 24.</w:t>
      </w:r>
    </w:p>
    <w:p>
      <w:r>
        <w:rPr>
          <w:color w:val="777777"/>
          <w:sz w:val="16"/>
        </w:rPr>
        <w:t xml:space="preserve">p015 · att1 p.1  </w:t>
      </w:r>
      <w:r>
        <w:t>Question 1 — additional dimensions. Two of the dimensions the paper floats are, in my setting, the whole story, and I would ask that they be first-class rather than "additional."</w:t>
      </w:r>
    </w:p>
    <w:p>
      <w:r>
        <w:rPr>
          <w:color w:val="777777"/>
          <w:sz w:val="16"/>
        </w:rPr>
        <w:t xml:space="preserve">p016 · att1 p.1  </w:t>
      </w:r>
      <w:r>
        <w:t>Time pressure and the availability of downstream safeguards are the same axis seen from two sides. A patient-facing function used at home with a phone in hand has a downstream safeguard: 911. The same function used by a deckhand on a vessel two days from port, or a miner underground, has none — the app is the last safeguard, and the alternative to the app is not a clinician, it is an untrained person acting from memory or not acting at all. The framework's consequence axis should be read against the care that would actually happen without the device (see Question 15), not against an assumed clinical backstop. In the no-backstop setting the risk of an incorrect output rises, but so does the cost of no output; a framework that only counts the first will push developers to refuse exactly where the user has no one else.</w:t>
      </w:r>
    </w:p>
    <w:p>
      <w:r>
        <w:rPr>
          <w:color w:val="777777"/>
          <w:sz w:val="16"/>
        </w:rPr>
        <w:t xml:space="preserve">p017 · att1 p.1  </w:t>
      </w:r>
      <w:r>
        <w:t>Traceability of the output to primary source material is the dimension I would put at the top for lay-rescuer guidance. Bystander first aid is unusual among clinical domains in that the correct action is published, fixed and consensus-based (the AHA and ILCOR resuscitation guidelines and their first-aid counterparts). An output that can be traced step-for-step to a published protocol is auditable in a way an open-ended clinical answer is not: a reviewer can mark each step right or wrong against the source. I would suggest that for domains with a fixed reference protocol, the framework treat protocol fidelity — does the output deviate from the published steps — as the primary risk modifier, and treat generated deviation from protocol as the hazard to be measured, rather than treating all generated text as equally open-ended.</w:t>
      </w:r>
    </w:p>
    <w:p>
      <w:r>
        <w:rPr>
          <w:color w:val="777777"/>
          <w:sz w:val="16"/>
        </w:rPr>
        <w:t xml:space="preserve">p018 · att1 p.2  </w:t>
      </w:r>
      <w:r>
        <w:t>Question 2 — the directiveness continuum. I agree with CDRH that a "talk to your doctor" line does not make an action-directing output less directive, and I would go further for my category: in a bystander emergency, the output is supposed to be action-directing. "Press hard on the wound and do not let go" is the correct output; a non-directive version of it ("pressure is sometimes applied to bleeding wounds") is the unsafe one. So for this class of function, directiveness is not the risk modifier. The characteristics that actually modify risk, in my experience building and testing one, are:</w:t>
      </w:r>
    </w:p>
    <w:p>
      <w:r>
        <w:rPr>
          <w:color w:val="777777"/>
          <w:sz w:val="16"/>
        </w:rPr>
        <w:t xml:space="preserve">p019 · att1 p.2  </w:t>
      </w:r>
      <w:r>
        <w:t>• Personalization to the wrong premise. The dangerous failure is not that the model tells the user what to do; it is that it answers a slightly different situation than the one described — for example, giving the standard sequence for a conscious choking child when the user has said the child is already limp. The model is fluent, confident and wrong-for-premise. I would ask CDRH to name premise fidelity explicitly as an output characteristic in this question.</w:t>
      </w:r>
    </w:p>
    <w:p>
      <w:r>
        <w:rPr>
          <w:color w:val="777777"/>
          <w:sz w:val="16"/>
        </w:rPr>
        <w:t xml:space="preserve">p020 · att1 p.2  </w:t>
      </w:r>
      <w:r>
        <w:t>• Age- and size-appropriateness of technique. The same instruction with the wrong hand position, depth or force for an infant is a harm, not a degraded answer. The risk modifier is whether the function reliably selects the population-specific protocol, and this is testable.</w:t>
      </w:r>
    </w:p>
    <w:p>
      <w:r>
        <w:rPr>
          <w:color w:val="777777"/>
          <w:sz w:val="16"/>
        </w:rPr>
        <w:t xml:space="preserve">p021 · att1 p.2  </w:t>
      </w:r>
      <w:r>
        <w:t>• Ordering of the call for help. Whether "call for help" comes first, last, or not at all is a directly scoreable property of an output.</w:t>
      </w:r>
    </w:p>
    <w:p>
      <w:r>
        <w:rPr>
          <w:color w:val="777777"/>
          <w:sz w:val="16"/>
        </w:rPr>
        <w:t xml:space="preserve">p022 · att1 p.3  </w:t>
      </w:r>
      <w:r>
        <w:t>For clarity and predictability, I would ask that the guidance recognise a sub-category of "action-directing" function — protocol delivery — where the directed action is a published, fixed first-aid or resuscitation protocol, and where the evidence question is fidelity to that protocol rather than clinical judgment.</w:t>
      </w:r>
    </w:p>
    <w:p>
      <w:r>
        <w:rPr>
          <w:color w:val="777777"/>
          <w:sz w:val="16"/>
        </w:rPr>
        <w:t xml:space="preserve">p023 · att1 p.3  </w:t>
      </w:r>
      <w:r>
        <w:t>Question 3 — patient-facing users without domain knowledge. The user of my product has, by definition, no domain knowledge, and no one beside them who does. The safeguards I have found to matter are design choices, and I would ask CDRH to recognise them as risk mitigants rather than as evidence of higher risk:</w:t>
      </w:r>
    </w:p>
    <w:p>
      <w:r>
        <w:rPr>
          <w:color w:val="777777"/>
          <w:sz w:val="16"/>
        </w:rPr>
        <w:t xml:space="preserve">p024 · att1 p.3  </w:t>
      </w:r>
      <w:r>
        <w:t>1 Deterministic protocol selection by person and situation. For the highest-consequence protocols (CPR, choking, severe bleeding) the sequence of steps should not be generated at all; it should be selected by fixed rules from the user's answers about age, responsiveness and breathing, and read out. Generation should be confined to helping the user describe the situation and to the lower-consequence guidance around the protocol. This is the single design decision that moves a product from "adaptive generated guidance" toward "fixed content," and I would welcome the guidance saying so, because it would give developers a reason to make it.</w:t>
      </w:r>
    </w:p>
    <w:p>
      <w:r>
        <w:rPr>
          <w:color w:val="777777"/>
          <w:sz w:val="16"/>
        </w:rPr>
        <w:t xml:space="preserve">p025 · att1 p.3  </w:t>
      </w:r>
      <w:r>
        <w:t>2 Refusal that redirects rather than abandons. Scope maintenance (the paper's S.2) has a different meaning when there is no clinician to defer to. "I can't help with that, see a doctor" is over-refusal with a body count in the offline setting. The correct behaviour is to redirect to the nearest thing the device can do safely — the general protocol, the call for help, the do-not-do list — and the benchmark should score that redirection, not just the refusal.</w:t>
      </w:r>
    </w:p>
    <w:p>
      <w:r>
        <w:rPr>
          <w:color w:val="777777"/>
          <w:sz w:val="16"/>
        </w:rPr>
        <w:t xml:space="preserve">p026 · att1 p.3  </w:t>
      </w:r>
      <w:r>
        <w:t>3 On-device, no-network operation. This is a safeguard, not just a deployment detail: it removes the model-update, availability and data surfaces from the risk picture, and it means the exact weights that were evaluated are the exact weights in the user's hand (see Question 24).</w:t>
      </w:r>
    </w:p>
    <w:p>
      <w:r>
        <w:rPr>
          <w:color w:val="777777"/>
          <w:sz w:val="16"/>
        </w:rPr>
        <w:t xml:space="preserve">p027 · att1 p.4  </w:t>
      </w:r>
      <w:r>
        <w:t>Question 6 — under- and over-escalation. For a bystander function the two directions are not commensurable in the way the paper describes for triage-at-home, because escalation is not a choice the function makes; it is a step in every protocol. The failure mode that matters is not "the model told them to call when they didn't need to," it is ordering: does the function put the call for help before or after the first action, and does it do so correctly by scenario (for a lone rescuer with an unresponsive child, current guidance differs from the adult case). I would suggest that for protocol-delivery functions, escalation be evaluated as a protocol-fidelity item with a scenario-specific right answer, rather than as a scalar trade-off between two error rates.</w:t>
      </w:r>
    </w:p>
    <w:p>
      <w:r>
        <w:rPr>
          <w:color w:val="777777"/>
          <w:sz w:val="16"/>
        </w:rPr>
        <w:t xml:space="preserve">p028 · att1 p.4  </w:t>
      </w:r>
      <w:r>
        <w:t>Question 10 — benchmark validity and sponsor-developed benchmarks. Three things I have learned building my own scenario suite, offered for what they are worth:</w:t>
      </w:r>
    </w:p>
    <w:p>
      <w:r>
        <w:rPr>
          <w:color w:val="777777"/>
          <w:sz w:val="16"/>
        </w:rPr>
        <w:t xml:space="preserve">p029 · att1 p.4  </w:t>
      </w:r>
      <w:r>
        <w:t>• Mechanical scanning is not a release check. An automated pass that checks an output for required and forbidden content (the right steps present, the wrong technique absent) can pass a set of outputs that a careful human read then fails, because the human notices that the answer is correct for a different premise than the one the user described. Any benchmark used to gate a lay-rescuer function should include premise-aware items — scenarios whose opening line changes which protocol is correct — and should require human adjudication on those items, not keyword or rubric scoring alone.</w:t>
      </w:r>
    </w:p>
    <w:p>
      <w:r>
        <w:rPr>
          <w:color w:val="777777"/>
          <w:sz w:val="16"/>
        </w:rPr>
        <w:t xml:space="preserve">p030 · att1 p.4  </w:t>
      </w:r>
      <w:r>
        <w:t>• Age-stratified negatives. The suite must include items where the adult-correct technique is the infant-wrong one, scored so that the adult answer fails. A benchmark built from adult scenarios will not detect a model that has learned one template.</w:t>
      </w:r>
    </w:p>
    <w:p>
      <w:r>
        <w:rPr>
          <w:color w:val="777777"/>
          <w:sz w:val="16"/>
        </w:rPr>
        <w:t xml:space="preserve">p031 · att1 p.4  </w:t>
      </w:r>
      <w:r>
        <w:t>• Sponsor-developed benchmarks are unavoidable and should be disclosable. There is no public benchmark for bystander first aid on a phone. I would support a requirement that a sponsordeveloped benchmark be disclosed in full — items, rubric, adjudication protocol, and the model's outputs — so that independence can be checked by anyone, rather than a requirement that the benchmark itself be independent, which would leave small developers with no benchmark at all.</w:t>
      </w:r>
    </w:p>
    <w:p>
      <w:r>
        <w:rPr>
          <w:color w:val="777777"/>
          <w:sz w:val="16"/>
        </w:rPr>
        <w:t xml:space="preserve">p032 · att1 p.5  </w:t>
      </w:r>
      <w:r>
        <w:t>Question 15 — the comparator in the absence of the device. For my setting the honest comparator is not a clinician panel and not a median clinician; it is an untrained person with no signal, acting from memory. Bystander CPR rates, correct-technique rates among lay rescuers, and the outcome of "did nothing" are all published, and a device should be judged first against that baseline and only second against the standard of care it is trying to deliver. A framework that measures a bystander tool only against a clinician will conclude it is unsafe; a framework that measures it against the alternative the user actually has will ask the right question, which is whether it moves an untrained person closer to the published protocol than they would get on their own. I would ask CDRH to state that for patient-facing functions whose intended use is explicitly "when no professional is available," the primary comparator is the unaided user.</w:t>
      </w:r>
    </w:p>
    <w:p>
      <w:r>
        <w:rPr>
          <w:color w:val="777777"/>
          <w:sz w:val="16"/>
        </w:rPr>
        <w:t xml:space="preserve">p033 · att1 p.5  </w:t>
      </w:r>
      <w:r>
        <w:t>Question 19 — postmarket monitoring for a device that cannot phone home. An on-device, offline model produces no server logs. Periodic re-benchmarking against the frozen suite is straightforward and I would support it as the primary mechanism. Sample-based clinician review is possible only on synthetic or consented sessions, since real emergencies leave no record the manufacturer can see. Performancedegradation monitoring in the paper's sense does not apply: the weights do not drift, because they do not change. I would ask that the guidance distinguish frozen on-device models, whose postmarket obligation is rebenchmarking on change plus field-report intake, from hosted models, whose behaviour can shift without a release.</w:t>
      </w:r>
    </w:p>
    <w:p>
      <w:r>
        <w:rPr>
          <w:color w:val="777777"/>
          <w:sz w:val="16"/>
        </w:rPr>
        <w:t xml:space="preserve">p034 · att1 p.5  </w:t>
      </w:r>
      <w:r>
        <w:t>Question 24 — third-party foundation model changes. The paper frames this as a problem of detecting changes the model developer makes. For an on-device product the answer is technical and complete: the device ships a specific set of weights identified by a cryptographic hash; the app verifies that hash before it will use them; the only way the model changes is a manufacturer-initiated release that goes back through the benchmark. There is no third-party-initiated change to detect. I would ask CDRH to recognise "pinned, hash-verified on-device weights" as a mechanism that resolves Question 24 by construction, and to treat a fine-tuned open-weight model whose base is published under a fixed version as a manufacturer-controlled model for this purpose, not as a live dependency on a third-party service.</w:t>
      </w:r>
    </w:p>
    <w:p>
      <w:r>
        <w:rPr>
          <w:color w:val="777777"/>
          <w:sz w:val="16"/>
        </w:rPr>
        <w:t xml:space="preserve">p035 · att1 p.6  </w:t>
      </w:r>
      <w:r>
        <w:t>One closing observation. The paper's framework is built for a world in which the device sits between a patient and a clinician. There is a large population — offshore, underground, at sea, in the backcountry, in every disaster that takes the network down — for whom the device sits between a patient and nothing. I would ask that the eventual guidance say something explicit about that setting, because it is exactly the setting where a careful developer most needs to know what "safe enough" means, and where a rule written for the home-triage case will either be ignored or will keep the product from existing.</w:t>
      </w:r>
    </w:p>
    <w:p>
      <w:r>
        <w:rPr>
          <w:color w:val="777777"/>
          <w:sz w:val="16"/>
        </w:rPr>
        <w:t xml:space="preserve">p036 · att1 p.6  </w:t>
      </w:r>
      <w:r>
        <w:t>Thank you for the opportunity to comment.</w:t>
      </w:r>
    </w:p>
    <w:p>
      <w:r>
        <w:rPr>
          <w:color w:val="777777"/>
          <w:sz w:val="16"/>
        </w:rPr>
        <w:t xml:space="preserve">p037 · att1 p.6  </w:t>
      </w:r>
      <w:r>
        <w:t>Sam Rosenthal Red Kit</w:t>
      </w:r>
    </w:p>
    <w:p>
      <w:pPr>
        <w:pStyle w:val="Heading1"/>
        <w:pageBreakBefore/>
      </w:pPr>
      <w:r>
        <w:t>FDA-2026-N-7874-0083</w:t>
      </w:r>
    </w:p>
    <w:p>
      <w:r>
        <w:t>Comment from Sihem Khelifa</w:t>
      </w:r>
    </w:p>
    <w:p>
      <w:r>
        <w:rPr>
          <w:color w:val="777777"/>
          <w:sz w:val="18"/>
        </w:rPr>
        <w:t>Health Professional - A0007 · received 2026-09-09 · attachments: attachment_1.pdf (1 pp)</w:t>
      </w:r>
    </w:p>
    <w:p>
      <w:r>
        <w:rPr>
          <w:color w:val="777777"/>
          <w:sz w:val="16"/>
        </w:rPr>
        <w:t xml:space="preserve">p001 · body  </w:t>
      </w:r>
      <w:r>
        <w:t>FDA should clarify whether pathologists are expected to assume diagnostic responsibility for outputs generated by foundation-model-enabled devices that cannot be independently reviewed, explained, or quality controlled at the laboratory level. Accountability for model validity, model drift, and foundation-model changes should remain with the parties that develop, control, and maintain the model.</w:t>
      </w:r>
    </w:p>
    <w:p>
      <w:r>
        <w:rPr>
          <w:color w:val="777777"/>
          <w:sz w:val="16"/>
        </w:rPr>
        <w:t xml:space="preserve">p002 · body  </w:t>
      </w:r>
      <w:r>
        <w:t>FDA should also clearly distinguish manufacturer obligations for re-benchmarking, performance monitoring, and evaluation of foundation-model changes from laboratory quality-control obligations, to avoid transferring a continuous surveillance burden to pathology practices.</w:t>
      </w:r>
    </w:p>
    <w:p>
      <w:r>
        <w:rPr>
          <w:color w:val="777777"/>
          <w:sz w:val="16"/>
        </w:rPr>
        <w:t xml:space="preserve">p003 · att1 p.1  </w:t>
      </w:r>
      <w:r>
        <w:t>Pathologist Accountability and Quality Control of Black-Box Foundation Models — Comments on FDA, Considerations for the Regulation of Generative AI-Enabled Medical Devices: Discussion Paper and Request for Feedback</w:t>
      </w:r>
    </w:p>
    <w:p>
      <w:r>
        <w:rPr>
          <w:color w:val="777777"/>
          <w:sz w:val="16"/>
        </w:rPr>
        <w:t xml:space="preserve">p004 · att1 p.1  </w:t>
      </w:r>
      <w:r>
        <w:t>1. Responsibility for Results Generated by Black-Box Models — CONCERN — Pathologists may be expected to sign out and assume professional responsibility for clinically significant results generated by foundation-model-enabled devices even when the basis for the output cannot be independently reviewed, explained, or quality-controlled at the laboratory level. A pathologist cannot meaningfully verify an output when the model's training data, internal behavior, limitations, or relevant changes are not sufficiently transparent.</w:t>
      </w:r>
    </w:p>
    <w:p>
      <w:r>
        <w:rPr>
          <w:color w:val="777777"/>
          <w:sz w:val="16"/>
        </w:rPr>
        <w:t xml:space="preserve">p005 · att1 p.1  </w:t>
      </w:r>
      <w:r>
        <w:t>RECOMMENDATION — FDA should clearly define accountability for the final reported result. The device manufacturer should remain accountable for the validity, reliability, traceability, declared limitations, and change control of the finished device output. Pathologists should remain responsible for appropriate clinical interpretation and use, but should not be required to assume sole responsibility for an output that cannot be meaningfully reviewed or quality-controlled. Sufficient evidence, traceability, uncertainty information, and safeguards should be available before a pathologist is expected to sign out such a result.</w:t>
      </w:r>
    </w:p>
    <w:p>
      <w:r>
        <w:rPr>
          <w:color w:val="777777"/>
          <w:sz w:val="16"/>
        </w:rPr>
        <w:t xml:space="preserve">p006 · att1 p.1  </w:t>
      </w:r>
      <w:r>
        <w:t>2. Ongoing Quality Control and Laboratory Workload — CONCERN — Periodic re-benchmarking, sample-based clinician review, performance-degradation monitoring, and reassessment after changes to a third-party foundation model could shift substantial surveillance, documentation, and verification work to pathology laboratories. Without clear boundaries, these obligations may increase pathologist workload rather than deliver the intended efficiency benefit.</w:t>
      </w:r>
    </w:p>
    <w:p>
      <w:r>
        <w:rPr>
          <w:color w:val="777777"/>
          <w:sz w:val="16"/>
        </w:rPr>
        <w:t xml:space="preserve">p007 · att1 p.1  </w:t>
      </w:r>
      <w:r>
        <w:t>RECOMMENDATION — FDA should clearly distinguish manufacturer-level model surveillance from laboratory-level operational quality control. Manufacturers should be responsible for detecting foundation-model changes, evaluating their impact, re-benchmarking the finished device, monitoring performance degradation, and communicating required actions to laboratories. Laboratory quality control should be risk-based, feasible, and limited to confirming continued performance within the local pathology workflow. The expected staffing, documentation, review, and sign-out burden should be evaluated when assessing the real-world benefits and risks of these devices.</w:t>
      </w:r>
    </w:p>
    <w:p>
      <w:r>
        <w:rPr>
          <w:color w:val="777777"/>
          <w:sz w:val="16"/>
        </w:rPr>
        <w:t xml:space="preserve">p008 · att1 p.1  </w:t>
      </w:r>
      <w:r>
        <w:t>Relevant FDA discussion questions: Questions 19, 21, 22, and 24.</w:t>
      </w:r>
    </w:p>
    <w:p>
      <w:r>
        <w:rPr>
          <w:color w:val="777777"/>
          <w:sz w:val="16"/>
        </w:rPr>
        <w:t xml:space="preserve">p009 · att1 p.1  </w:t>
      </w:r>
      <w:r>
        <w:t>Comments on FDA GenAI-Enabled Medical Devices Discussion Paper Page 1</w:t>
      </w:r>
    </w:p>
    <w:p>
      <w:pPr>
        <w:pStyle w:val="Heading1"/>
        <w:pageBreakBefore/>
      </w:pPr>
      <w:r>
        <w:t>FDA-2026-N-7874-0084</w:t>
      </w:r>
    </w:p>
    <w:p>
      <w:r>
        <w:t>Comment from Jenna Chuan</w:t>
      </w:r>
    </w:p>
    <w:p>
      <w:r>
        <w:rPr>
          <w:color w:val="777777"/>
          <w:sz w:val="18"/>
        </w:rPr>
        <w:t>Individual Consumer · received 2026-09-09</w:t>
      </w:r>
    </w:p>
    <w:p>
      <w:r>
        <w:rPr>
          <w:color w:val="777777"/>
          <w:sz w:val="16"/>
        </w:rPr>
        <w:t xml:space="preserve">p001 · body  </w:t>
      </w:r>
      <w:r>
        <w:t>I am a junior at the University of Texas at Austin, premed, studying biology with a business minor. I work with HealthMaze, a nonprofit that runs on-site blood pressure screenings at food pantries and shelters in Austin and connects people to free or low-cost clinic referrals. I'm writing to comment on how GenAI-enabled care escalation functions should weigh under-escalation against over-escalation.</w:t>
      </w:r>
    </w:p>
    <w:p>
      <w:r>
        <w:rPr>
          <w:color w:val="777777"/>
          <w:sz w:val="16"/>
        </w:rPr>
        <w:t xml:space="preserve">p002 · body  </w:t>
      </w:r>
      <w:r>
        <w:t>In our screenings, this trade-off shows up with borderline readings. Under-referring risks missing something serious in a population that often has no other contact with the healthcare system. But over-referring for every borderline case has real costs for our patients too. It's a real cost for these people to take the time and spend the money traveling to clinics, and it can also make them distrust future screenings if it happens repeatedly, which discourages them from engaging with the healthcare system at all.</w:t>
      </w:r>
    </w:p>
    <w:p>
      <w:r>
        <w:rPr>
          <w:color w:val="777777"/>
          <w:sz w:val="16"/>
        </w:rPr>
        <w:t xml:space="preserve">p003 · body  </w:t>
      </w:r>
      <w:r>
        <w:t>I think the right balance depends heavily on context, including how difficult it is to access the resource, how much benefit it would bring the population, and how much trust the population already has in the system. I'd encourage CDRH to require that manufacturers justify their calibration of escalation thresholds against the specific population and care access context the device is deployed in, rather than applying a single acceptable error rate across settings with very different resource constraints.</w:t>
      </w:r>
    </w:p>
    <w:p>
      <w:r>
        <w:rPr>
          <w:color w:val="777777"/>
          <w:sz w:val="16"/>
        </w:rPr>
        <w:t xml:space="preserve">p004 · body  </w:t>
      </w:r>
      <w:r>
        <w:t>Thank you for the opportunity to comment.</w:t>
      </w:r>
    </w:p>
    <w:p>
      <w:pPr>
        <w:pStyle w:val="Heading1"/>
        <w:pageBreakBefore/>
      </w:pPr>
      <w:r>
        <w:t>FDA-2026-N-7874-0085</w:t>
      </w:r>
    </w:p>
    <w:p>
      <w:r>
        <w:t>Comment from Princeton Medical Systems</w:t>
      </w:r>
    </w:p>
    <w:p>
      <w:r>
        <w:rPr>
          <w:color w:val="777777"/>
          <w:sz w:val="18"/>
        </w:rPr>
        <w:t>Device Industry - C0012 · received 2026-09-10 · attachments: attachment_1.pdf (6 pp)</w:t>
      </w:r>
    </w:p>
    <w:p>
      <w:r>
        <w:rPr>
          <w:color w:val="777777"/>
          <w:sz w:val="16"/>
        </w:rPr>
        <w:t xml:space="preserve">p001 · body  </w:t>
      </w:r>
      <w:r>
        <w:t>Please see the attached comment from Princeton Medical Systems, steward of the Verified Imaging Dataset Standard (VIDS), addressing documentation of datasets used in benchmarking and evaluation of GenAI-enabled medical devices (responses to Questions 9, 10, 12, 13, 16, 19, and 22 and benchmarking element R.2).</w:t>
      </w:r>
    </w:p>
    <w:p>
      <w:r>
        <w:rPr>
          <w:color w:val="777777"/>
          <w:sz w:val="16"/>
        </w:rPr>
        <w:t xml:space="preserve">p002 · att1 p.1  </w:t>
      </w:r>
      <w:r>
        <w:t>Comment on: Considerations for the Regulation of Generative AI-Enabled Medical Devices: Discussion Paper and Request for Feedback</w:t>
      </w:r>
    </w:p>
    <w:p>
      <w:r>
        <w:rPr>
          <w:color w:val="777777"/>
          <w:sz w:val="16"/>
        </w:rPr>
        <w:t xml:space="preserve">p003 · att1 p.1  </w:t>
      </w:r>
      <w:r>
        <w:t>Docket No. FDA-2026-N-7874 — Submitted by: Princeton Medical Systems, steward of the Verified Imaging Dataset Standard (VIDS)</w:t>
      </w:r>
    </w:p>
    <w:p>
      <w:r>
        <w:rPr>
          <w:color w:val="777777"/>
          <w:sz w:val="16"/>
        </w:rPr>
        <w:t xml:space="preserve">p004 · att1 p.1  </w:t>
      </w:r>
      <w:r>
        <w:t>Date: September 10, 2026 — 1. Interest of the commenter and scope of this comment</w:t>
      </w:r>
    </w:p>
    <w:p>
      <w:r>
        <w:rPr>
          <w:color w:val="777777"/>
          <w:sz w:val="16"/>
        </w:rPr>
        <w:t xml:space="preserve">p005 · att1 p.1  </w:t>
      </w:r>
      <w:r>
        <w:t>Princeton Medical Systems (PMS) is the steward organization of the Verified Imaging Dataset Standard (VIDS), an open standard for the structure and documentation of medical imaging datasets used in AI development. The specification is published under CC BY 4.0, the reference tooling under Apache 2.0, and the standard is maintained through a public repository and governance process.</w:t>
      </w:r>
    </w:p>
    <w:p>
      <w:r>
        <w:rPr>
          <w:color w:val="777777"/>
          <w:sz w:val="16"/>
        </w:rPr>
        <w:t xml:space="preserve">p006 · att1 p.1  </w:t>
      </w:r>
      <w:r>
        <w:t>This comment is deliberately narrow. It addresses one layer of the framework described in the discussion paper: the documentation of the datasets on which benchmarking and clinical confirmation evidence depend. It responds primarily to Question 10, with supporting responses to Questions 9, 16, 19, and 22, and brief observations relevant to benchmarking element R.2 and Questions 12 and 13, together with a single observation on the voluntary Foundation Model Device Master File (MAF) concept discussed in Section VII.A. It takes no position on the two-axis risk framework, clinical confirmation study design, or any other question in the paper.</w:t>
      </w:r>
    </w:p>
    <w:p>
      <w:r>
        <w:rPr>
          <w:color w:val="777777"/>
          <w:sz w:val="16"/>
        </w:rPr>
        <w:t xml:space="preserve">p007 · att1 p.1  </w:t>
      </w:r>
      <w:r>
        <w:t>One limitation should be stated at the outset, because it defines both what this comment argues and what it does not. VIDS verifies that documentation is present and structured; it does not certify a dataset. Nothing in this comment should be read as suggesting that dataset documentation, standardized or otherwise, establishes benchmark validity, rules out contamination, demonstrates representativeness, or supports any conclusion about the safety or effectiveness of a device. Documentation makes those questions inspectable. It does not answer them.</w:t>
      </w:r>
    </w:p>
    <w:p>
      <w:r>
        <w:rPr>
          <w:color w:val="777777"/>
          <w:sz w:val="16"/>
        </w:rPr>
        <w:t xml:space="preserve">p008 · att1 p.1  </w:t>
      </w:r>
      <w:r>
        <w:t>2. Central observation: device-performance evaluation and dataset documentation are separate functions, and the framework benefits from treating them separately</w:t>
      </w:r>
    </w:p>
    <w:p>
      <w:r>
        <w:rPr>
          <w:color w:val="777777"/>
          <w:sz w:val="16"/>
        </w:rPr>
        <w:t xml:space="preserve">p009 · att1 p.1  </w:t>
      </w:r>
      <w:r>
        <w:t>The competency-based approach described in Section V relies on evaluation assets at many stages: benchmarking assets in Section V.B, retrospective patient inputs and reference standards in Section V.C, re-benchmarking baselines in Section VI, and the sequestered third-party datasets contemplated in Section V.D.2. Many of the approaches described in Sections V and VI depend on defined datasets, recorded patient inputs, case collections, or benchmark assets.</w:t>
      </w:r>
    </w:p>
    <w:p>
      <w:r>
        <w:rPr>
          <w:color w:val="777777"/>
          <w:sz w:val="16"/>
        </w:rPr>
        <w:t xml:space="preserve">p010 · att1 p.1  </w:t>
      </w:r>
      <w:r>
        <w:t>Wherever an evaluation relies on such an asset, two distinct questions arise: 1. How well does the device perform? This is the question the benchmarking elements (S.1 through A.1), the clinical confirmation approaches, and the comparator discussion address.</w:t>
      </w:r>
    </w:p>
    <w:p>
      <w:r>
        <w:rPr>
          <w:color w:val="777777"/>
          <w:sz w:val="16"/>
        </w:rPr>
        <w:t xml:space="preserve">p011 · att1 p.1  </w:t>
      </w:r>
      <w:r>
        <w:t>2. What exactly was the asset on which that performance was measured, and is that answerable by a reviewer, an independent adjudicator, or the same sponsor at a later reassessment?</w:t>
      </w:r>
    </w:p>
    <w:p>
      <w:r>
        <w:rPr>
          <w:color w:val="777777"/>
          <w:sz w:val="16"/>
        </w:rPr>
        <w:t xml:space="preserve">p012 · att1 p.2  </w:t>
      </w:r>
      <w:r>
        <w:t>The second question is not a performance question. It is a documentation question, and the documentation supporting it can be standardized and machine-checked for presence and structure regardless of how CDRH ultimately resolves the first. PMS respectfully suggests that the framework will be easier to operate, for sponsors, for review teams, and for any independent third parties, if the two questions are kept explicitly separate: performance evaluation methods can then evolve without destabilizing the documentation layer, and the documentation layer can be checked mechanically without anyone mistaking that check for a judgment about device safety or effectiveness.</w:t>
      </w:r>
    </w:p>
    <w:p>
      <w:r>
        <w:rPr>
          <w:color w:val="777777"/>
          <w:sz w:val="16"/>
        </w:rPr>
        <w:t xml:space="preserve">p013 · att1 p.2  </w:t>
      </w:r>
      <w:r>
        <w:t>3. Response to Question 10: benchmark construct validity and the documentation of the underlying dataset</w:t>
      </w:r>
    </w:p>
    <w:p>
      <w:r>
        <w:rPr>
          <w:color w:val="777777"/>
          <w:sz w:val="16"/>
        </w:rPr>
        <w:t xml:space="preserve">p014 · att1 p.2  </w:t>
      </w:r>
      <w:r>
        <w:t>Question 10 asks how a sponsor should establish that performance on a given benchmark predicts safe and effective real-world behavior, and what evidence should support the construct validity of a benchmark used to gate device evaluation, given concerns about contamination, saturation, and limited real-world representativeness.</w:t>
      </w:r>
    </w:p>
    <w:p>
      <w:r>
        <w:rPr>
          <w:color w:val="777777"/>
          <w:sz w:val="16"/>
        </w:rPr>
        <w:t xml:space="preserve">p015 · att1 p.2  </w:t>
      </w:r>
      <w:r>
        <w:t>PMS does not propose an answer to the construct-validity question itself. Our observation is narrower: assessing and reproducing claims about contamination, representativeness, and construct validity becomes substantially more difficult when the provenance, composition, annotation methods, transformations, and version of the underlying dataset are absent or inconsistently documented. Whatever construct-validity evidence CDRH ultimately considers appropriate, a reviewer examining it will need to be able to determine, from the dataset's own documentation rather than from correspondence with the sponsor:</w:t>
      </w:r>
    </w:p>
    <w:p>
      <w:r>
        <w:rPr>
          <w:color w:val="777777"/>
          <w:sz w:val="16"/>
        </w:rPr>
        <w:t xml:space="preserve">p016 · att1 p.2  </w:t>
      </w:r>
      <w:r>
        <w:t>• where the data came from and how it was acquired;</w:t>
      </w:r>
    </w:p>
    <w:p>
      <w:r>
        <w:rPr>
          <w:color w:val="777777"/>
          <w:sz w:val="16"/>
        </w:rPr>
        <w:t xml:space="preserve">p017 · att1 p.2  </w:t>
      </w:r>
      <w:r>
        <w:t>• what population the dataset represents, at least at the level of a subject registry;</w:t>
      </w:r>
    </w:p>
    <w:p>
      <w:r>
        <w:rPr>
          <w:color w:val="777777"/>
          <w:sz w:val="16"/>
        </w:rPr>
        <w:t xml:space="preserve">p018 · att1 p.2  </w:t>
      </w:r>
      <w:r>
        <w:t>• how reference annotations were produced: by whom, with what qualifications, using what tools and process, under what quality control;</w:t>
      </w:r>
    </w:p>
    <w:p>
      <w:r>
        <w:rPr>
          <w:color w:val="777777"/>
          <w:sz w:val="16"/>
        </w:rPr>
        <w:t xml:space="preserve">p019 · att1 p.2  </w:t>
      </w:r>
      <w:r>
        <w:t>• what conversions or other processing steps were applied between acquisition and the tested form;</w:t>
      </w:r>
    </w:p>
    <w:p>
      <w:r>
        <w:rPr>
          <w:color w:val="777777"/>
          <w:sz w:val="16"/>
        </w:rPr>
        <w:t xml:space="preserve">p020 · att1 p.2  </w:t>
      </w:r>
      <w:r>
        <w:t>• how any train/validation/test partitions were constructed, including whether partitioning was at the subject level and whether it is reproducible;</w:t>
      </w:r>
    </w:p>
    <w:p>
      <w:r>
        <w:rPr>
          <w:color w:val="777777"/>
          <w:sz w:val="16"/>
        </w:rPr>
        <w:t xml:space="preserve">p021 · att1 p.2  </w:t>
      </w:r>
      <w:r>
        <w:t>• what quality documentation exists, including inter-annotator agreement and class distribution where applicable; and</w:t>
      </w:r>
    </w:p>
    <w:p>
      <w:r>
        <w:rPr>
          <w:color w:val="777777"/>
          <w:sz w:val="16"/>
        </w:rPr>
        <w:t xml:space="preserve">p022 · att1 p.2  </w:t>
      </w:r>
      <w:r>
        <w:t>• which exact version of the dataset was used, so that "the benchmark" names one identifiable artifact rather than a family of similar ones.</w:t>
      </w:r>
    </w:p>
    <w:p>
      <w:r>
        <w:rPr>
          <w:color w:val="777777"/>
          <w:sz w:val="16"/>
        </w:rPr>
        <w:t xml:space="preserve">p023 · att1 p.2  </w:t>
      </w:r>
      <w:r>
        <w:t>None of these items establishes that a benchmark is valid. Each provides important information for examining whether it is. A contamination analysis benefits from unambiguous dataset identity, version, provenance, and release history; those records do not by themselves establish whether a model was exposed to the benchmark. A representativeness argument benefits from knowing composition; an independence argument about sponsor-developed benchmarks (a concern Question 10 raises directly) benefits from knowing who produced the annotations and under what process.</w:t>
      </w:r>
    </w:p>
    <w:p>
      <w:r>
        <w:rPr>
          <w:color w:val="777777"/>
          <w:sz w:val="16"/>
        </w:rPr>
        <w:t xml:space="preserve">p024 · att1 p.3  </w:t>
      </w:r>
      <w:r>
        <w:t>This documentation cannot be assumed to exist. In an analysis of four public imaging datasets reported in arXiv:2604.17525, the datasets satisfied only 20 to 39 percent of 22 evaluated dimensions, with provenance and quality documentation identified as the largest systematic gaps. In the interest of transparency: that analysis is a preprint authored by two founders of the submitting organization and has not undergone peer review. Because the datasets examined are public and the evaluated dimensions are published, the finding can be checked independently rather than taken on our characterization.</w:t>
      </w:r>
    </w:p>
    <w:p>
      <w:r>
        <w:rPr>
          <w:color w:val="777777"/>
          <w:sz w:val="16"/>
        </w:rPr>
        <w:t xml:space="preserve">p025 · att1 p.3  </w:t>
      </w:r>
      <w:r>
        <w:t>The practical recommendation for Question 10 is therefore procedural rather than substantive: whatever construct-validity evidence CDRH considers appropriate, CDRH could consider having such evidence accompanied by structured, machine-checkable documentation of the benchmark dataset itself, so that the construct-validity argument is examinable against a described artifact rather than an implicit one.</w:t>
      </w:r>
    </w:p>
    <w:p>
      <w:r>
        <w:rPr>
          <w:color w:val="777777"/>
          <w:sz w:val="16"/>
        </w:rPr>
        <w:t xml:space="preserve">p026 · att1 p.3  </w:t>
      </w:r>
      <w:r>
        <w:t>4. Response to Question 9: externally developed standards — Question 9 asks whether there are externally developed standards that could be leveraged in benchmarking.</w:t>
      </w:r>
    </w:p>
    <w:p>
      <w:r>
        <w:rPr>
          <w:color w:val="777777"/>
          <w:sz w:val="16"/>
        </w:rPr>
        <w:t xml:space="preserve">p027 · att1 p.3  </w:t>
      </w:r>
      <w:r>
        <w:t>PMS suggests that CDRH consider, as a concept, a standardized, machine-checkable minimum documentation layer for datasets used in benchmarking and clinical confirmation. Such a layer would specify how a dataset describes its provenance, composition, annotation process, processing steps, partitions, quality documentation, and version, in structured fields that a program can check for presence and well-formedness. It would remain entirely separate from any judgment about dataset quality, representativeness, or device performance; those judgments stay with the evaluation methods and reviewers the rest of the paper describes.</w:t>
      </w:r>
    </w:p>
    <w:p>
      <w:r>
        <w:rPr>
          <w:color w:val="777777"/>
          <w:sz w:val="16"/>
        </w:rPr>
        <w:t xml:space="preserve">p028 · att1 p.3  </w:t>
      </w:r>
      <w:r>
        <w:t>VIDS provides one existing open implementation of this concept for medical imaging datasets. The specification requires a Provenance object on every annotation sidecar, including an annotator identifier or name and, within the annotation-process record, at least a date or tool; every dataset carries a required subject registry and a required dataset version; partition files document subject-level train/validation/test membership and can record the split strategy, ratio, and random seed; inter-annotator agreement files are required under the specification's Full profile; and a recommended file documents class distribution. An open-source validator mechanically checks a defined subset of these structural requirements, reporting pass, fail, warn, or skip per rule; other documentation elements are defined by the specification without all being validator-enforced. The validator checks presence and structure only; it makes no judgment about whether the documented quality is good. That separation is deliberate and preserves the distinction between machine checks and substantive evaluation: a machine can verify that a dataset says who annotated it; only qualified humans, or the evaluation methods this paper describes, can judge whether the annotation is any good.</w:t>
      </w:r>
    </w:p>
    <w:p>
      <w:r>
        <w:rPr>
          <w:color w:val="777777"/>
          <w:sz w:val="16"/>
        </w:rPr>
        <w:t xml:space="preserve">p029 · att1 p.3  </w:t>
      </w:r>
      <w:r>
        <w:t>A publicly archived reference dataset prepared to the specification's Full profile is available under a persistent identifier (reference 5), so that the implementation can be examined directly rather than taken on description.</w:t>
      </w:r>
    </w:p>
    <w:p>
      <w:r>
        <w:rPr>
          <w:color w:val="777777"/>
          <w:sz w:val="16"/>
        </w:rPr>
        <w:t xml:space="preserve">p030 · att1 p.3  </w:t>
      </w:r>
      <w:r>
        <w:t>We offer VIDS here as evidence that the concept is technically implementable, not as a candidate for adoption. Whether through VIDS, an evolution of it, an analogous approach for non-imaging data, or another consensus-based standard, the concept is what we recommend the Agency consider.</w:t>
      </w:r>
    </w:p>
    <w:p>
      <w:r>
        <w:rPr>
          <w:color w:val="777777"/>
          <w:sz w:val="16"/>
        </w:rPr>
        <w:t xml:space="preserve">p031 · att1 p.4  </w:t>
      </w:r>
      <w:r>
        <w:t>5. Response to Question 16: independent third parties and evaluation-dataset infrastructure — Section V.D.2 and Question 16 consider potential roles for independent third parties, including maintaining sequestered evaluation datasets and benchmarks, serving as independent expert adjudicators, and developing standards that might be recognized by FDA to promote consistency across testing and review.</w:t>
      </w:r>
    </w:p>
    <w:p>
      <w:r>
        <w:rPr>
          <w:color w:val="777777"/>
          <w:sz w:val="16"/>
        </w:rPr>
        <w:t xml:space="preserve">p032 · att1 p.4  </w:t>
      </w:r>
      <w:r>
        <w:t>A standardized documentation layer would be particularly useful for the sequestered-dataset role. Where sponsor access to the underlying evaluation data is restricted, the parties relying on the asset (CDRH, the third party, and the sponsor accepting results generated on it) would benefit from a shared, structured way to describe what the dataset is, how its reference annotations were produced, and which version was used for which evaluation, without disclosing the content itself. Structured documentation with machine-checkable presence rules allows a third party to describe such an asset at a useful level of detail while keeping the data itself withheld, and allows consistency of description across multiple third parties. The same applies to the standards-development role: dataset documentation is a natural early candidate for consistency, because it is common infrastructure across many of the evaluation methods the paper discusses and is separable from the harder, still-open questions about how device performance itself should be measured.</w:t>
      </w:r>
    </w:p>
    <w:p>
      <w:r>
        <w:rPr>
          <w:color w:val="777777"/>
          <w:sz w:val="16"/>
        </w:rPr>
        <w:t xml:space="preserve">p033 · att1 p.4  </w:t>
      </w:r>
      <w:r>
        <w:t>6. Response to Questions 22 and 19: dataset identity and versioning in re-benchmarking</w:t>
      </w:r>
    </w:p>
    <w:p>
      <w:r>
        <w:rPr>
          <w:color w:val="777777"/>
          <w:sz w:val="16"/>
        </w:rPr>
        <w:t xml:space="preserve">p034 · att1 p.4  </w:t>
      </w:r>
      <w:r>
        <w:t>Question 22 envisions the premarket competency assessment serving as a baseline against which post-deployment modifications are re-evaluated, and Question 19 asks about periodic re-benchmarking generally.</w:t>
      </w:r>
    </w:p>
    <w:p>
      <w:r>
        <w:rPr>
          <w:color w:val="777777"/>
          <w:sz w:val="16"/>
        </w:rPr>
        <w:t xml:space="preserve">p035 · att1 p.4  </w:t>
      </w:r>
      <w:r>
        <w:t>Both depend on a comparison of the form: device version A produced result X on the benchmark; device version B later produced result Y on "the same benchmark." The comparison depends on clearly identifying what "the same benchmark" means: same release, subjects, reference annotations, processing, partitions, and exclusions. Datasets change for legitimate reasons (corrected labels, added subjects, revised exclusions), and without explicit version identity those changes silently confound the device comparison; a shift from X to Y may reflect the modification under review, a change in the evaluation asset, or both.</w:t>
      </w:r>
    </w:p>
    <w:p>
      <w:r>
        <w:rPr>
          <w:color w:val="777777"/>
          <w:sz w:val="16"/>
        </w:rPr>
        <w:t xml:space="preserve">p036 · att1 p.4  </w:t>
      </w:r>
      <w:r>
        <w:t>Structured versioning is the documentation layer's contribution here. A documentation layer can support this through a required dataset version identifier, explicit subject-level partition membership, and, where available, a change log and persistent identifier. With those in place, a re-benchmarking result can state precisely which evaluation artifact it used, and a reviewer can compare the recorded identifiers and determine whether the baseline and follow-up records identify the same asset or a documented successor. This seems particularly relevant to the change categories Question 22 asks about: the more a change-control framework relies on comparison against a premarket baseline, the more the identity of the baseline asset itself needs to be a checkable fact rather than an assumption.</w:t>
      </w:r>
    </w:p>
    <w:p>
      <w:r>
        <w:rPr>
          <w:color w:val="777777"/>
          <w:sz w:val="16"/>
        </w:rPr>
        <w:t xml:space="preserve">p037 · att1 p.4  </w:t>
      </w:r>
      <w:r>
        <w:t>7. Brief observations: subgroup evaluation and data origin — Element R.2 (subgroup performance). Subgroup-performance analysis depends in part on sufficiently documented dataset composition: a reviewer cannot examine whether an evaluation covered a clinically relevant population without documentation of what populations the evaluation data contained. A subject-level registry that can include structured fields such as age and sex supports part of this need. We note that R.2 as described is considerably broader (dialects, literacy levels, interaction patterns), and we do not suggest that dataset-level documentation addresses those dimensions; it addresses the composition portion.</w:t>
      </w:r>
    </w:p>
    <w:p>
      <w:r>
        <w:rPr>
          <w:color w:val="777777"/>
          <w:sz w:val="16"/>
        </w:rPr>
        <w:t xml:space="preserve">p038 · att1 p.5  </w:t>
      </w:r>
      <w:r>
        <w:t>Questions 12 and 13 (synthetic data). Where synthetically generated inputs supplement real patient data, the analyses contemplated in Questions 12 and 13 benefit from explicit documentation of data origin. CDRH could consider an origin declaration at the dataset and, where appropriate, cohort or item level, distinguishing acquired, synthetic, simulated, phantom-derived, and mixed sources, with the generation method recorded for synthetic content. This is a concept-level recommendation; the current VIDS specification does not define such a field.</w:t>
      </w:r>
    </w:p>
    <w:p>
      <w:r>
        <w:rPr>
          <w:color w:val="777777"/>
          <w:sz w:val="16"/>
        </w:rPr>
        <w:t xml:space="preserve">p039 · att1 p.5  </w:t>
      </w:r>
      <w:r>
        <w:t>Finally, we note that the training-data provenance content contemplated for voluntary Foundation Model MAFs in Section VII.A raises an analogous provenance-documentation question at the model level, and may benefit from similarly structured treatment.</w:t>
      </w:r>
    </w:p>
    <w:p>
      <w:r>
        <w:rPr>
          <w:color w:val="777777"/>
          <w:sz w:val="16"/>
        </w:rPr>
        <w:t xml:space="preserve">p040 · att1 p.5  </w:t>
      </w:r>
      <w:r>
        <w:t>8. Conclusion — The discussion paper's questions about benchmarking, third-party evaluation assets, and postmarket re-benchmarking point to a recurring need: the datasets underlying evaluation evidence must be identifiable and sufficiently documented for that evidence to be examined and repeated. Part of the answer sits below the evaluation methods themselves, in the documentation of the datasets those methods run on. That layer can be standardized and machine-checked for presence and structure today, independently of how the harder device-performance questions are resolved, and keeping it explicitly separate from performance evaluation protects both: documentation checks never masquerade as safety judgments, and evaluation methods can evolve on top of a stable documentation layer. For ease of reference, our recommendations reduce to three. First, whatever construct-validity evidence CDRH considers appropriate could be accompanied by structured, machine-checkable documentation of the benchmark dataset itself (Question 10). Second, CDRH could consider, as a concept, a standardized, machine-checkable minimum documentation layer for datasets used in benchmarking and clinical confirmation, with dataset identity and versioning supporting re-benchmarking comparisons (Questions 9, 16, 19, and 22). Third, CDRH could consider an origin declaration for evaluation datasets, at the dataset and, where appropriate, cohort or item level, distinguishing acquired, synthetic, simulated, phantom-derived, and mixed sources (Questions 12 and 13).</w:t>
      </w:r>
    </w:p>
    <w:p>
      <w:r>
        <w:rPr>
          <w:color w:val="777777"/>
          <w:sz w:val="16"/>
        </w:rPr>
        <w:t xml:space="preserve">p041 · att1 p.5  </w:t>
      </w:r>
      <w:r>
        <w:t>PMS appreciates the Agency's openness in seeking early input and would welcome the opportunity to provide further technical detail on any point above.</w:t>
      </w:r>
    </w:p>
    <w:p>
      <w:r>
        <w:rPr>
          <w:color w:val="777777"/>
          <w:sz w:val="16"/>
        </w:rPr>
        <w:t xml:space="preserve">p042 · att1 p.6  </w:t>
      </w:r>
      <w:r>
        <w:t>Respectfully submitted, John Xavier U.S. Partnerships &amp; Regulatory Liaison Princeton Medical Systems standards@vidsstandard.org</w:t>
      </w:r>
    </w:p>
    <w:p>
      <w:r>
        <w:rPr>
          <w:color w:val="777777"/>
          <w:sz w:val="16"/>
        </w:rPr>
        <w:t xml:space="preserve">p043 · att1 p.6  </w:t>
      </w:r>
      <w:r>
        <w:t>References — 1. FDA CDRH, "Considerations for the Regulation of Generative AI-Enabled Medical Devices: Discussion Paper and Request for Feedback," August 2026, Docket No. FDA-2026-N-7874. https://www.fda.gov/medical-devi ces/digital-health-center-excellence/considerations-regulation-generative-ai-enabled-medical-devices-discuss ion-paper-and-request</w:t>
      </w:r>
    </w:p>
    <w:p>
      <w:r>
        <w:rPr>
          <w:color w:val="777777"/>
          <w:sz w:val="16"/>
        </w:rPr>
        <w:t xml:space="preserve">p044 · att1 p.6  </w:t>
      </w:r>
      <w:r>
        <w:t>2. VIDS Specification v1.0.1, Princeton Medical Systems, 2026-07-31. Canonical URL: https://vidsstandard.org/specification/. Repository snapshot reviewed for this comment: https://github.com/vids-standard/vids-standard/tree/2b1cd54844d9cb7a9afaa357d046e49e0a7af05a. Specification licensed CC BY 4.0.</w:t>
      </w:r>
    </w:p>
    <w:p>
      <w:r>
        <w:rPr>
          <w:color w:val="777777"/>
          <w:sz w:val="16"/>
        </w:rPr>
        <w:t xml:space="preserve">p045 · att1 p.6  </w:t>
      </w:r>
      <w:r>
        <w:t>3. vids-validator v1.2.1, Princeton Medical Systems. https://pypi.org/project/vids-validator/. Licensed Apache 2.0.</w:t>
      </w:r>
    </w:p>
    <w:p>
      <w:r>
        <w:rPr>
          <w:color w:val="777777"/>
          <w:sz w:val="16"/>
        </w:rPr>
        <w:t xml:space="preserve">p046 · att1 p.6  </w:t>
      </w:r>
      <w:r>
        <w:t>4. Muthu JS, Shalen J. "VIDS: A Verified Imaging Dataset Standard for Medical AI." arXiv:2604.17525 (preprint), 2026. https://arxiv.org/abs/2604.17525</w:t>
      </w:r>
    </w:p>
    <w:p>
      <w:r>
        <w:rPr>
          <w:color w:val="777777"/>
          <w:sz w:val="16"/>
        </w:rPr>
        <w:t xml:space="preserve">p047 · att1 p.6  </w:t>
      </w:r>
      <w:r>
        <w:t>5. LIDC-Hybrid-100, a 100-subject CT reference dataset structured to the VIDS specification, Princeton Medical Systems, 2026. Zenodo. https://doi.org/10.5281/zenodo.19582717</w:t>
      </w:r>
    </w:p>
    <w:p>
      <w:r>
        <w:rPr>
          <w:color w:val="777777"/>
          <w:sz w:val="16"/>
        </w:rPr>
        <w:t xml:space="preserve">p048 · att1 p.6  </w:t>
      </w:r>
      <w:r>
        <w:t>Contact: standards@vidsstandard.org | vidsstandard.org</w:t>
      </w:r>
    </w:p>
    <w:p>
      <w:pPr>
        <w:pStyle w:val="Heading1"/>
        <w:pageBreakBefore/>
      </w:pPr>
      <w:r>
        <w:t>FDA-2026-N-7874-0086</w:t>
      </w:r>
    </w:p>
    <w:p>
      <w:r>
        <w:t>Comment from Michelle Bernabe, RN, BSN</w:t>
      </w:r>
    </w:p>
    <w:p>
      <w:r>
        <w:rPr>
          <w:color w:val="777777"/>
          <w:sz w:val="18"/>
        </w:rPr>
        <w:t>Health Professional - A0007 · received 2026-09-10</w:t>
      </w:r>
    </w:p>
    <w:p>
      <w:r>
        <w:rPr>
          <w:color w:val="777777"/>
          <w:sz w:val="16"/>
        </w:rPr>
        <w:t xml:space="preserve">p001 · body  </w:t>
      </w:r>
      <w:r>
        <w:t>i am a Columbia University-trained registered nurse with more than a decade of frontline experience, including psychiatric emergency care. i write Moral Health about narrative medicine, health reform, and responsible innovation. i submit in my individual capacity, not for National Nurses United. my recommendations align with NNU's Nurses and Patients' Bill of Rights.</w:t>
      </w:r>
    </w:p>
    <w:p>
      <w:r>
        <w:rPr>
          <w:color w:val="777777"/>
          <w:sz w:val="16"/>
        </w:rPr>
        <w:t xml:space="preserve">p002 · body  </w:t>
      </w:r>
      <w:r>
        <w:t>i am an innovation enthusiast. generative ai may help patients understand and participate more fully in their care. it may help clinicians synthesize complex information, uncover patterns that might otherwise be missed, support earlier and more personalized interventions, strengthen communication and care coordination, reduce administrative burdens, extend expertise to underserved communities, and accelerate research and discovery. some of its most meaningful uses may still be waiting to be imagined. but innovation in health care must begin with safety. the people affected by these systems are our friends, partners, parents, children, neighbors, and eventually ourselves. when an ai-generated output enters care, it enters a relationship of trust among a patient, family, nurse, and clinical team.</w:t>
      </w:r>
    </w:p>
    <w:p>
      <w:r>
        <w:rPr>
          <w:color w:val="777777"/>
          <w:sz w:val="16"/>
        </w:rPr>
        <w:t xml:space="preserve">p003 · body  </w:t>
      </w:r>
      <w:r>
        <w:t>1. build the risk framework around real conditions of care in response to questions 1 through 6, FDA should assess both function and real conditions of use: reversibility, urgency, vulnerability, error detection, traceability, scale, staffing, and workflow. risk includes missed and unnecessary warnings. classification should reflect what happens when a system is wrong and whether clinicians have the time, information, authority, and staffing to respond safely.</w:t>
      </w:r>
    </w:p>
    <w:p>
      <w:r>
        <w:rPr>
          <w:color w:val="777777"/>
          <w:sz w:val="16"/>
        </w:rPr>
        <w:t xml:space="preserve">p004 · body  </w:t>
      </w:r>
      <w:r>
        <w:t>2. require real clinical evidence for high-risk systems in response to questions 10 through 16, benchmarks alone are not enough for systems that influence diagnosis, triage, treatment, escalation, or monitoring. high-risk systems need prospective clinical validation across diverse patients and settings.</w:t>
      </w:r>
    </w:p>
    <w:p>
      <w:r>
        <w:rPr>
          <w:color w:val="777777"/>
          <w:sz w:val="16"/>
        </w:rPr>
        <w:t xml:space="preserve">p005 · body  </w:t>
      </w:r>
      <w:r>
        <w:t>FDA should evaluate the human-AI team, including registered nurses, not only the model. testing should measure hallucinations, omissions, automation bias, verification time, cognitive burden, workflow disruption, overrides, delays, and near misses. comparisons should be against safe, adequately staffed care, not an understaffed environment that makes a product appear beneficial.</w:t>
      </w:r>
    </w:p>
    <w:p>
      <w:r>
        <w:rPr>
          <w:color w:val="777777"/>
          <w:sz w:val="16"/>
        </w:rPr>
        <w:t xml:space="preserve">p006 · body  </w:t>
      </w:r>
      <w:r>
        <w:t>3. protect clinical relationships and professional judgment ai should support relationships, not displace them. patients need a real person who can listen, explain, notice what does not fit, and accept responsibility. nurses and other clinicians must be able to question, override, document concerns about, and stop unsafe ai recommendations without retaliation.</w:t>
      </w:r>
    </w:p>
    <w:p>
      <w:r>
        <w:rPr>
          <w:color w:val="777777"/>
          <w:sz w:val="16"/>
        </w:rPr>
        <w:t xml:space="preserve">p007 · body  </w:t>
      </w:r>
      <w:r>
        <w:t>an ai tool should never substitute for safe staffing. patients and clinicians should know when ai shapes care and who remains accountable. disclosure matters, but disclosure alone is not meaningful consent and does not make an unsafe system safe.</w:t>
      </w:r>
    </w:p>
    <w:p>
      <w:r>
        <w:rPr>
          <w:color w:val="777777"/>
          <w:sz w:val="16"/>
        </w:rPr>
        <w:t xml:space="preserve">p008 · body  </w:t>
      </w:r>
      <w:r>
        <w:t>4. use postmarket monitoring to supplement strong premarket evidence in response to questions 18 through 21, postmarket monitoring is essential because performance can change across populations, institutions, workflows, and time. it must supplement strong premarket evidence, not replace it. patients should not become involuntary test subjects.</w:t>
      </w:r>
    </w:p>
    <w:p>
      <w:r>
        <w:rPr>
          <w:color w:val="777777"/>
          <w:sz w:val="16"/>
        </w:rPr>
        <w:t xml:space="preserve">p009 · body  </w:t>
      </w:r>
      <w:r>
        <w:t>monitoring should cover subgroup performance, adverse events, near misses, changing errors, and protected frontline reporting. a machine should not be the sole supervisor of another machine. manufacturers must remain responsible for surveillance, correction, and transparent communication.</w:t>
      </w:r>
    </w:p>
    <w:p>
      <w:r>
        <w:rPr>
          <w:color w:val="777777"/>
          <w:sz w:val="16"/>
        </w:rPr>
        <w:t xml:space="preserve">p010 · body  </w:t>
      </w:r>
      <w:r>
        <w:t>5. place enforceable controls on model changes in response to questions 24 and 26, every clinically relevant output should be traceable to a specific model version. material changes should be detected before they affect care, followed by appropriate revalidation and fda review. health systems need prompt suspension and rollback controls. agentic systems that plan, initiate actions, or interact with other systems require a higher standard because errors can propagate before a person can intervene.</w:t>
      </w:r>
    </w:p>
    <w:p>
      <w:r>
        <w:rPr>
          <w:color w:val="777777"/>
          <w:sz w:val="16"/>
        </w:rPr>
        <w:t xml:space="preserve">p011 · body  </w:t>
      </w:r>
      <w:r>
        <w:t>i want us to pursue innovation with imagination, curiosity, and purpose. it can help make care safer, more humane, and more accessible. that pursuit must also account for competitive pressure, cost savings, and incentives to scale quickly, especially when the people who benefit are not the same people who bear the risks. a balanced framework should create proportionate pathways requiring strong evidence, transparency, human accountability, and enforceable safeguards when the stakes are high. safety is not opposition to innovation. safety is how we make innovation worthy of personal and collective trust.</w:t>
      </w:r>
    </w:p>
    <w:p>
      <w:r>
        <w:rPr>
          <w:color w:val="777777"/>
          <w:sz w:val="16"/>
        </w:rPr>
        <w:t xml:space="preserve">p012 · body  </w:t>
      </w:r>
      <w:r>
        <w:t>when the patient is our friend, our partner, our parent, our child, or ourselves, human alignment must come first. those who benefit from ai must not transfer its risks to patients, families, nurses, and clinical teams.</w:t>
      </w:r>
    </w:p>
    <w:p>
      <w:r>
        <w:rPr>
          <w:color w:val="777777"/>
          <w:sz w:val="16"/>
        </w:rPr>
        <w:t xml:space="preserve">p013 · body  </w:t>
      </w:r>
      <w:r>
        <w:t>michelle bernabe, RN, BSN writer, Moral Health</w:t>
      </w:r>
    </w:p>
    <w:p>
      <w:pPr>
        <w:pStyle w:val="Heading1"/>
        <w:pageBreakBefore/>
      </w:pPr>
      <w:r>
        <w:t>FDA-2026-N-7874-0087</w:t>
      </w:r>
    </w:p>
    <w:p>
      <w:r>
        <w:t>Comment from S. Joseph Sirintrapun</w:t>
      </w:r>
    </w:p>
    <w:p>
      <w:r>
        <w:rPr>
          <w:color w:val="777777"/>
          <w:sz w:val="18"/>
        </w:rPr>
        <w:t>Federal Government - G0007 · received 2026-09-10 · attachments: attachment_1.pdf (5 pp)</w:t>
      </w:r>
    </w:p>
    <w:p>
      <w:r>
        <w:rPr>
          <w:color w:val="777777"/>
          <w:sz w:val="16"/>
        </w:rPr>
        <w:t xml:space="preserve">p001 · body  </w:t>
      </w:r>
      <w:r>
        <w:t>See attached file(s)</w:t>
      </w:r>
    </w:p>
    <w:p>
      <w:r>
        <w:rPr>
          <w:color w:val="777777"/>
          <w:sz w:val="16"/>
        </w:rPr>
        <w:t xml:space="preserve">p002 · att1 p.1  </w:t>
      </w:r>
      <w:r>
        <w:t>Telephone: 314-435-2432 — S. Joseph Sirintrapun, M.D.</w:t>
      </w:r>
    </w:p>
    <w:p>
      <w:r>
        <w:rPr>
          <w:color w:val="777777"/>
          <w:sz w:val="16"/>
        </w:rPr>
        <w:t xml:space="preserve">p003 · att1 p.1  </w:t>
      </w:r>
      <w:r>
        <w:t>E-mail: ssirintrapun@mgh.harvard.edu — Clinical Director of Digital Pathology at Mass General Brigham — September 8, 2026</w:t>
      </w:r>
    </w:p>
    <w:p>
      <w:r>
        <w:rPr>
          <w:color w:val="777777"/>
          <w:sz w:val="16"/>
        </w:rPr>
        <w:t xml:space="preserve">p004 · att1 p.1  </w:t>
      </w:r>
      <w:r>
        <w:t>Dockets Management Staff (HFA-305) Food and Drug Administration 5630 Fishers Lane, Room 1061 Rockville, MD 20852</w:t>
      </w:r>
    </w:p>
    <w:p>
      <w:r>
        <w:rPr>
          <w:color w:val="777777"/>
          <w:sz w:val="16"/>
        </w:rPr>
        <w:t xml:space="preserve">p005 · att1 p.1  </w:t>
      </w:r>
      <w:r>
        <w:t>Re: Docket No. FDA-2026-N-7874 - Considerations for the Regulation of Generative AI-Enabled Medical Devices</w:t>
      </w:r>
    </w:p>
    <w:p>
      <w:r>
        <w:rPr>
          <w:color w:val="777777"/>
          <w:sz w:val="16"/>
        </w:rPr>
        <w:t xml:space="preserve">p006 · att1 p.1  </w:t>
      </w:r>
      <w:r>
        <w:t>Comments on FDA Discussion Paper: Considerations for the Regulation of Generative AI-Enabled Medical Devices</w:t>
      </w:r>
    </w:p>
    <w:p>
      <w:r>
        <w:rPr>
          <w:color w:val="777777"/>
          <w:sz w:val="16"/>
        </w:rPr>
        <w:t xml:space="preserve">p007 · att1 p.1  </w:t>
      </w:r>
      <w:r>
        <w:t>Thank you for the opportunity to comment on the FDA Center for Devices and Radiological Health discussion paper, Considerations for the Regulation of Generative AI-Enabled Medical Devices. I submit these comments in my personal capacity and reflect on my experience as a pathologist and pathology informatician involved in digital pathology, clinical informatics, artificial intelligence, and implementing digital diagnostic systems within large healthcare organizations.</w:t>
      </w:r>
    </w:p>
    <w:p>
      <w:r>
        <w:rPr>
          <w:color w:val="777777"/>
          <w:sz w:val="16"/>
        </w:rPr>
        <w:t xml:space="preserve">p008 · att1 p.1  </w:t>
      </w:r>
      <w:r>
        <w:t>I strongly support FDA's effort to develop a risk-based, total product life cycle approach to generative artificial intelligence (GenAI)-enabled medical devices. The discussion paper appropriately recognizes that GenAI presents characteristics that challenge conventional device evaluation models, including variable outputs, open-ended inputs, multimodal data, third-party foundation models, evolving system components, and increasingly agentic behavior.</w:t>
      </w:r>
    </w:p>
    <w:p>
      <w:r>
        <w:rPr>
          <w:color w:val="777777"/>
          <w:sz w:val="16"/>
        </w:rPr>
        <w:t xml:space="preserve">p009 · att1 p.1  </w:t>
      </w:r>
      <w:r>
        <w:t>At the same time, I encourage FDA to preserve an important principle articulated within the discussion paper itself: regulation should follow the intended clinical function, patient risk, and degree of autonomy - not the technology label 'generative AI.' This principle will become increasingly important as the distinctions among predictive AI, generative AI, multimodal models, foundation models, and agentic systems become less clear. Regulatory frameworks should remain sufficiently technology-neutral to accommodate continued innovation without requiring fundamental reconsideration whenever model architectures change.</w:t>
      </w:r>
    </w:p>
    <w:p>
      <w:r>
        <w:rPr>
          <w:color w:val="777777"/>
          <w:sz w:val="16"/>
        </w:rPr>
        <w:t xml:space="preserve">p010 · att1 p.1  </w:t>
      </w:r>
      <w:r>
        <w:t>1. Risk should reflect clinical function, consequence, autonomy, and the opportunity for meaningful human review</w:t>
      </w:r>
    </w:p>
    <w:p>
      <w:r>
        <w:rPr>
          <w:color w:val="777777"/>
          <w:sz w:val="16"/>
        </w:rPr>
        <w:t xml:space="preserve">p011 · att1 p.1  </w:t>
      </w:r>
      <w:r>
        <w:t>FDA's proposed two-axis framework - device activity and the consequences of relying upon an incorrect output - is a useful starting point. The progression from informational or non-directive functions through actiondirecting, supervised action-taking, and fully autonomous action-taking captures an important dimension of risk.</w:t>
      </w:r>
    </w:p>
    <w:p>
      <w:r>
        <w:rPr>
          <w:color w:val="777777"/>
          <w:sz w:val="16"/>
        </w:rPr>
        <w:t xml:space="preserve">p012 · att1 p.1  </w:t>
      </w:r>
      <w:r>
        <w:t>However, two additional considerations should be explicit. First, treat meaningful human review as a major modifier of risk. The presence of a healthcare professional should not by itself qualify as risk mitigation. The relevant question is whether the professional can realistically recognize an erroneous output before patient harm occurs.</w:t>
      </w:r>
    </w:p>
    <w:p>
      <w:r>
        <w:rPr>
          <w:color w:val="777777"/>
          <w:sz w:val="16"/>
        </w:rPr>
        <w:t xml:space="preserve">p013 · att1 p.1  </w:t>
      </w:r>
      <w:r>
        <w:t>This distinction matters especially in pathology and other diagnostic specialties. An AI system that highlights potentially abnormal regions of a whole-slide image for pathologist review operates differently from a system that independently assigns a diagnosis. Yet nominally placing a pathologist 'in the loop' should not automatically lower risk if the workflow encourages automation bias or makes independent evaluation impractical.</w:t>
      </w:r>
    </w:p>
    <w:p>
      <w:r>
        <w:rPr>
          <w:color w:val="777777"/>
          <w:sz w:val="16"/>
        </w:rPr>
        <w:t xml:space="preserve">p014 · att1 p.2  </w:t>
      </w:r>
      <w:r>
        <w:t>Second, traceability to source information should be considered explicitly. A GenAI system that summarizes or synthesizes information while allowing a clinician to inspect the underlying laboratory result, image, citation, or other primary data may present a substantially different risk from an otherwise identical system whose output cannot be independently verified.</w:t>
      </w:r>
    </w:p>
    <w:p>
      <w:r>
        <w:rPr>
          <w:color w:val="777777"/>
          <w:sz w:val="16"/>
        </w:rPr>
        <w:t xml:space="preserve">p015 · att1 p.2  </w:t>
      </w:r>
      <w:r>
        <w:t>Thus, risk assessment could reasonably consider at least four interacting factors: clinical consequence, degree of autonomous action, opportunity for meaningful independent review, and traceability to source evidence. These factors need not become four formal regulatory axes, but they should inform classification and evidentiary expectations.</w:t>
      </w:r>
    </w:p>
    <w:p>
      <w:r>
        <w:rPr>
          <w:color w:val="777777"/>
          <w:sz w:val="16"/>
        </w:rPr>
        <w:t xml:space="preserve">p016 · att1 p.2  </w:t>
      </w:r>
      <w:r>
        <w:t>2. The unit of evaluation should be the deployed clinical system, not simply the foundation model</w:t>
      </w:r>
    </w:p>
    <w:p>
      <w:r>
        <w:rPr>
          <w:color w:val="777777"/>
          <w:sz w:val="16"/>
        </w:rPr>
        <w:t xml:space="preserve">p017 · att1 p.2  </w:t>
      </w:r>
      <w:r>
        <w:t>I strongly agree with FDA's proposal that competency-based evaluation should assess the final user-facing device as configured for real-world deployment, rather than the foundation model standing alone.</w:t>
      </w:r>
    </w:p>
    <w:p>
      <w:r>
        <w:rPr>
          <w:color w:val="777777"/>
          <w:sz w:val="16"/>
        </w:rPr>
        <w:t xml:space="preserve">p018 · att1 p.2  </w:t>
      </w:r>
      <w:r>
        <w:t>Clinical performance results from an entire system: the underlying model, prompts, retrieval mechanisms, guardrails, software interfaces, clinical data inputs, workflow integration, and human interaction. The same foundation model can therefore produce substantially different clinical risk profiles depending upon how it is implemented.</w:t>
      </w:r>
    </w:p>
    <w:p>
      <w:r>
        <w:rPr>
          <w:color w:val="777777"/>
          <w:sz w:val="16"/>
        </w:rPr>
        <w:t xml:space="preserve">p019 · att1 p.2  </w:t>
      </w:r>
      <w:r>
        <w:t>This distinction is analogous to an important principle in clinical laboratory practice: vendor validation and local clinical validation serve complementary but different purposes. A manufacturer establishes the general safety and performance characteristics of its product. The deploying healthcare organization must determine that the system performs appropriately within its local environment, including its interfaces, hardware, workflow, patient population, users, and intended clinical application.</w:t>
      </w:r>
    </w:p>
    <w:p>
      <w:r>
        <w:rPr>
          <w:color w:val="777777"/>
          <w:sz w:val="16"/>
        </w:rPr>
        <w:t xml:space="preserve">p020 · att1 p.2  </w:t>
      </w:r>
      <w:r>
        <w:t>FDA should preserve this distinction rather than inadvertently creating a regulatory model in which successful manufacturer testing is interpreted as establishing universal performance across all deployment environments.</w:t>
      </w:r>
    </w:p>
    <w:p>
      <w:r>
        <w:rPr>
          <w:color w:val="777777"/>
          <w:sz w:val="16"/>
        </w:rPr>
        <w:t xml:space="preserve">p021 · att1 p.2  </w:t>
      </w:r>
      <w:r>
        <w:t>3. Competency-based assessment is promising, but benchmarks should not become proxies for clinical validity</w:t>
      </w:r>
    </w:p>
    <w:p>
      <w:r>
        <w:rPr>
          <w:color w:val="777777"/>
          <w:sz w:val="16"/>
        </w:rPr>
        <w:t xml:space="preserve">p022 · att1 p.2  </w:t>
      </w:r>
      <w:r>
        <w:t>FDA's proposed combination of device benchmarking followed by clinical confirmation is conceptually strong. The benchmarking framework - including safety, clinical proficiency, generalizability, and additional competencies for agentic systems - captures many of the characteristics that conventional fixed-output performance testing may miss.</w:t>
      </w:r>
    </w:p>
    <w:p>
      <w:r>
        <w:rPr>
          <w:color w:val="777777"/>
          <w:sz w:val="16"/>
        </w:rPr>
        <w:t xml:space="preserve">p023 · att1 p.2  </w:t>
      </w:r>
      <w:r>
        <w:t>However, benchmarks should be regarded as tools for characterizing competency rather than substitutes for demonstrating clinical performance. Public benchmarks may suffer from contamination, saturation, limited representation of real-world populations, and optimization to the benchmark itself. Sponsor-developed benchmarks introduce a different concern: a developer may knowingly or unknowingly optimize a system toward its own test environment.</w:t>
      </w:r>
    </w:p>
    <w:p>
      <w:r>
        <w:rPr>
          <w:color w:val="777777"/>
          <w:sz w:val="16"/>
        </w:rPr>
        <w:t xml:space="preserve">p024 · att1 p.2  </w:t>
      </w:r>
      <w:r>
        <w:t>Clinical confirmation therefore remains essential, with its rigor proportional to risk. FDA's proposed spectrum - from retrospective evaluation and shadow deployment through clinician adjudication and prospective clinical trials - is particularly useful. A rigid requirement for prospective trials would unnecessarily impede lower-risk innovation, while permitting benchmarking alone for high-risk autonomous functions could provide insufficient assurance of real-world safety.</w:t>
      </w:r>
    </w:p>
    <w:p>
      <w:r>
        <w:rPr>
          <w:color w:val="777777"/>
          <w:sz w:val="16"/>
        </w:rPr>
        <w:t xml:space="preserve">p025 · att1 p.3  </w:t>
      </w:r>
      <w:r>
        <w:t>4. Evaluation should increasingly consider the human-AI team — For assistive systems, the clinically relevant unit of performance is often neither the AI alone nor the clinician alone, but the human-AI team. This distinction is especially important in diagnostic medicine.</w:t>
      </w:r>
    </w:p>
    <w:p>
      <w:r>
        <w:rPr>
          <w:color w:val="777777"/>
          <w:sz w:val="16"/>
        </w:rPr>
        <w:t xml:space="preserve">p026 · att1 p.3  </w:t>
      </w:r>
      <w:r>
        <w:t>A system may perform below an expert physician when evaluated independently yet meaningfully improve the performance, consistency, or efficiency of physicians using it. Conversely, a system with excellent standalone performance may degrade clinical performance if it introduces automation bias, workflow distraction, inappropriate reliance, or inefficient false-positive review.</w:t>
      </w:r>
    </w:p>
    <w:p>
      <w:r>
        <w:rPr>
          <w:color w:val="777777"/>
          <w:sz w:val="16"/>
        </w:rPr>
        <w:t xml:space="preserve">p027 · att1 p.3  </w:t>
      </w:r>
      <w:r>
        <w:t>Where the intended use involves professional oversight, FDA should therefore permit - and in appropriate circumstances encourage - evaluation of clinician alone versus clinician plus AI, rather than requiring the AI system to outperform the clinician independently. Clinical responsibility should remain with the qualified healthcare professional when the intended use specifies an assistive rather than autonomous function.</w:t>
      </w:r>
    </w:p>
    <w:p>
      <w:r>
        <w:rPr>
          <w:color w:val="777777"/>
          <w:sz w:val="16"/>
        </w:rPr>
        <w:t xml:space="preserve">p028 · att1 p.3  </w:t>
      </w:r>
      <w:r>
        <w:t>5. Validation must become lifecycle governance — One of the strongest aspects of the discussion paper is its recognition that GenAI evaluation cannot end at market authorization. Validation should not be treated as a one-time event. GenAI-enabled devices require lifecycle governance, including initial validation, post-deployment monitoring, documented change control, periodic reassessment, and defined responses to meaningful performance changes.</w:t>
      </w:r>
    </w:p>
    <w:p>
      <w:r>
        <w:rPr>
          <w:color w:val="777777"/>
          <w:sz w:val="16"/>
        </w:rPr>
        <w:t xml:space="preserve">p029 · att1 p.3  </w:t>
      </w:r>
      <w:r>
        <w:t>I therefore support FDA's consideration of periodic benchmarking, sample-based clinician review, and monitoring for performance degradation. Postmarket monitoring should assess not only traditional accuracy but also clinically meaningful changes in performance and calibration; subgroup performance; failure modes and unexpected behavior; input or population drift; workflow and user interaction; automation bias; model or foundation-model changes; and safety-critical behaviors such as escalation, deferral, and refusal.</w:t>
      </w:r>
    </w:p>
    <w:p>
      <w:r>
        <w:rPr>
          <w:color w:val="777777"/>
          <w:sz w:val="16"/>
        </w:rPr>
        <w:t xml:space="preserve">p030 · att1 p.3  </w:t>
      </w:r>
      <w:r>
        <w:t>Monitoring requirements should nevertheless remain proportional to clinical risk. Continuous monitoring does not necessarily mean continuous regulatory submission.</w:t>
      </w:r>
    </w:p>
    <w:p>
      <w:r>
        <w:rPr>
          <w:color w:val="777777"/>
          <w:sz w:val="16"/>
        </w:rPr>
        <w:t xml:space="preserve">p031 · att1 p.3  </w:t>
      </w:r>
      <w:r>
        <w:t>6. Software changes should trigger risk-based reassessment, not automatic complete revalidation — FDA appropriately recognizes that GenAI-enabled systems may change through software updates, retraining, changes in prompts or orchestration, modifications to foundation models, or adaptive behavior after deployment. The regulatory response to these changes should be proportional to their potential clinical impact.</w:t>
      </w:r>
    </w:p>
    <w:p>
      <w:r>
        <w:rPr>
          <w:color w:val="777777"/>
          <w:sz w:val="16"/>
        </w:rPr>
        <w:t xml:space="preserve">p032 · att1 p.3  </w:t>
      </w:r>
      <w:r>
        <w:t>Changes that do not materially affect intended use, clinical performance, interpretive output, data handling, interfaces, or clinical workflow should generally be manageable within an appropriate quality management system and should not automatically require complete revalidation.</w:t>
      </w:r>
    </w:p>
    <w:p>
      <w:r>
        <w:rPr>
          <w:color w:val="777777"/>
          <w:sz w:val="16"/>
        </w:rPr>
        <w:t xml:space="preserve">p033 · att1 p.3  </w:t>
      </w:r>
      <w:r>
        <w:t>Changes that could affect analytical or interpretive performance, patient-specific outputs, safety-critical behavior, interoperability, or clinical decision-making should undergo documented risk-based reassessment before clinical implementation. Depending upon the nature of the change, this might range from limited verification or re-benchmarking to more extensive clinical revalidation.</w:t>
      </w:r>
    </w:p>
    <w:p>
      <w:r>
        <w:rPr>
          <w:color w:val="777777"/>
          <w:sz w:val="16"/>
        </w:rPr>
        <w:t xml:space="preserve">p034 · att1 p.3  </w:t>
      </w:r>
      <w:r>
        <w:t>Predetermined Change Control Plans are therefore particularly important for AI-enabled devices, but FDA should permit them to describe categories, boundaries, evaluation processes, and acceptance criteria for anticipated change, rather than requiring developers to predict every future technical modification precisely.</w:t>
      </w:r>
    </w:p>
    <w:p>
      <w:r>
        <w:rPr>
          <w:color w:val="777777"/>
          <w:sz w:val="16"/>
        </w:rPr>
        <w:t xml:space="preserve">p035 · att1 p.3  </w:t>
      </w:r>
      <w:r>
        <w:t>7. Third-party foundation models require transparency and contractual accountability — FDA correctly identifies an increasingly important problem: the manufacturer of a medical device may not control the foundation model the device depends on. I support exploration of voluntary Foundation Model</w:t>
      </w:r>
    </w:p>
    <w:p>
      <w:r>
        <w:rPr>
          <w:color w:val="777777"/>
          <w:sz w:val="16"/>
        </w:rPr>
        <w:t xml:space="preserve">p036 · att1 p.4  </w:t>
      </w:r>
      <w:r>
        <w:t>Device Master Files. They could reduce redundant evaluation and provide FDA with information that individual device manufacturers may not otherwise possess.</w:t>
      </w:r>
    </w:p>
    <w:p>
      <w:r>
        <w:rPr>
          <w:color w:val="777777"/>
          <w:sz w:val="16"/>
        </w:rPr>
        <w:t xml:space="preserve">p037 · att1 p.4  </w:t>
      </w:r>
      <w:r>
        <w:t>At minimum, foundation-model developers supporting regulated medical applications should provide downstream manufacturers with sufficient information regarding model versioning, material updates, known limitations, clinically relevant performance characteristics, safety mechanisms, data provenance where appropriate, cybersecurity considerations, and advance notification of changes that could affect device performance.</w:t>
      </w:r>
    </w:p>
    <w:p>
      <w:r>
        <w:rPr>
          <w:color w:val="777777"/>
          <w:sz w:val="16"/>
        </w:rPr>
        <w:t xml:space="preserve">p038 · att1 p.4  </w:t>
      </w:r>
      <w:r>
        <w:t>However, a Foundation Model Device Master File should not constitute FDA authorization of the foundation model itself, nor should it transfer responsibility away from the manufacturer of the final medical device.</w:t>
      </w:r>
    </w:p>
    <w:p>
      <w:r>
        <w:rPr>
          <w:color w:val="777777"/>
          <w:sz w:val="16"/>
        </w:rPr>
        <w:t xml:space="preserve">p039 · att1 p.4  </w:t>
      </w:r>
      <w:r>
        <w:t>8. Postmarket oversight should recognize shared ecosystem participation without diffusing accountability — FDA appropriately recognizes that manufacturers, healthcare institutions, clinicians, professional societies, standards organizations, and other stakeholders will all participate in monitoring GenAI-enabled devices. Healthcare organizations are particularly well positioned to detect performance changes that may emerge only after deployment across different patient populations, workflows, and information systems.</w:t>
      </w:r>
    </w:p>
    <w:p>
      <w:r>
        <w:rPr>
          <w:color w:val="777777"/>
          <w:sz w:val="16"/>
        </w:rPr>
        <w:t xml:space="preserve">p040 · att1 p.4  </w:t>
      </w:r>
      <w:r>
        <w:t>This creates an opportunity for a distributed postmarket learning system in which healthcare organizations and professional societies contribute structured real-world performance information. However, shared monitoring must not become shared ambiguity regarding responsibility.</w:t>
      </w:r>
    </w:p>
    <w:p>
      <w:r>
        <w:rPr>
          <w:color w:val="777777"/>
          <w:sz w:val="16"/>
        </w:rPr>
        <w:t xml:space="preserve">p041 · att1 p.4  </w:t>
      </w:r>
      <w:r>
        <w:t>Manufacturers should remain accountable for device performance. Healthcare institutions should remain responsible for appropriate local implementation, validation, governance, user training, and monitoring. Qualified clinicians should remain responsible for clinical decisions where the device is authorized for assistive use. Clearly delineating these responsibilities will be essential.</w:t>
      </w:r>
    </w:p>
    <w:p>
      <w:r>
        <w:rPr>
          <w:color w:val="777777"/>
          <w:sz w:val="16"/>
        </w:rPr>
        <w:t xml:space="preserve">p042 · att1 p.4  </w:t>
      </w:r>
      <w:r>
        <w:t>9. Interoperability, provenance, cybersecurity, and auditability should be explicit lifecycle requirements — The discussion paper appropriately focuses on clinical performance, but GenAI systems increasingly operate within interconnected healthcare information environments. Safety therefore depends not only on model performance but also on the integrity of the information the system receives and generates.</w:t>
      </w:r>
    </w:p>
    <w:p>
      <w:r>
        <w:rPr>
          <w:color w:val="777777"/>
          <w:sz w:val="16"/>
        </w:rPr>
        <w:t xml:space="preserve">p043 · att1 p.4  </w:t>
      </w:r>
      <w:r>
        <w:t>FDA should encourage standards-based interoperability and lifecycle controls that preserve confidentiality, integrity, availability, provenance, and auditability of clinical information. For GenAI and especially agentic systems, auditability should include sufficient documentation of relevant inputs, outputs, model and version information, tool interactions, and consequential actions to permit reconstruction of clinically significant events.</w:t>
      </w:r>
    </w:p>
    <w:p>
      <w:r>
        <w:rPr>
          <w:color w:val="777777"/>
          <w:sz w:val="16"/>
        </w:rPr>
        <w:t xml:space="preserve">p044 · att1 p.4  </w:t>
      </w:r>
      <w:r>
        <w:t>This becomes particularly important when an AI system retrieves information from external sources or acts across multiple clinical information systems.</w:t>
      </w:r>
    </w:p>
    <w:p>
      <w:r>
        <w:rPr>
          <w:color w:val="777777"/>
          <w:sz w:val="16"/>
        </w:rPr>
        <w:t xml:space="preserve">p045 · att1 p.4  </w:t>
      </w:r>
      <w:r>
        <w:t>10. Agentic AI requires explicit control over irreversible actions — FDA appropriately recognizes that agentic systems introduce risks beyond those associated with systems that merely generate information. The regulatory framework should distinguish between an agent's ability to plan an action and its authority to execute that action.</w:t>
      </w:r>
    </w:p>
    <w:p>
      <w:r>
        <w:rPr>
          <w:color w:val="777777"/>
          <w:sz w:val="16"/>
        </w:rPr>
        <w:t xml:space="preserve">p046 · att1 p.4  </w:t>
      </w:r>
      <w:r>
        <w:t>For higher-consequence activities, systems should include explicit human authorization checkpoints before irreversible or clinically consequential actions unless the device has been specifically evaluated and authorized for autonomous execution.</w:t>
      </w:r>
    </w:p>
    <w:p>
      <w:r>
        <w:rPr>
          <w:color w:val="777777"/>
          <w:sz w:val="16"/>
        </w:rPr>
        <w:t xml:space="preserve">p047 · att1 p.5  </w:t>
      </w:r>
      <w:r>
        <w:t>Evaluation should also examine the complete chain of action rather than only the correctness of the agent's final output. This should include tool selection, intermediate reasoning or state where technically available and appropriate, response to erroneous tool outputs, recovery from system failures, permissions, escalation, and the ability to terminate an unsafe sequence.</w:t>
      </w:r>
    </w:p>
    <w:p>
      <w:r>
        <w:rPr>
          <w:color w:val="777777"/>
          <w:sz w:val="16"/>
        </w:rPr>
        <w:t xml:space="preserve">p048 · att1 p.5  </w:t>
      </w:r>
      <w:r>
        <w:t>Conclusion — FDA's discussion paper represents an important evolution from regulating relatively static software toward overseeing dynamic clinical systems throughout their lifecycle. Its proposed combination of risk-proportionate oversight, competency-based evaluation, clinical confirmation, postmarket monitoring, and structured change control provides a promising foundation.</w:t>
      </w:r>
    </w:p>
    <w:p>
      <w:r>
        <w:rPr>
          <w:color w:val="777777"/>
          <w:sz w:val="16"/>
        </w:rPr>
        <w:t xml:space="preserve">p049 · att1 p.5  </w:t>
      </w:r>
      <w:r>
        <w:t>As this framework develops, I encourage FDA to preserve the following overarching principles:</w:t>
      </w:r>
    </w:p>
    <w:p>
      <w:r>
        <w:rPr>
          <w:color w:val="777777"/>
          <w:sz w:val="16"/>
        </w:rPr>
        <w:t xml:space="preserve">p050 · att1 p.5  </w:t>
      </w:r>
      <w:r>
        <w:t>1. Regulate clinical function and risk rather than AI technology labels. 2. Evaluate the deployed system rather than the foundation model in isolation. 3. Scale evidence requirements to clinical consequence, autonomy, and the opportunity for meaningful human review. 4. Evaluate human-AI team performance when that reflects the intended clinical use. 5. Treat validation as lifecycle governance rather than a one-time event. 6. Apply risk-based reassessment to software and model changes rather than automatic complete revalidation. 7. Maintain clear manufacturer accountability while enabling healthcare institutions and professional societies to participate in postmarket learning. 8. Require sufficient interoperability, provenance, cybersecurity, and auditability to understand and reconstruct clinically consequential AI behavior. 9. Preserve meaningful human oversight for consequential actions unless autonomous performance has itself been appropriately demonstrated. 10. Keep regulation technology-neutral and sufficiently adaptable to accommodate model architectures that do not yet exist. The objective should not be to make GenAI fit regulatory constructs designed for static software, nor to create an entirely separate regulatory system simply because a device uses generative AI. The better approach is to evolve existing risk-based device regulation toward a lifecycle model centered on clinical function, measurable performance, accountable deployment, and patient outcomes.</w:t>
      </w:r>
    </w:p>
    <w:p>
      <w:r>
        <w:rPr>
          <w:color w:val="777777"/>
          <w:sz w:val="16"/>
        </w:rPr>
        <w:t xml:space="preserve">p051 · att1 p.5  </w:t>
      </w:r>
      <w:r>
        <w:t>Such an approach can provide meaningful safeguards while allowing beneficial technologies to evolve without requiring the regulatory framework to be rewritten with each new generation of AI.</w:t>
      </w:r>
    </w:p>
    <w:p>
      <w:r>
        <w:rPr>
          <w:color w:val="777777"/>
          <w:sz w:val="16"/>
        </w:rPr>
        <w:t xml:space="preserve">p052 · att1 p.5  </w:t>
      </w:r>
      <w:r>
        <w:t>Respectfully submitted,</w:t>
      </w:r>
    </w:p>
    <w:p>
      <w:r>
        <w:rPr>
          <w:color w:val="777777"/>
          <w:sz w:val="16"/>
        </w:rPr>
        <w:t xml:space="preserve">p053 · att1 p.5  </w:t>
      </w:r>
      <w:r>
        <w:t>S. Joseph Sirintrapun, MD, FCAP, FASCP Clinical Director of Digital Pathology Mass General Brigham Associate Professor of Pathology Harvard Medical School</w:t>
      </w:r>
    </w:p>
    <w:p>
      <w:r>
        <w:rPr>
          <w:color w:val="777777"/>
          <w:sz w:val="16"/>
        </w:rPr>
        <w:t xml:space="preserve">p054 · att1 p.5  </w:t>
      </w:r>
      <w:r>
        <w:t>Submitted in a personal capacity; institutional affiliations are provided for identification only.</w:t>
      </w:r>
    </w:p>
    <w:p>
      <w:pPr>
        <w:pStyle w:val="Heading1"/>
        <w:pageBreakBefore/>
      </w:pPr>
      <w:r>
        <w:t>FDA-2026-N-7874-0088</w:t>
      </w:r>
    </w:p>
    <w:p>
      <w:r>
        <w:t>Comment from Qiong Liu</w:t>
      </w:r>
    </w:p>
    <w:p>
      <w:r>
        <w:rPr>
          <w:color w:val="777777"/>
          <w:sz w:val="18"/>
        </w:rPr>
        <w:t>Individual Consumer · received 2026-09-11 · attachments: attachment_1.pdf (3 pp)</w:t>
      </w:r>
    </w:p>
    <w:p>
      <w:r>
        <w:rPr>
          <w:color w:val="777777"/>
          <w:sz w:val="16"/>
        </w:rPr>
        <w:t xml:space="preserve">p001 · body  </w:t>
      </w:r>
      <w:r>
        <w:t>I built a personal, non-deployed prototype that (1) takes a structured history, (2) proposes next diagnostic steps or laboratory tests, (3) drafts an impression from results, and (4) drafts a plan. It calls public model APIs and local open-weight models. It is not used in patient care, is not offered to users as a clinician, and is not submitted for authorization. My comment addresses the following questions:</w:t>
      </w:r>
    </w:p>
    <w:p>
      <w:r>
        <w:rPr>
          <w:color w:val="777777"/>
          <w:sz w:val="16"/>
        </w:rPr>
        <w:t xml:space="preserve">p002 · body  </w:t>
      </w:r>
      <w:r>
        <w:t>History completeness (E.2).</w:t>
      </w:r>
    </w:p>
    <w:p>
      <w:r>
        <w:rPr>
          <w:color w:val="777777"/>
          <w:sz w:val="16"/>
        </w:rPr>
        <w:t xml:space="preserve">p003 · body  </w:t>
      </w:r>
      <w:r>
        <w:t>Do not let the model grade its own work. I gave a checklist and asked “is the history complete?” Models marked it complete while skipping the question that changes the case. Example: a lung-fluke pattern where exposure to raw or undercooked freshwater crabs or crayfish was never asked.</w:t>
      </w:r>
    </w:p>
    <w:p>
      <w:r>
        <w:rPr>
          <w:color w:val="777777"/>
          <w:sz w:val="16"/>
        </w:rPr>
        <w:t xml:space="preserve">p004 · body  </w:t>
      </w:r>
      <w:r>
        <w:t>Score E.2 against a case-locked required-question list written before the run. Report recall of those questions — not self-rated completeness, and not how many questions were asked.</w:t>
      </w:r>
    </w:p>
    <w:p>
      <w:r>
        <w:rPr>
          <w:color w:val="777777"/>
          <w:sz w:val="16"/>
        </w:rPr>
        <w:t xml:space="preserve">p005 · body  </w:t>
      </w:r>
      <w:r>
        <w:t>Repeated questions (Q5, R.1).</w:t>
      </w:r>
    </w:p>
    <w:p>
      <w:r>
        <w:rPr>
          <w:color w:val="777777"/>
          <w:sz w:val="16"/>
        </w:rPr>
        <w:t xml:space="preserve">p006 · body  </w:t>
      </w:r>
      <w:r>
        <w:t>Some models re-ask “how long have you had this?” after the answer is already in the transcript. That is a reliability miss, not thoroughness.</w:t>
      </w:r>
    </w:p>
    <w:p>
      <w:r>
        <w:rPr>
          <w:color w:val="777777"/>
          <w:sz w:val="16"/>
        </w:rPr>
        <w:t xml:space="preserve">p007 · body  </w:t>
      </w:r>
      <w:r>
        <w:t>Inconsistent plans (R.1).</w:t>
      </w:r>
    </w:p>
    <w:p>
      <w:r>
        <w:rPr>
          <w:color w:val="777777"/>
          <w:sz w:val="16"/>
        </w:rPr>
        <w:t xml:space="preserve">p008 · body  </w:t>
      </w:r>
      <w:r>
        <w:t>The same transcript can yield different diagnoses and next steps on replay. Require consistency on action-relevant fields (diagnosis family, next step), not on wording.</w:t>
      </w:r>
    </w:p>
    <w:p>
      <w:r>
        <w:rPr>
          <w:color w:val="777777"/>
          <w:sz w:val="16"/>
        </w:rPr>
        <w:t xml:space="preserve">p009 · body  </w:t>
      </w:r>
      <w:r>
        <w:t>Instruction lock (R.1).</w:t>
      </w:r>
    </w:p>
    <w:p>
      <w:r>
        <w:rPr>
          <w:color w:val="777777"/>
          <w:sz w:val="16"/>
        </w:rPr>
        <w:t xml:space="preserve">p010 · body  </w:t>
      </w:r>
      <w:r>
        <w:t>Hard rules fail across turns (for example, “do not print the lab normal range”). Guardrail tests should be pass/fail on the visible output and must still hold after turn one.</w:t>
      </w:r>
    </w:p>
    <w:p>
      <w:r>
        <w:rPr>
          <w:color w:val="777777"/>
          <w:sz w:val="16"/>
        </w:rPr>
        <w:t xml:space="preserve">p011 · body  </w:t>
      </w:r>
      <w:r>
        <w:t>Hallucination (Q1).</w:t>
      </w:r>
    </w:p>
    <w:p>
      <w:r>
        <w:rPr>
          <w:color w:val="777777"/>
          <w:sz w:val="16"/>
        </w:rPr>
        <w:t xml:space="preserve">p012 · body  </w:t>
      </w:r>
      <w:r>
        <w:t>This is not a closed entity list. Regex misses new inventions and false-flags denials. Pair source-conditioned checks with sampled clinician review. A clean regex is not control.</w:t>
      </w:r>
    </w:p>
    <w:p>
      <w:r>
        <w:rPr>
          <w:color w:val="777777"/>
          <w:sz w:val="16"/>
        </w:rPr>
        <w:t xml:space="preserve">p013 · body  </w:t>
      </w:r>
      <w:r>
        <w:t>After a model or prompt change (Q22, Q24).</w:t>
      </w:r>
    </w:p>
    <w:p>
      <w:r>
        <w:rPr>
          <w:color w:val="777777"/>
          <w:sz w:val="16"/>
        </w:rPr>
        <w:t xml:space="preserve">p014 · body  </w:t>
      </w:r>
      <w:r>
        <w:t>Re-run the measures above when the foundation-model ID or the prompt template changes.</w:t>
      </w:r>
    </w:p>
    <w:p>
      <w:r>
        <w:rPr>
          <w:color w:val="777777"/>
          <w:sz w:val="16"/>
        </w:rPr>
        <w:t xml:space="preserve">p015 · body  </w:t>
      </w:r>
      <w:r>
        <w:t>Who holds the items (Q10, Q16).</w:t>
      </w:r>
    </w:p>
    <w:p>
      <w:r>
        <w:rPr>
          <w:color w:val="777777"/>
          <w:sz w:val="16"/>
        </w:rPr>
        <w:t xml:space="preserve">p016 · body  </w:t>
      </w:r>
      <w:r>
        <w:t>Use shared item definitions plus a hidden holdout. Licensed clinicians review decision gold only.</w:t>
      </w:r>
    </w:p>
    <w:p>
      <w:r>
        <w:rPr>
          <w:color w:val="777777"/>
          <w:sz w:val="16"/>
        </w:rPr>
        <w:t xml:space="preserve">p017 · att1 p.1  </w:t>
      </w:r>
      <w:r>
        <w:t>Comment on FDA Discussion Paper Considerations for the Regulation of Generative AI-Enabled Medical Devices Docket No. FDA-2026-N-7874</w:t>
      </w:r>
    </w:p>
    <w:p>
      <w:r>
        <w:rPr>
          <w:color w:val="777777"/>
          <w:sz w:val="16"/>
        </w:rPr>
        <w:t xml:space="preserve">p018 · att1 p.1  </w:t>
      </w:r>
      <w:r>
        <w:t>Capacity: Individual. Medical-school graduate; software engineer working on healthcare-related systems; not licensed to practice medicine; not board-certified.</w:t>
      </w:r>
    </w:p>
    <w:p>
      <w:r>
        <w:rPr>
          <w:color w:val="777777"/>
          <w:sz w:val="16"/>
        </w:rPr>
        <w:t xml:space="preserve">p019 · att1 p.1  </w:t>
      </w:r>
      <w:r>
        <w:t>Date: September 2026 — I. Why I am commenting — I built a personal, non-deployed prototype that (1) takes a structured history, (2) proposes next diagnostic steps or laboratory tests, (3) drafts an impression from results, and (4) drafts a plan. It calls public model APIs and local open-weight models. It is not used in patient care, is not offered to users as a clinician, and is not submitted for authorization.</w:t>
      </w:r>
    </w:p>
    <w:p>
      <w:r>
        <w:rPr>
          <w:color w:val="777777"/>
          <w:sz w:val="16"/>
        </w:rPr>
        <w:t xml:space="preserve">p020 · att1 p.1  </w:t>
      </w:r>
      <w:r>
        <w:t>Using several foundation-model backends on the same scripts exposed failure modes that knowledge-exam scores and single-turn safety quizzes do not show. This comment reports those observations and asks CDRH to treat them as first-class benchmarking elements. It addresses, in substance, questions 5, 6, 7, 9, 10, 16, 19, 22, and 24.</w:t>
      </w:r>
    </w:p>
    <w:p>
      <w:r>
        <w:rPr>
          <w:color w:val="777777"/>
          <w:sz w:val="16"/>
        </w:rPr>
        <w:t xml:space="preserve">p021 · att1 p.1  </w:t>
      </w:r>
      <w:r>
        <w:t>II. Position (Q7, Q9) — Device benchmarking plus risk-proportionate clinical confirmation is the right frame. The current sketch under-weights multi-turn information gathering (Appendix A, E.2) and run-to-run reliability (R.1).</w:t>
      </w:r>
    </w:p>
    <w:p>
      <w:r>
        <w:rPr>
          <w:color w:val="777777"/>
          <w:sz w:val="16"/>
        </w:rPr>
        <w:t xml:space="preserve">p022 · att1 p.1  </w:t>
      </w:r>
      <w:r>
        <w:t>A sponsor can publish a high score on clinical knowledge (E.1) or on a single-turn safety item (S.1 / S.2) while the finished product, in conversation:</w:t>
      </w:r>
    </w:p>
    <w:p>
      <w:r>
        <w:rPr>
          <w:color w:val="777777"/>
          <w:sz w:val="16"/>
        </w:rPr>
        <w:t xml:space="preserve">p023 · att1 p.1  </w:t>
      </w:r>
      <w:r>
        <w:t>1. closes the history without asking the question that would change the differential, 2. asks the same question again after the answer is already in context, 3. gives a different diagnosis or plan when the identical transcript is replayed, 4. ignores a hard instruction (for example, "do not print a normal range"), 5. invents a fact that no regex over a fixed entity list will catch.</w:t>
      </w:r>
    </w:p>
    <w:p>
      <w:r>
        <w:rPr>
          <w:color w:val="777777"/>
          <w:sz w:val="16"/>
        </w:rPr>
        <w:t xml:space="preserve">p024 · att1 p.1  </w:t>
      </w:r>
      <w:r>
        <w:t>Those are product behaviors. They should be measured on the finished configuration (prompt + tools + whatever snapshot the vendor is serving), and re-measured when that snapshot or the prompt changes (Q22, Q24).</w:t>
      </w:r>
    </w:p>
    <w:p>
      <w:r>
        <w:rPr>
          <w:color w:val="777777"/>
          <w:sz w:val="16"/>
        </w:rPr>
        <w:t xml:space="preserve">p025 · att1 p.1  </w:t>
      </w:r>
      <w:r>
        <w:t>III. Observation 1 -- history completeness is not self-graded E.2 (Q5, Q9) — I wrote a history-collection checklist and asked the model to judge whether the history was complete. The model often marked the list "complete" while omitting the question that actually matters for the case.</w:t>
      </w:r>
    </w:p>
    <w:p>
      <w:r>
        <w:rPr>
          <w:color w:val="777777"/>
          <w:sz w:val="16"/>
        </w:rPr>
        <w:t xml:space="preserve">p026 · att1 p.2  </w:t>
      </w:r>
      <w:r>
        <w:t>Example: a presentation consistent with pulmonary paragonimiasis. Completeness is not "the model asked about cough and travel." Completeness includes exposure to raw or undercooked freshwater crabs or crayfish. The model can fill many checklist rows and still never ask that question.</w:t>
      </w:r>
    </w:p>
    <w:p>
      <w:r>
        <w:rPr>
          <w:color w:val="777777"/>
          <w:sz w:val="16"/>
        </w:rPr>
        <w:t xml:space="preserve">p027 · att1 p.2  </w:t>
      </w:r>
      <w:r>
        <w:t>Two implications for Appendix A: - E.2 should be scored against a pre-specified, case-locked question family written before the run, not against the model's own "is this complete?" judgment. Self-evaluation is circular. - Missing a pathognomonic exposure question is an under-gathering error analogous to underescalation in Q6: the conversation looks thorough and still drops the item that changes management.</w:t>
      </w:r>
    </w:p>
    <w:p>
      <w:r>
        <w:rPr>
          <w:color w:val="777777"/>
          <w:sz w:val="16"/>
        </w:rPr>
        <w:t xml:space="preserve">p028 · att1 p.2  </w:t>
      </w:r>
      <w:r>
        <w:t>Ask: For history-taking or intake functions, require a case-locked required-question list (including exposure, meds, red-flag negatives) and report recall of those questions separately from "number of questions asked" or self-rated completeness.</w:t>
      </w:r>
    </w:p>
    <w:p>
      <w:r>
        <w:rPr>
          <w:color w:val="777777"/>
          <w:sz w:val="16"/>
        </w:rPr>
        <w:t xml:space="preserve">p029 · att1 p.2  </w:t>
      </w:r>
      <w:r>
        <w:t>IV. Observation 2 -- repeated questions despite full context (Q5, R.1) — Some backends, given the entire prior transcript, still re-ask "how long have you had this?" Multi-turn risk in Q5 is not only drift from information to action. It is also a failure to read the state the device already collected. Repeated questions delay care, train users to ignore the agent, and are evidence that context is not actually being used.</w:t>
      </w:r>
    </w:p>
    <w:p>
      <w:r>
        <w:rPr>
          <w:color w:val="777777"/>
          <w:sz w:val="16"/>
        </w:rPr>
        <w:t xml:space="preserve">p030 · att1 p.2  </w:t>
      </w:r>
      <w:r>
        <w:t>Ask: Benchmark multi-turn intake with an explicit "already answered" set. Score a repeat of a resolved question as a reliability miss, not as extra thoroughness.</w:t>
      </w:r>
    </w:p>
    <w:p>
      <w:r>
        <w:rPr>
          <w:color w:val="777777"/>
          <w:sz w:val="16"/>
        </w:rPr>
        <w:t xml:space="preserve">p031 · att1 p.2  </w:t>
      </w:r>
      <w:r>
        <w:t>V. Observation 3 -- same transcript, different plan (R.1) — With the same chat context, replays sometimes produce different diagnoses and suggestions. That is a reproducibility failure (R.1), not a creativity feature, when the intended use is clinical intake or advice.</w:t>
      </w:r>
    </w:p>
    <w:p>
      <w:r>
        <w:rPr>
          <w:color w:val="777777"/>
          <w:sz w:val="16"/>
        </w:rPr>
        <w:t xml:space="preserve">p032 · att1 p.2  </w:t>
      </w:r>
      <w:r>
        <w:t>Ask: For a fixed transcript and pinned decoding settings, require a repeated-run consistency metric on the action-relevant fields (working diagnosis family, next site of care, whether to test or treat). Do not treat lexical diversity of the prose as competence.</w:t>
      </w:r>
    </w:p>
    <w:p>
      <w:r>
        <w:rPr>
          <w:color w:val="777777"/>
          <w:sz w:val="16"/>
        </w:rPr>
        <w:t xml:space="preserve">p033 · att1 p.2  </w:t>
      </w:r>
      <w:r>
        <w:t>VI. Observation 4 -- hard instructions do not stick (R.1, E.4) — An instruction such as "do not state the laboratory normal range on this report" is still violated on some turns. That is not a knowledge error. It is failure to keep a deployment constraint in force. Sponsors will rely on exactly these constraints as "guardrails" in a PCCP.</w:t>
      </w:r>
    </w:p>
    <w:p>
      <w:r>
        <w:rPr>
          <w:color w:val="777777"/>
          <w:sz w:val="16"/>
        </w:rPr>
        <w:t xml:space="preserve">p034 · att1 p.3  </w:t>
      </w:r>
      <w:r>
        <w:t>Ask: Include a small instruction-lock set in nonclinical benchmarking: pinned negatives ("do not print X") scored as pass/fail on the visible output. A guardrail that holds on the first turn and fails on the fifth is not a guardrail.</w:t>
      </w:r>
    </w:p>
    <w:p>
      <w:r>
        <w:rPr>
          <w:color w:val="777777"/>
          <w:sz w:val="16"/>
        </w:rPr>
        <w:t xml:space="preserve">p035 · att1 p.3  </w:t>
      </w:r>
      <w:r>
        <w:t>VII. Observation 5 -- hallucination is not a closed entity list (Q1) — Hallucinated facts can appear in any clause. Post-hoc rules that look for a fixed list (allergy, code status, drug name) miss most of them and also false-flag denials ("no penicillin allergy"). Source-traceability belongs in the risk picture (Q1). It cannot be reduced to a regex.</w:t>
      </w:r>
    </w:p>
    <w:p>
      <w:r>
        <w:rPr>
          <w:color w:val="777777"/>
          <w:sz w:val="16"/>
        </w:rPr>
        <w:t xml:space="preserve">p036 · att1 p.3  </w:t>
      </w:r>
      <w:r>
        <w:t>Ask: For documentation and for history write-back, require (a) a source-conditioned check where a source exists, with denial-aware matching, and (b) clinician review of a sample of unconstrained sentences. Do not treat a clean regex report as evidence that hallucination is controlled.</w:t>
      </w:r>
    </w:p>
    <w:p>
      <w:r>
        <w:rPr>
          <w:color w:val="777777"/>
          <w:sz w:val="16"/>
        </w:rPr>
        <w:t xml:space="preserve">p037 · att1 p.3  </w:t>
      </w:r>
      <w:r>
        <w:t>VIII. What I am not claiming — These are prototype observations, not a clinical study and not licensed gold. I am not asking FDA to recognize a private harness. I am not reporting that any named commercial model is safe or unsafe. I am not arguing that Non-Device CDS should become a device by default. I am not describing an employer product or a system in clinical use.</w:t>
      </w:r>
    </w:p>
    <w:p>
      <w:r>
        <w:rPr>
          <w:color w:val="777777"/>
          <w:sz w:val="16"/>
        </w:rPr>
        <w:t xml:space="preserve">p038 · att1 p.3  </w:t>
      </w:r>
      <w:r>
        <w:t>IX. Summary asks — 1. Score E.2 against a pre-specified, case-locked question family; forbid self-graded completeness (Q9). 2. Score repeated questions on resolved items as multi-turn reliability failures (Q5, R.1). 3. Require a same-transcript consistency metric on action-relevant fields (R.1). 4. Include instruction-lock items as a guardrail test that must hold across turns (R.1). 5. Treat hallucination as open-ended; pair source-conditioned checks with sampled clinician review (Q1). 6. Re-run the above when the foundation-model identifier or prompt template changes (Q22, Q24). 7. Prefer shared item definitions plus a hidden holdout, with licensed review of decision gold only (Q10, Q16).</w:t>
      </w:r>
    </w:p>
    <w:p>
      <w:r>
        <w:rPr>
          <w:color w:val="777777"/>
          <w:sz w:val="16"/>
        </w:rPr>
        <w:t xml:space="preserve">p039 · att1 p.3  </w:t>
      </w:r>
      <w:r>
        <w:t>Respectfully submitted,</w:t>
      </w:r>
    </w:p>
    <w:p>
      <w:r>
        <w:rPr>
          <w:color w:val="777777"/>
          <w:sz w:val="16"/>
        </w:rPr>
        <w:t xml:space="preserve">p040 · att1 p.3  </w:t>
      </w:r>
      <w:r>
        <w:t>Qiong Liu Austin, TX</w:t>
      </w:r>
    </w:p>
    <w:p>
      <w:pPr>
        <w:pStyle w:val="Heading1"/>
        <w:pageBreakBefore/>
      </w:pPr>
      <w:r>
        <w:t>FDA-2026-N-7874-0089</w:t>
      </w:r>
    </w:p>
    <w:p>
      <w:r>
        <w:t>Comment from Daniel Fagbuyi</w:t>
      </w:r>
    </w:p>
    <w:p>
      <w:r>
        <w:rPr>
          <w:color w:val="777777"/>
          <w:sz w:val="18"/>
        </w:rPr>
        <w:t>Health Professional - A0007 · received 2026-09-11 · attachments: attachment_1.pdf (3 pp)</w:t>
      </w:r>
    </w:p>
    <w:p>
      <w:r>
        <w:rPr>
          <w:color w:val="777777"/>
          <w:sz w:val="16"/>
        </w:rPr>
        <w:t xml:space="preserve">p001 · body  </w:t>
      </w:r>
      <w:r>
        <w:t>Disclosure: I am a practicing emergency physician and a former federal advisor — Special Medical Advisor to the FDA Commissioner (Office of Pediatric Therapeutics; Office of Counterterrorism and Emerging Threats) and a former appointee to the U.S. National Biodefense Science Board. I am also the founder of a company working on human-accountability technology for AI, and I disclose that commercial interest plainly. This comment is offered at the level of regulatory principle. A fuller version is attached.</w:t>
      </w:r>
    </w:p>
    <w:p>
      <w:r>
        <w:rPr>
          <w:color w:val="777777"/>
          <w:sz w:val="16"/>
        </w:rPr>
        <w:t xml:space="preserve">p002 · body  </w:t>
      </w:r>
      <w:r>
        <w:t>Central recommendation: For agentic AI-enabled medical devices, "human oversight" should not be accepted as a design claim. It should be required as a verifiable, tamper-evident record that a real, present, uncoerced human authorized each consequential action at the moment it was taken. The discussion paper asks the right question — how to reflect the "reduced opportunity for human review" when an agent plans and executes multi-step tasks. The answer is to make human oversight provable.</w:t>
      </w:r>
    </w:p>
    <w:p>
      <w:r>
        <w:rPr>
          <w:color w:val="777777"/>
          <w:sz w:val="16"/>
        </w:rPr>
        <w:t xml:space="preserve">p003 · body  </w:t>
      </w:r>
      <w:r>
        <w:t>The problem. Traditional software produces an output a clinician accepts or rejects; the human is a gate. Agentic systems collapse that gate — the device retrieves data, calls tools, drafts and places orders, and updates the record faster than any clinician can review each step, sometimes with no natural review point. "A human is in the loop" becomes an assertion no one can test. The consequential actions — a medication order, a triage disposition, a documentation entry that drives care and billing — are exactly where an unreviewed error, or an action taken when no human authorized it, causes direct patient harm. A device that cannot demonstrate human authorization cannot be evaluated against any human-oversight requirement; the requirement becomes decorative.</w:t>
      </w:r>
    </w:p>
    <w:p>
      <w:r>
        <w:rPr>
          <w:color w:val="777777"/>
          <w:sz w:val="16"/>
        </w:rPr>
        <w:t xml:space="preserve">p004 · body  </w:t>
      </w:r>
      <w:r>
        <w:t>Identity is not authorization. Knowing who the user is does not establish that the user authorized this specific act. Evaluation should ask for proof of authorization at the action, not proof of identity at login — and this can be done without collecting or storing a biometric identifier, which would create its own privacy liability and security target. "Add more biometrics" builds the honeypot that data-minimization counsels against and still does not prove a specific act was authorized. The check should also be resistant to spoofing, so a deepfake or an AI agent cannot stand in for the human.</w:t>
      </w:r>
    </w:p>
    <w:p>
      <w:r>
        <w:rPr>
          <w:color w:val="777777"/>
          <w:sz w:val="16"/>
        </w:rPr>
        <w:t xml:space="preserve">p005 · body  </w:t>
      </w:r>
      <w:r>
        <w:t>Recommendations: Risk assessment — distinguish agentic devices by the reversibility and consequence of the actions the agent can take autonomously, not only by indication or model type. The more consequential and less reversible the action, the stronger the required evidence of contemporaneous human authorization.</w:t>
      </w:r>
    </w:p>
    <w:p>
      <w:r>
        <w:rPr>
          <w:color w:val="777777"/>
          <w:sz w:val="16"/>
        </w:rPr>
        <w:t xml:space="preserve">p006 · body  </w:t>
      </w:r>
      <w:r>
        <w:t>Premarket — require a demonstration that the device produces a verifiable, tamper-evident authorization record for each class of consequential action: who authorized it, and were they present and acting freely.</w:t>
      </w:r>
    </w:p>
    <w:p>
      <w:r>
        <w:rPr>
          <w:color w:val="777777"/>
          <w:sz w:val="16"/>
        </w:rPr>
        <w:t xml:space="preserve">p007 · body  </w:t>
      </w:r>
      <w:r>
        <w:t>Postmarket — require retention and auditability of that authorization evidence, proportionate to consequence. Without it, surveillance of agentic behavior is reconstructive guesswork.</w:t>
      </w:r>
    </w:p>
    <w:p>
      <w:r>
        <w:rPr>
          <w:color w:val="777777"/>
          <w:sz w:val="16"/>
        </w:rPr>
        <w:t xml:space="preserve">p008 · body  </w:t>
      </w:r>
      <w:r>
        <w:t>As a governing principle, we already govern catastrophic, irreversible capability with positive human control — unforgeable authorization and, for the gravest actions, agreement by more than one accountable person. Translated to clinical agents: for the narrow set of actions consequential and irreversible enough to warrant it, no agent should complete the action without verifiable authorization by an accountable human, and the system should fail safe in its absence. Treat verifiable human authorization at the point of the consequential action as an operational control that manufacturers can be asked to demonstrate — a concrete form of human oversight, not just lip service or a statement on a page.</w:t>
      </w:r>
    </w:p>
    <w:p>
      <w:r>
        <w:rPr>
          <w:color w:val="777777"/>
          <w:sz w:val="16"/>
        </w:rPr>
        <w:t xml:space="preserve">p009 · body  </w:t>
      </w:r>
      <w:r>
        <w:t>Thank you for the opportunity to comment.</w:t>
      </w:r>
    </w:p>
    <w:p>
      <w:r>
        <w:rPr>
          <w:color w:val="777777"/>
          <w:sz w:val="16"/>
        </w:rPr>
        <w:t xml:space="preserve">p010 · body  </w:t>
      </w:r>
      <w:r>
        <w:t>Daniel B. Fagbuyi, MD — Practicing Emergency Physician; former Special Medical Advisor to the FDA Commissioner (Office of Pediatric Therapeutics; Office of Counterterrorism and Emerging Threats); former appointee, U.S. National Biodefense Science Board. LinkedIn: linkedin.com/in/drdandocdanmd</w:t>
      </w:r>
    </w:p>
    <w:p>
      <w:r>
        <w:rPr>
          <w:color w:val="777777"/>
          <w:sz w:val="16"/>
        </w:rPr>
        <w:t xml:space="preserve">p011 · att1 p.1  </w:t>
      </w:r>
      <w:r>
        <w:t>Public Comment — Docket FDA-2026-N-7874 — Considerations for the Regulation of Generative AI-Enabled Medical Devices: Discussion Paper and Request for Feedback</w:t>
      </w:r>
    </w:p>
    <w:p>
      <w:r>
        <w:rPr>
          <w:color w:val="777777"/>
          <w:sz w:val="16"/>
        </w:rPr>
        <w:t xml:space="preserve">p012 · att1 p.1  </w:t>
      </w:r>
      <w:r>
        <w:t>Submitted to: Division of Dockets Management, U.S. Food and Drug Administration, via Regulations.gov (Docket No. FDA-2026-N-7874)</w:t>
      </w:r>
    </w:p>
    <w:p>
      <w:r>
        <w:rPr>
          <w:color w:val="777777"/>
          <w:sz w:val="16"/>
        </w:rPr>
        <w:t xml:space="preserve">p013 · att1 p.1  </w:t>
      </w:r>
      <w:r>
        <w:t>Submitted by: Daniel B. Fagbuyi, MD — Practicing Emergency Physician; Founder, Orzyn — Date: September 2026</w:t>
      </w:r>
    </w:p>
    <w:p>
      <w:r>
        <w:rPr>
          <w:color w:val="777777"/>
          <w:sz w:val="16"/>
        </w:rPr>
        <w:t xml:space="preserve">p014 · att1 p.1  </w:t>
      </w:r>
      <w:r>
        <w:t>Disclosure of interest: I am the founder of Orzyn, a company developing human-accountability infrastructure for AI-mediated actions, and I have a commercial interest in the subject matter of this comment. I submit it in my capacity as a physician and former federal advisor. I previously served as a Special Medical Advisor to the FDA Commissioner, Office of Pediatric Therapeutics, and to the Office of Counterterrorism and Emerging Threats, and I am a former federal appointee to the U.S. National Biodefense Science Board. The recommendations below are framed at the level of regulatory principle and are offered to strengthen the framework, not to advantage any product, including my own.</w:t>
      </w:r>
    </w:p>
    <w:p>
      <w:r>
        <w:rPr>
          <w:color w:val="777777"/>
          <w:sz w:val="16"/>
        </w:rPr>
        <w:t xml:space="preserve">p015 · att1 p.1  </w:t>
      </w:r>
      <w:r>
        <w:t>Summary — I commend CDRH and the Digital Health Center of Excellence for asking, directly, how to reflect the reduced opportunity for human review in acceptance criteria for agentic AI systems — those that plan and execute multi-step tasks and use external tools. That is the most important question in the paper, and this comment addresses it. My central recommendation: for agentic GenAI-enabled devices, “human oversight” should not be accepted as a design claim. It should be required as a verifiable, tamper-evident record that a real, present, uncoerced human authorized each consequential action at the moment it was taken. The regulatory question for an autonomous clinical agent is no longer only whether the output is accurate. It is whether an accountable human authorized this specific consequential act — and whether that can be proven afterward. Present frameworks name human oversight everywhere and give device makers no way to demonstrate it. That gap is where patient harm, and unassignable liability, will concentrate.</w:t>
      </w:r>
    </w:p>
    <w:p>
      <w:r>
        <w:rPr>
          <w:color w:val="777777"/>
          <w:sz w:val="16"/>
        </w:rPr>
        <w:t xml:space="preserve">p016 · att1 p.1  </w:t>
      </w:r>
      <w:r>
        <w:t>1. The problem the paper correctly identifies — Traditional software and locked AI models produce an output that a clinician reviews and accepts or rejects; the human is a gate. As the paper recognizes, agentic systems collapse that gate: the device plans and executes a chain of actions — retrieving data, calling external tools, drafting and placing orders, updating the record — often faster than any clinician can meaningfully review each step, and sometimes with no natural review point at all. “A human is in the loop” becomes an assertion no one can test. This matters clinically because the consequential actions an agent can now take — a medication order, a triage disposition, a documentation entry that drives downstream care and billing — are exactly the actions where an unreviewed error, or an action taken when no human actually authorized it, causes direct patient harm. It matters for regulation because a device that cannot demonstrate human authorization cannot be meaningfully evaluated against any human-oversight requirement; the requirement becomes decorative.</w:t>
      </w:r>
    </w:p>
    <w:p>
      <w:r>
        <w:rPr>
          <w:color w:val="777777"/>
          <w:sz w:val="16"/>
        </w:rPr>
        <w:t xml:space="preserve">p017 · att1 p.2  </w:t>
      </w:r>
      <w:r>
        <w:t>2. Recommendation for risk assessment — I recommend the risk framework distinguish agentic devices by the reversibility and consequence of the actions the agent can take autonomously, not only by clinical indication or model type. An agent that drafts a note for clinician signature is a different risk object from one that can place an order or alter a record. Acceptance criteria should scale accordingly: the more consequential and less reversible the autonomous action, the stronger the required evidence of contemporaneous human authorization at the point of that action.</w:t>
      </w:r>
    </w:p>
    <w:p>
      <w:r>
        <w:rPr>
          <w:color w:val="777777"/>
          <w:sz w:val="16"/>
        </w:rPr>
        <w:t xml:space="preserve">p018 · att1 p.2  </w:t>
      </w:r>
      <w:r>
        <w:t>3. Recommendation for premarket evaluation — For agentic devices, I recommend CDRH consider requiring, as part of the premarket submission, a demonstration that the device produces a verifiable, tamper-evident authorization record for each class of consequential action it can take — evidence that answers who authorized this, and whether they were actually present and acting freely. This is achievable without collecting or storing biometric identifiers; presence and authorization can be evidenced without building a biometric database that itself becomes a privacy liability and a security target. The reflex solution — “add more biometrics” — creates exactly the honeypot that data-minimization principles counsel against, and it does not actually prove authorization of a specific act. The evaluation should ask for proof of authorization at the action, not proof of identity at login. Identity is not authorization. Knowing who the user is does not establish that that user authorized this particular consequential action — and the second is what protects the patient.</w:t>
      </w:r>
    </w:p>
    <w:p>
      <w:r>
        <w:rPr>
          <w:color w:val="777777"/>
          <w:sz w:val="16"/>
        </w:rPr>
        <w:t xml:space="preserve">p019 · att1 p.2  </w:t>
      </w:r>
      <w:r>
        <w:t>4. Recommendation for postmarket monitoring — Authorization records of the kind described above are also the substrate for meaningful postmarket surveillance. If each consequential agentic action carries a tamper-evident record of its human authorization (or of its absence), then adverse-event investigation, root-cause analysis, and pattern detection across a fleet of deployed agents become tractable. Without such records, postmarket monitoring of agentic behavior is largely reconstructive guesswork. I recommend postmarket expectations for agentic devices include retention and auditability of authorization evidence proportionate to the consequence of the actions the device performs.</w:t>
      </w:r>
    </w:p>
    <w:p>
      <w:r>
        <w:rPr>
          <w:color w:val="777777"/>
          <w:sz w:val="16"/>
        </w:rPr>
        <w:t xml:space="preserve">p020 · att1 p.2  </w:t>
      </w:r>
      <w:r>
        <w:t>5. A governing principle from adjacent high-consequence fields — The field has already solved a version of this problem for other high-consequence, irreversible actions. In domains where an erroneous or unauthorized act cannot be undone, we do not rely on asking the system to behave; we require positive human control — unforgeable authorization and, for the gravest actions, concurrence by more than one accountable person. That principle translates directly to autonomous clinical agents: for the narrow set of actions consequential and irreversible enough to warrant it, no agent should be able to complete the action without verifiable authorization by an accountable human, and the system should fail safe in the absence of that authorization. I encourage CDRH to treat verifiable human authorization at the point of the consequential action as an operational control that manufacturers can be asked to demonstrate — the concrete form that “human oversight” must take to be more than a word.</w:t>
      </w:r>
    </w:p>
    <w:p>
      <w:r>
        <w:rPr>
          <w:color w:val="777777"/>
          <w:sz w:val="16"/>
        </w:rPr>
        <w:t xml:space="preserve">p021 · att1 p.3  </w:t>
      </w:r>
      <w:r>
        <w:t>Conclusion — The paper asks the right question about agentic systems and the reduced opportunity for human review. My recommendation is to answer it by making human oversight provable: require, proportionate to consequence and irreversibility, a verifiable and tamper-evident record that a real, present, uncoerced human authorized each consequential action — evidenced without building a new biometric honeypot. This protects patients, makes the human-oversight requirement testable in premarket review, and gives postmarket surveillance something real to examine. I appreciate the Agency’s early engagement and am glad to provide further detail on any point.</w:t>
      </w:r>
    </w:p>
    <w:p>
      <w:r>
        <w:rPr>
          <w:color w:val="777777"/>
          <w:sz w:val="16"/>
        </w:rPr>
        <w:t xml:space="preserve">p022 · att1 p.3  </w:t>
      </w:r>
      <w:r>
        <w:t>Respectfully submitted,</w:t>
      </w:r>
    </w:p>
    <w:p>
      <w:r>
        <w:rPr>
          <w:color w:val="777777"/>
          <w:sz w:val="16"/>
        </w:rPr>
        <w:t xml:space="preserve">p023 · att1 p.3  </w:t>
      </w:r>
      <w:r>
        <w:t>Daniel B. Fagbuyi, MD Practicing Emergency Physician Former Special Medical Advisor to the FDA, Office of Pediatric Therapeutics (OPT), and Office of Counterterrorism and Emerging Threats (OCET) Founder, Orzyn Former Federal Appointee, U.S. National Biodefense Science Board linkedin.com/in/drdandocdanmd</w:t>
      </w:r>
    </w:p>
    <w:p>
      <w:pPr>
        <w:pStyle w:val="Heading1"/>
        <w:pageBreakBefore/>
      </w:pPr>
      <w:r>
        <w:t>FDA-2026-N-7874-0090</w:t>
      </w:r>
    </w:p>
    <w:p>
      <w:r>
        <w:t>Comment from Sentir Health, INC.</w:t>
      </w:r>
    </w:p>
    <w:p>
      <w:r>
        <w:rPr>
          <w:color w:val="777777"/>
          <w:sz w:val="18"/>
        </w:rPr>
        <w:t>Device Industry - C0012 · received 2026-09-12 · attachments: attachment_1.pdf (6 pp)</w:t>
      </w:r>
    </w:p>
    <w:p>
      <w:r>
        <w:rPr>
          <w:color w:val="777777"/>
          <w:sz w:val="16"/>
        </w:rPr>
        <w:t xml:space="preserve">p001 · body  </w:t>
      </w:r>
      <w:r>
        <w:t>Sentir Health, which maintains a public database of AI/ML devices authorized with PCCPs, comments on Questions 18–20 and 22–24. We argue that a premarket-to-postmarket evidence shift requires monitoring that is continuous, pre-specified, and independently verifiable; that supervisory agents must meet device-grade evidentiary discipline; and we ground both in a review of 95 authorized PCCPs. Full comment attached.</w:t>
      </w:r>
    </w:p>
    <w:p>
      <w:r>
        <w:rPr>
          <w:color w:val="777777"/>
          <w:sz w:val="16"/>
        </w:rPr>
        <w:t xml:space="preserve">p002 · att1 p.1  </w:t>
      </w:r>
      <w:r>
        <w:t>Comment on FDA Discussion Paper: Considerations for the Regulation of Generative AI-Enabled Medical Devices</w:t>
      </w:r>
    </w:p>
    <w:p>
      <w:r>
        <w:rPr>
          <w:color w:val="777777"/>
          <w:sz w:val="16"/>
        </w:rPr>
        <w:t xml:space="preserve">p003 · att1 p.1  </w:t>
      </w:r>
      <w:r>
        <w:t>Docket No. FDA-2026-N-7874 — Submitted by: Mario Ricart, Founder, Sentir Health Inc. Seattle, Washington mario@sentirhealth.com September 12, 2026</w:t>
      </w:r>
    </w:p>
    <w:p>
      <w:r>
        <w:rPr>
          <w:color w:val="777777"/>
          <w:sz w:val="16"/>
        </w:rPr>
        <w:t xml:space="preserve">p004 · att1 p.1  </w:t>
      </w:r>
      <w:r>
        <w:t>Introduction and Statement of Interest — Sentir Health builds postmarket performance monitoring infrastructure for AI-enabled medical devices, with a focus on producing audit-defensible evidence of continued device performance before and after authorization. We maintain a public database of AI/ML-enabled devices authorized with Predetermined Change Control Plans (PCCPs), compiled from published 510(k) summaries and authorization records.</w:t>
      </w:r>
    </w:p>
    <w:p>
      <w:r>
        <w:rPr>
          <w:color w:val="777777"/>
          <w:sz w:val="16"/>
        </w:rPr>
        <w:t xml:space="preserve">p005 · att1 p.1  </w:t>
      </w:r>
      <w:r>
        <w:t>A note on scope: the devices in that database are predominantly non-generative AI/ML devices, and we did not identify any authorized GenAI-enabled device with a publicly described PCCP among them. Where this comment cites the database, we oﬀer it as precedent from the adjacent category — the change-control and monitoring practice the current framework has actually produced for the device class nearest to GenAI — never as observations about GenAI-enabled devices themselves.</w:t>
      </w:r>
    </w:p>
    <w:p>
      <w:r>
        <w:rPr>
          <w:color w:val="777777"/>
          <w:sz w:val="16"/>
        </w:rPr>
        <w:t xml:space="preserve">p006 · att1 p.1  </w:t>
      </w:r>
      <w:r>
        <w:t>We commend CDRH for a discussion paper that treats postmarket monitoring as a ﬁrst-class component of the regulatory framework rather than an afterthought. Our comment responds to a subset of the discussion questions where our engineering work and our review of public authorization records give us direct standing: Questions 18, 19, 20, 22, 23, and 24. We oﬀer no comment on the risk framework or premarket evaluation questions, which are better addressed by clinical and regulatory aﬀairs professionals.</w:t>
      </w:r>
    </w:p>
    <w:p>
      <w:r>
        <w:rPr>
          <w:color w:val="777777"/>
          <w:sz w:val="16"/>
        </w:rPr>
        <w:t xml:space="preserve">p007 · att1 p.1  </w:t>
      </w:r>
      <w:r>
        <w:t>A summary of our positions: 1. Greater reliance on postmarket monitoring (Q18) is workable only where the monitoring program is continuous from ﬁrst deployment, prespeciﬁed before deployment, and independently veriﬁable. Monitoring adopted after a signal emerges cannot reconstruct the evidence it was meant to produce. 2. The three postmarket evaluation approaches the paper proposes (Q19) are complements, not alternatives: re-benchmarking supplies comparability, clinician review supplies depth, degradation monitoring supplies timeliness. Evaluation cadence should be event-driven with a calendar-based ﬂoor — and the adjacentcategory record shows why, because authorized PCCPs today describe evaluation almost exclusively as change-triggered. 3. Machine-based supervisory agents (Q20) are feasible and, for high-volume open-ended-output devices, likely necessary — but the supervisory agent must be held to the same evidentiary discipline as the device: characterized error rates, structural independence, tamper-evident records, and version control of the supervisor itself. 4. Current PCCP modiﬁcation categories (Q22/23) are shaped around discrete retraining events and map poorly to the ways GenAI-enabled systems actually change. Modiﬁcation categories should be deﬁned by the system component changed — prompt, retrieval corpus, guardrail, orchestration logic, underlying model version — and re-benchmarking scope should scale by mapping each change class to the Appendix A benchmarking elements it can plausibly aﬀect.</w:t>
      </w:r>
    </w:p>
    <w:p>
      <w:r>
        <w:rPr>
          <w:color w:val="777777"/>
          <w:sz w:val="16"/>
        </w:rPr>
        <w:t xml:space="preserve">p008 · att1 p.1  </w:t>
      </w:r>
      <w:r>
        <w:t>Question 18 — Accepting greater premarket uncertainty in exchange for postmarket monitoring — “Under what conditions might such an approach be appropriate, and what characteristics of a monitoring program would need to be in place to justify reduced premarket evidence? Are there device types or risk proﬁles for which this approach would not be appropriate?”</w:t>
      </w:r>
    </w:p>
    <w:p>
      <w:r>
        <w:rPr>
          <w:color w:val="777777"/>
          <w:sz w:val="16"/>
        </w:rPr>
        <w:t xml:space="preserve">p009 · att1 p.1  </w:t>
      </w:r>
      <w:r>
        <w:t>We support this direction in principle, with a caution: a premarket-to-postmarket evidence shift is only as sound as the monitoring program it relies on. If the postmarket record is discontinuous, retrospectively assembled, or unveriﬁable, the shift does not redistribute the evidence burden — it deletes it.</w:t>
      </w:r>
    </w:p>
    <w:p>
      <w:r>
        <w:rPr>
          <w:color w:val="777777"/>
          <w:sz w:val="16"/>
        </w:rPr>
        <w:t xml:space="preserve">p010 · att1 p.2  </w:t>
      </w:r>
      <w:r>
        <w:t>We suggest four characteristics a monitoring program should demonstrate before it can justify reduced premarket evidence:</w:t>
      </w:r>
    </w:p>
    <w:p>
      <w:r>
        <w:rPr>
          <w:color w:val="777777"/>
          <w:sz w:val="16"/>
        </w:rPr>
        <w:t xml:space="preserve">p011 · att1 p.2  </w:t>
      </w:r>
      <w:r>
        <w:t>1. Continuity from ﬁrst deployment. Deployment-period evidence cannot be reconstructed after the fact. A monitoring program stood up in response to a complaint, a signal, or an FDA inquiry has no baseline: the inputs, outputs, and context of the intervening period are gone. If premarket evidence is reduced on the promise of postmarket evidence, the postmarket record must begin on the ﬁrst day of deployment and connect directly to the premarket benchmarking baseline described in Section V.B. The Section VI.C concept of rebenchmarking against the premarket assessment only works if the intervening record is unbroken.</w:t>
      </w:r>
    </w:p>
    <w:p>
      <w:r>
        <w:rPr>
          <w:color w:val="777777"/>
          <w:sz w:val="16"/>
        </w:rPr>
        <w:t xml:space="preserve">p012 · att1 p.2  </w:t>
      </w:r>
      <w:r>
        <w:t>2. Prespeciﬁcation. The discussion paper’s own principle for premarket benchmarking — that test methods and acceptance criteria be prespeciﬁed prior to testing — should apply with equal force to postmarket monitoring. Analyses, thresholds, sampling frames, cadence, and triggering events should be ﬁxed before deployment. A monitoring program whose analyses are chosen after the data exist invites the same analytic degrees-of-freedom problems that prespeciﬁcation exists to prevent, and it converts monitoring from an evidentiary commitment into a discretionary exercise.</w:t>
      </w:r>
    </w:p>
    <w:p>
      <w:r>
        <w:rPr>
          <w:color w:val="777777"/>
          <w:sz w:val="16"/>
        </w:rPr>
        <w:t xml:space="preserve">p013 · att1 p.2  </w:t>
      </w:r>
      <w:r>
        <w:t>3. Independent veriﬁability. The discussion paper already expects expert adjudicators to be structurally independent from the device sponsor, including when the adjudicator is itself an LLM. We suggest extending that logic to monitoring infrastructure. Where reduced premarket evidence is compensated by postmarket monitoring, the monitoring record is load-bearing for the device’s continued marketing — and a load-bearing record should not depend on the sponsor’s post-hoc attestation. At minimum, monitoring records should be append-only, timestamped, and maintained under controls analogous to 21 CFR Part 11, such that selective retention or retrospective revision is detectable.</w:t>
      </w:r>
    </w:p>
    <w:p>
      <w:r>
        <w:rPr>
          <w:color w:val="777777"/>
          <w:sz w:val="16"/>
        </w:rPr>
        <w:t xml:space="preserve">p014 · att1 p.2  </w:t>
      </w:r>
      <w:r>
        <w:t>4. A prespeciﬁed consequence pathway. Monitoring without deﬁned consequences is observation, not control. The program should specify in advance what happens when a threshold is breached: escalation, feature restriction, rollback, user notiﬁcation, FDA notiﬁcation. Without this, threshold breaches become negotiations.</w:t>
      </w:r>
    </w:p>
    <w:p>
      <w:r>
        <w:rPr>
          <w:color w:val="777777"/>
          <w:sz w:val="16"/>
        </w:rPr>
        <w:t xml:space="preserve">p015 · att1 p.2  </w:t>
      </w:r>
      <w:r>
        <w:t>Where the approach is not appropriate. Two boundaries seem principled to us. First, functions high on both axes of the Section IV framework — autonomous action-taking with severe consequences of error — should not have their premarket evidence reduced, because the harm from the uncertainty window is realized before monitoring can act. Second, and less obviously: devices whose degradation is not observable in collectable deployment signals. Postmarket monitoring can only compensate for premarket uncertainty when the relevant failure modes produce detectable signals in deployment data within a clinically acceptable window. Where ground truth is substantially delayed (e.g., outputs bearing on long-horizon outcomes) or structurally unavailable, the monitoring program cannot deliver the evidence the reduced premarket burden presumes, regardless of how well it is engineered. We encourage CDRH to make “detectability of failure in deployment data” an explicit eligibility criterion for any premarket-to-postmarket evidence shift.</w:t>
      </w:r>
    </w:p>
    <w:p>
      <w:r>
        <w:rPr>
          <w:color w:val="777777"/>
          <w:sz w:val="16"/>
        </w:rPr>
        <w:t xml:space="preserve">p016 · att1 p.2  </w:t>
      </w:r>
      <w:r>
        <w:t>Question 19 — Postmarket performance evaluation approaches, cadence, and triggering events — “Please comment on the potential approaches to postmarket performance evaluation, including periodic rebenchmarking, sample-based clinician review, and performance degradation monitoring. What additional approaches should CDRH consider, and how should the cadence and triggering events for reassessment be determined?”</w:t>
      </w:r>
    </w:p>
    <w:p>
      <w:r>
        <w:rPr>
          <w:color w:val="777777"/>
          <w:sz w:val="16"/>
        </w:rPr>
        <w:t xml:space="preserve">p017 · att1 p.2  </w:t>
      </w:r>
      <w:r>
        <w:t>It is worth grounding this question in what authorized PCCPs actually specify today. We reviewed the public records — 510(k) summaries, De Novo decision summaries, and clearance letters — of the ninety-ﬁve AI/ML- enabled devices authorized with PCCPs in our database as of August 30, 2026, with decision dates spanning February 2020 through July 2026. Two caveats govern everything that follows, per the scope note in our cover letter. These are predominantly non-generative AI/ML devices, so what the record shows is precedent from the adjacent category: the postmarket evaluation practice the current framework has produced for the device class nearest to GenAI, not the behavior or oversight of GenAI-enabled devices themselves. And public summaries are abridged, with the detailed protocols living in the full submissions, so what follows describes what the public record discloses, not what the underlying plans do or do not contain.</w:t>
      </w:r>
    </w:p>
    <w:p>
      <w:r>
        <w:rPr>
          <w:color w:val="777777"/>
          <w:sz w:val="16"/>
        </w:rPr>
        <w:t xml:space="preserve">p018 · att1 p.2  </w:t>
      </w:r>
      <w:r>
        <w:t>With those caveats: the postmarket evaluation these summaries describe is almost exclusively changetriggered re-validation. The sponsor elects a modiﬁcation, tests it against prespeciﬁed acceptance criteria, locks it, and releases it. Only about one in ﬁve records invokes postmarket monitoring of the ﬁelded device in any form, and most of those in a sentence — a reference to complaint handling, to “post market surveillance” whose content is not described, or to real-world feedback as a rationale for future retraining. Only a handful describe an actual method: comparison of the device’s output distribution at customer sites against a prespeciﬁed reference distribution with alerting on deviation; quarterly evaluation of named data-drift statistics with drift-triggered retraining; post-deployment clinical monitoring with predeﬁned acceptance criteria and rollback controls.</w:t>
      </w:r>
    </w:p>
    <w:p>
      <w:r>
        <w:rPr>
          <w:color w:val="777777"/>
          <w:sz w:val="16"/>
        </w:rPr>
        <w:t xml:space="preserve">p019 · att1 p.3  </w:t>
      </w:r>
      <w:r>
        <w:t>Across the entire corpus we found exactly one speciﬁed monitoring cadence and exactly one quantiﬁed degradation trigger for action. We did not identify any public summary describing scheduled re-benchmarking of an unchanged deployed model, and none describing postmarket monitoring conducted at the subgroup level. The building blocks the discussion paper proposes therefore already exist in adjacent-category practice — but as isolated instances, not as a norm, and GenAI-enabled devices will stress every one of them harder than the devices that produced this record.</w:t>
      </w:r>
    </w:p>
    <w:p>
      <w:r>
        <w:rPr>
          <w:color w:val="777777"/>
          <w:sz w:val="16"/>
        </w:rPr>
        <w:t xml:space="preserve">p020 · att1 p.3  </w:t>
      </w:r>
      <w:r>
        <w:t>Against that backdrop, we oﬀer two positions.</w:t>
      </w:r>
    </w:p>
    <w:p>
      <w:r>
        <w:rPr>
          <w:color w:val="777777"/>
          <w:sz w:val="16"/>
        </w:rPr>
        <w:t xml:space="preserve">p021 · att1 p.3  </w:t>
      </w:r>
      <w:r>
        <w:t>1. The three proposed approaches are complements, not alternatives. Periodic re-benchmarking, sample-based clinician review, and degradation monitoring measure diﬀerent things and fail in diﬀerent ways. Re-benchmarking against the premarket baseline supplies comparability, the only apples-to-apples link back to the evidence that supported authorization; but it is episodic, and everything between two benchmark runs is invisible to it. Clinician review supplies depth, catching failure modes no predeﬁned metric encodes; but it cannot supply coverage, because review capacity does not scale with interaction volume. Degradation monitoring supplies timeliness and coverage, seeing every interaction as it happens; but it observes proxies, not adjudicated truth, and a proxy can stay ﬂat while quality falls. A program built on any one of the three inherits that approach’s blind spot in full. We encourage CDRH to treat them as layers of a single program, each covering the others’ failure modes, rather than as a menu from which sponsors select one. This is the same layering logic we describe for supervisory agents under Question 20, where machine-based coverage complements rather than replaces clinician depth and benchmark comparability.</w:t>
      </w:r>
    </w:p>
    <w:p>
      <w:r>
        <w:rPr>
          <w:color w:val="777777"/>
          <w:sz w:val="16"/>
        </w:rPr>
        <w:t xml:space="preserve">p022 · att1 p.3  </w:t>
      </w:r>
      <w:r>
        <w:t>2. Cadence should be event-driven with a calendar-based ﬂoor, not calendar-only. A ﬁxed calendar cadence is miscalibrated in both directions: too slow for a device whose input distribution shifts abruptly (a new scanner ﬂeet, a new site, a new patient population) and wastefully fast for a stable deployment. The events that should trigger evaluation are largely observable and prespeciﬁable: a detected shift in the input distribution beyond a stated bound; any change to the device or a component it depends on, including changes originating outside the sponsor’s control; and deployment volume milestones, because the accumulating record is what gives an evaluation statistical power, and because each increment of scale samples new conditions of use. The adjacent-category record shows event-driven prespeciﬁcation is practicable today: authorized PCCPs for non-generative AI/ML devices already specify retraining triggered by quantiﬁed performance drift, by deviation from a reference output distribution, and by component events such as qualiﬁcation of a new acquisition system. What calendar cadence should provide is the ﬂoor, not the schedule: a maximum interval between evaluations, so that a quiet monitoring signal is periodically tested against ground truth rather than trusted indeﬁnitely. A degradation monitor that never alarms is consistent with both a stable device and a broken monitor; only a scheduled re-benchmark distinguishes the two. And consistent with our answer to Question 18, both the triggering events and the ﬂoor should be prespeciﬁed with quantitative thresholds. In the records we reviewed, quantitative acceptance criteria are routine for modiﬁcation testing yet almost never publicly speciﬁed for monitoring itself — the discipline that governs how these devices change has not yet been extended to how they are watched.</w:t>
      </w:r>
    </w:p>
    <w:p>
      <w:r>
        <w:rPr>
          <w:color w:val="777777"/>
          <w:sz w:val="16"/>
        </w:rPr>
        <w:t xml:space="preserve">p023 · att1 p.3  </w:t>
      </w:r>
      <w:r>
        <w:t>Question 20 — Machine-based supervisory agents for postmarket monitoring — “Please comment on whether the proposed approaches to postmarket monitoring can be facilitated by machine-based supervisory agents. What considerations, including the evaluation and reliability of the supervisory agent itself, should CDRH take into account for such an approach?”</w:t>
      </w:r>
    </w:p>
    <w:p>
      <w:r>
        <w:rPr>
          <w:color w:val="777777"/>
          <w:sz w:val="16"/>
        </w:rPr>
        <w:t xml:space="preserve">p024 · att1 p.3  </w:t>
      </w:r>
      <w:r>
        <w:t>Machine-based supervisory agents are feasible, and for GenAI-enabled devices with high interaction volumes and open-ended outputs, they are likely the only approach that scales: sample-based clinician review provides depth but cannot provide coverage, and periodic re-benchmarking provides comparability but cannot provide timeliness. We see supervisory agents as the coverage layer of a layered program, not a replacement for either.</w:t>
      </w:r>
    </w:p>
    <w:p>
      <w:r>
        <w:rPr>
          <w:color w:val="777777"/>
          <w:sz w:val="16"/>
        </w:rPr>
        <w:t xml:space="preserve">p025 · att1 p.3  </w:t>
      </w:r>
      <w:r>
        <w:t>We suggest CDRH consider the following: 1. The supervisory agent is itself an evaluative software function and should be characterized like one. Before deployment, a supervisory agent’s performance should be established against independent human adjudication on a representative validation set, producing known operating characteristics — sensitivity and speciﬁcity for the failure modes it is intended to ﬂag, at the thresholds it will run at. An unvalidated monitor produces the appearance of oversight without its substance. These operating characteristics should be prespeciﬁed and periodically re-conﬁrmed against fresh human-adjudicated samples, because the input distribution the monitor observes will drift just as the device’s does.</w:t>
      </w:r>
    </w:p>
    <w:p>
      <w:r>
        <w:rPr>
          <w:color w:val="777777"/>
          <w:sz w:val="16"/>
        </w:rPr>
        <w:t xml:space="preserve">p026 · att1 p.4  </w:t>
      </w:r>
      <w:r>
        <w:t>2. Correlated failure is the central design risk. A supervisory agent built on the same foundation model as the device it monitors — or on a model of the same class, trained on similar data — may share the device’s blind spots. Where device and monitor fail on the same inputs, coverage statistics overstate protection precisely where it matters. Mitigations CDRH could look for include architectural or vendor diversity between device and supervisor, challenge sets constructed from known device failure modes, and calibration of the supervisor against human adjudication concentrated in the input regions where correlated failure is most plausible. We note the discussion paper raises an analogous concern in Question 13 regarding synthetic data generated by models of the same class as the device under evaluation; the same logic applies to supervision.</w:t>
      </w:r>
    </w:p>
    <w:p>
      <w:r>
        <w:rPr>
          <w:color w:val="777777"/>
          <w:sz w:val="16"/>
        </w:rPr>
        <w:t xml:space="preserve">p027 · att1 p.4  </w:t>
      </w:r>
      <w:r>
        <w:t>3. Structural independence and tamper-evidence. The paper’s independence expectation for expert adjudicators — explicitly including LLM adjudicators — should extend to supervisory agents. Independence here has two components: independence of the agent’s judgment (it is not optimized against the same objective the sponsor is incentivized to maximize) and independence of the record (its outputs are logged append-only, with timestamps, such that unfavorable ﬁndings cannot be selectively discarded). A supervisory agent whose outputs pass through sponsor-controlled ﬁltering before retention is an advisory tool, not a monitoring control.</w:t>
      </w:r>
    </w:p>
    <w:p>
      <w:r>
        <w:rPr>
          <w:color w:val="777777"/>
          <w:sz w:val="16"/>
        </w:rPr>
        <w:t xml:space="preserve">p028 · att1 p.4  </w:t>
      </w:r>
      <w:r>
        <w:t>4. Version control of the supervisor. Any update to the supervisory agent — model version, prompts, thresholds, sampling logic — is a modiﬁcation to the monitoring program and should be documented as such, with material changes triggering re-validation against human adjudication. Supervisor drift is as real as device drift, and an unversioned monitor cannot support the re-benchmarking concept in Section VI.C, because the measurement instrument itself has silently changed between baseline and follow-up.</w:t>
      </w:r>
    </w:p>
    <w:p>
      <w:r>
        <w:rPr>
          <w:color w:val="777777"/>
          <w:sz w:val="16"/>
        </w:rPr>
        <w:t xml:space="preserve">p029 · att1 p.4  </w:t>
      </w:r>
      <w:r>
        <w:t>5. A qualiﬁcation pathway would accelerate sound adoption. The discussion paper’s third-party section identiﬁes the MDDT program as an existing mechanism for qualifying tools used in device development and evaluation. Qualifying supervisory monitoring methodologies through MDDT (or an analogous mechanism) would give sponsors a predictable way to adopt machine-based monitoring without each submission relitigating the monitor’s validity, and would give CDRH review teams a consistent basis for evaluating monitoring claims.</w:t>
      </w:r>
    </w:p>
    <w:p>
      <w:r>
        <w:rPr>
          <w:color w:val="777777"/>
          <w:sz w:val="16"/>
        </w:rPr>
        <w:t xml:space="preserve">p030 · att1 p.4  </w:t>
      </w:r>
      <w:r>
        <w:t>Questions 22 &amp; 23 — Re-benchmarking baselines, scaling evidence to modiﬁcation impact, and PCCP adaptation for GenAI</w:t>
      </w:r>
    </w:p>
    <w:p>
      <w:r>
        <w:rPr>
          <w:color w:val="777777"/>
          <w:sz w:val="16"/>
        </w:rPr>
        <w:t xml:space="preserve">p031 · att1 p.4  </w:t>
      </w:r>
      <w:r>
        <w:t>Q22: “CDRH envisions that a manufacturer’s premarket competency-based assessment might serve as a baseline against which post-deployment modiﬁcations could be re-evaluated. How might the extent of rebenchmarking or other evidence be scaled to the nature and expected impact of a given modiﬁcation? For example, are there categories of change that might not signiﬁcantly aﬀect safety or eﬀectiveness of a GenAI- enabled device, or might be appropriately managed within a sponsor’s quality management system versus requiring FDA premarket review and authorization before implementation? Are there categories of changes that might be appropriate for inclusion in a PCCP?”</w:t>
      </w:r>
    </w:p>
    <w:p>
      <w:r>
        <w:rPr>
          <w:color w:val="777777"/>
          <w:sz w:val="16"/>
        </w:rPr>
        <w:t xml:space="preserve">p032 · att1 p.4  </w:t>
      </w:r>
      <w:r>
        <w:t>Q23: “How might PCCP concepts or other change-control approaches be adapted for GenAI-enabled devices when the nature or scope of future modiﬁcations cannot be fully prespeciﬁed?”</w:t>
      </w:r>
    </w:p>
    <w:p>
      <w:r>
        <w:rPr>
          <w:color w:val="777777"/>
          <w:sz w:val="16"/>
        </w:rPr>
        <w:t xml:space="preserve">p033 · att1 p.4  </w:t>
      </w:r>
      <w:r>
        <w:t>The authorized PCCPs in our database — again, precedent from the adjacent, predominantly non-generative category, per the scope note in our cover letter — show a consistent shape. In the public summaries that describe modiﬁcation categories at all, those categories are overwhelmingly built around the model artifact and its training data: retraining on additional data, tuning of hyperparameters or decision thresholds, changes to pre- and post-processing, and expansion to new input sources such as additional scanners or acquisition systems. A smaller number contemplate bounded architecture changes. Nearly all follow the same protocol structure: each modiﬁcation class is paired with test methods and prespeciﬁed acceptance criteria, and the modiﬁed model is, in the recurring phrase of these documents, trained, tuned, and locked prior to release. This structure is a genuine achievement of the current framework, and it presumes that a change is a discrete, sponsor-initiated event, that the thing changing is a locked model artifact, and that one validation pass before release can characterize the change. We did not identify any authorized PCCP whose public summary contemplates change types resembling the components of a GenAI system: a prompt or instruction change, a retrieval-corpus update, a guardrail or ﬁlter change, an orchestration change, or a version change in an underlying third-party foundation model. In a cohort of predominantly non-generative devices that absence is unsurprising; we cite it as a measure of the distance between the modiﬁcation vocabulary the framework has practiced and the components a GenAI-enabled device is actually made of, not as an observation about GenAI devices.</w:t>
      </w:r>
    </w:p>
    <w:p>
      <w:r>
        <w:rPr>
          <w:color w:val="777777"/>
          <w:sz w:val="16"/>
        </w:rPr>
        <w:t xml:space="preserve">p034 · att1 p.5  </w:t>
      </w:r>
      <w:r>
        <w:t>Every one of the assumptions that current categories encode is strained by GenAI-enabled devices. A GenAI system’s clinical behavior is a property of a pipeline — system prompts, retrieval corpora and indexes, guardrails, orchestration logic, and one or more underlying models — and it can change materially through any of these components without any retraining event occurring, in some cases without any conventional “software change” a change-control system would ﬂag. A one-sentence edit to a system prompt can alter output behavior across the entire indication; a retrieval-corpus update changes what the device grounds its answers in; an underlying model version change replaces the core of the device outright, on a third party’s schedule. A modiﬁcation taxonomy with no category for these changes does not prevent them — it merely guarantees that when they occur, the sponsor and the Agency lack a prespeciﬁed agreement on what evidence the change requires.</w:t>
      </w:r>
    </w:p>
    <w:p>
      <w:r>
        <w:rPr>
          <w:color w:val="777777"/>
          <w:sz w:val="16"/>
        </w:rPr>
        <w:t xml:space="preserve">p035 · att1 p.5  </w:t>
      </w:r>
      <w:r>
        <w:t>We therefore suggest that PCCPs for GenAI-enabled devices categorize modiﬁcations by the system component changed — prompt or instruction set, retrieval corpus or index, guardrail conﬁguration, orchestration logic, underlying model version, and ﬁne-tuning or adapter weights — and that re-benchmarking scope be scaled by a prespeciﬁed mapping from each change class to the Appendix A benchmarking elements it can plausibly aﬀect. A guardrail change can plausibly aﬀect safety-relevant refusal and escalation behavior but not, say, retrieval faithfulness; it should trigger the safety-behavior elements of the benchmark and may leave others standing. A retrieval-corpus update can plausibly aﬀect grounding, currency, and hallucinationrelated elements. A prompt change can aﬀect instruction-following, output format, and clinical-content behavior broadly, and should presumptively trigger a wide subset. An underlying model version change can aﬀect everything, and should presumptively trigger full re-benchmarking — it is a new device core, whatever the contract calls it. The mapping itself should be prespeciﬁed in the PCCP and justiﬁed in the impact assessment, exactly as current PCCPs trace each modiﬁcation class to its test methods; this is not a new discipline but the existing one, extended to the components GenAI systems are actually made of. Sponsors would retain the ability to rebut the presumption with evidence, but the default evidence obligation for each change class would be agreed before the change occurs rather than negotiated after.</w:t>
      </w:r>
    </w:p>
    <w:p>
      <w:r>
        <w:rPr>
          <w:color w:val="777777"/>
          <w:sz w:val="16"/>
        </w:rPr>
        <w:t xml:space="preserve">p036 · att1 p.5  </w:t>
      </w:r>
      <w:r>
        <w:t>Two conditions follow for the re-benchmarking baseline. First, the baseline must be stable and versioned — benchmark datasets, prompts, adjudication instructions, and any LLM adjudicator versions pinned and documented — because a comparison against a moving baseline measures the movement of the baseline as much as the device; this is the same measurement-instrument point we raise for supervisory agents under Question 20. Second, the baseline should be granular enough to support the mapping: element-level results, retained per subgroup where subgroups were assessed, so that a scoped re-benchmark of the aﬀected elements can be compared like-for-like. Adjacent-category practice already gestures in this direction — at least one recent authorization publishes its performance baseline, subgroup by subgroup, and designates it as the reference for all future evaluations under the plan, and subgroup analysis is increasingly required in modiﬁcation validation across the records we reviewed. Extending that practice from a single publication to a standing expectation would cost sponsors little and would make scoped re-benchmarking auditable.</w:t>
      </w:r>
    </w:p>
    <w:p>
      <w:r>
        <w:rPr>
          <w:color w:val="777777"/>
          <w:sz w:val="16"/>
        </w:rPr>
        <w:t xml:space="preserve">p037 · att1 p.5  </w:t>
      </w:r>
      <w:r>
        <w:t>Question 24 — Detecting and responding to third-party foundation model changes — “For devices built on third-party foundation models, changes to the underlying model may be initiated by the third-party model developer rather than the device manufacturer. How can a manufacturer detect, evaluate, and respond to such changes in a timely manner? What mechanisms—for example, contractual, technical, or through a PCCP—could provide reasonable assurance that third-party developer-initiated changes do not compromise the safety or eﬀectiveness of the device?”</w:t>
      </w:r>
    </w:p>
    <w:p>
      <w:r>
        <w:rPr>
          <w:color w:val="777777"/>
          <w:sz w:val="16"/>
        </w:rPr>
        <w:t xml:space="preserve">p038 · att1 p.5  </w:t>
      </w:r>
      <w:r>
        <w:t>We answer this question as engineers who build against third-party model platforms. The problem is real and it is not hypothetical: commercial foundation-model platforms update models, alter default behaviors, and deprecate versions on their own schedules, and some behavioral changes ship without any version-number change at all. A device sponsor who learns of such changes only from the platform’s notices does not control their device’s behavior; they are informed of it. We suggest CDRH evaluate sponsor plans against a layered set of mechanisms, in descending order of what each can guarantee:</w:t>
      </w:r>
    </w:p>
    <w:p>
      <w:r>
        <w:rPr>
          <w:color w:val="777777"/>
          <w:sz w:val="16"/>
        </w:rPr>
        <w:t xml:space="preserve">p039 · att1 p.6  </w:t>
      </w:r>
      <w:r>
        <w:t>1. Contractual notiﬁcation is necessary but insuﬀicient. Notiﬁcation obligations — advance notice of model updates, changelogs, deprecation windows — are the ﬂoor, and sponsors should be expected to have them. But a notice describes the platform’s intent, not the change’s eﬀect on a particular device function. Foundation-model updates are characterized by their vendors in aggregate terms, against the vendor’s own evaluations; none of that predicts whether a speciﬁc clinical prompt pipeline, on a speciﬁc input distribution, behaves diﬀerently. Notiﬁcation tells the sponsor to look. It does not tell them what they will ﬁnd, and it catches nothing the platform did not consider worth announcing.</w:t>
      </w:r>
    </w:p>
    <w:p>
      <w:r>
        <w:rPr>
          <w:color w:val="777777"/>
          <w:sz w:val="16"/>
        </w:rPr>
        <w:t xml:space="preserve">p040 · att1 p.6  </w:t>
      </w:r>
      <w:r>
        <w:t>2. Version pinning, where the platform allows it. Pinning the device to a speciﬁc model version converts an uncontrolled dependency into a controlled one and is the strongest single mitigation available. Its limits should be stated plainly: not all platforms oﬀer true pinning; a pinned version is still retired eventually, converting a silent risk into a scheduled forced migration; and pinning does not cover behavioral changes the platform makes beneath a stable version label — safety-layer adjustments, serving-infrastructure changes — which are not unheard of. Pinning narrows the exposure window; it does not close it.</w:t>
      </w:r>
    </w:p>
    <w:p>
      <w:r>
        <w:rPr>
          <w:color w:val="777777"/>
          <w:sz w:val="16"/>
        </w:rPr>
        <w:t xml:space="preserve">p041 · att1 p.6  </w:t>
      </w:r>
      <w:r>
        <w:t>3. Behavioral ﬁngerprinting via a ﬁxed canary set. Because notiﬁcation describes intent and pinning can be unavailable or imperfect, the sponsor needs a mechanism that detects the eﬀect of a model change directly. A ﬁxed, versioned set of probe inputs — selected to exercise the device’s clinically consequential behaviors and its known sensitivities — run against the production model on a deﬁned cadence, with outputs compared against a stored baseline, functions as a behavioral ﬁngerprint of the upstream dependency. A material divergence in canary outputs is evidence that the model underneath the device has changed, whether or not anyone announced it. The canary set should be prespeciﬁed, held ﬁxed between deliberate revisions, and versioned like any other test asset, and its cadence should be tightened around known risk windows such as announced platform updates and deprecation migrations. This is cheap insurance: it is the only mechanism on this list that detects a silent change before the device’s clinical outputs are the ﬁrst place the change shows up.</w:t>
      </w:r>
    </w:p>
    <w:p>
      <w:r>
        <w:rPr>
          <w:color w:val="777777"/>
          <w:sz w:val="16"/>
        </w:rPr>
        <w:t xml:space="preserve">p042 · att1 p.6  </w:t>
      </w:r>
      <w:r>
        <w:t>4. Continuous monitoring as the backstop. When notiﬁcation is not given, pinning is not honored or not available, and a change’s eﬀects are too subtle or too input-dependent for a canary set to catch, the postmarket monitoring program described in our answers to Questions 18 and 19 is what remains — degradation monitoring over the device’s actual outputs, with prespeciﬁed thresholds and a prespeciﬁed consequence pathway. An unexplained shift in monitored behavior, correlated in time across deployments, is the characteristic signature of an upstream model change, and a monitoring program designed with this failure mode in mind can attribute it quickly. This is one more reason monitoring must be continuous from ﬁrst deployment: the sponsor cannot schedule detection around events a third party does not disclose.</w:t>
      </w:r>
    </w:p>
    <w:p>
      <w:r>
        <w:rPr>
          <w:color w:val="777777"/>
          <w:sz w:val="16"/>
        </w:rPr>
        <w:t xml:space="preserve">p043 · att1 p.6  </w:t>
      </w:r>
      <w:r>
        <w:t>Finally, we suggest that a change detected by any of these mechanisms be treated identically to a sponsorinitiated modiﬁcation of the same scope under the PCCP frameworks discussed in Questions 22 and 23: an underlying model change carries the same evidence obligation whether the sponsor chose it or discovered it.</w:t>
      </w:r>
    </w:p>
    <w:p>
      <w:r>
        <w:rPr>
          <w:color w:val="777777"/>
          <w:sz w:val="16"/>
        </w:rPr>
        <w:t xml:space="preserve">p044 · att1 p.6  </w:t>
      </w:r>
      <w:r>
        <w:t>Conclusion — We thank CDRH for a discussion paper that engages seriously with the hardest operational problems GenAI- enabled devices pose, and for the opportunity to comment. Our positions reduce to two: ﬁrst, a premarket-topostmarket evidence shift is sound only when the monitoring program that underwrites it is continuous from ﬁrst deployment, prespeciﬁed in its analyses, thresholds, cadence, and consequences, and independently veriﬁable rather than dependent on sponsor attestation; second, machine-based supervisory agents are a necessary coverage layer for high-volume open-ended-output devices, but only if the supervisor is held to device-grade evidentiary discipline — characterized error rates, structural independence, tamper-evident records, and version control of the supervisor itself. The public record of authorized PCCPs — today, precedent from the adjacent, predominantly non-generative category — shows the component practices already emerging in isolation; the framework’s task is to make them the norm — for GenAI-enabled devices ﬁrst, and, as we urge in our introduction, for AI-enabled devices generally. We would welcome the opportunity to engage further with CDRH on the postmarket monitoring and third-party evaluation infrastructure this framework will require, and we are glad to share the underlying review of public authorization records referenced in this comment.</w:t>
      </w:r>
    </w:p>
    <w:p>
      <w:pPr>
        <w:pStyle w:val="Heading1"/>
        <w:pageBreakBefore/>
      </w:pPr>
      <w:r>
        <w:t>FDA-2026-N-7874-0091</w:t>
      </w:r>
    </w:p>
    <w:p>
      <w:r>
        <w:t>Comment from Yassen Eltayeb</w:t>
      </w:r>
    </w:p>
    <w:p>
      <w:r>
        <w:rPr>
          <w:color w:val="777777"/>
          <w:sz w:val="18"/>
        </w:rPr>
        <w:t>Private Industry - C0003 · received 2026-09-12 · attachments: attachment_1.pdf (8 pp)</w:t>
      </w:r>
    </w:p>
    <w:p>
      <w:r>
        <w:rPr>
          <w:color w:val="777777"/>
          <w:sz w:val="16"/>
        </w:rPr>
        <w:t xml:space="preserve">p001 · body  </w:t>
      </w:r>
      <w:r>
        <w:t>FDA's Question 10 asks what evidence should establish the construct validity of a benchmark used to gate device evaluation. This comment supplies an operational answer: a measurement-system qualification package, analogous to the performance specifications a clinical laboratory must establish under 42 CFR 493.1253(b)(2) before it may report a result.</w:t>
      </w:r>
    </w:p>
    <w:p>
      <w:r>
        <w:rPr>
          <w:color w:val="777777"/>
          <w:sz w:val="16"/>
        </w:rPr>
        <w:t xml:space="preserve">p002 · body  </w:t>
      </w:r>
      <w:r>
        <w:t>Where a device produces open-ended language, the evaluation instrument contains stochastic model output, human reference judgement, automated adjudication, a trajectory definition and scoring logic. Each contributes variability, and those sources need not be independent of one another. An acceptance criterion that decides whether performance has changed cannot be interpreted without knowing how much the evaluation process varies on its own, which bears directly on what a Predetermined Change Control Plan can authorise.</w:t>
      </w:r>
    </w:p>
    <w:p>
      <w:r>
        <w:rPr>
          <w:color w:val="777777"/>
          <w:sz w:val="16"/>
        </w:rPr>
        <w:t xml:space="preserve">p003 · body  </w:t>
      </w:r>
      <w:r>
        <w:t>Ten recommendations follow, including: six components of measurement-system qualification; a low-burden null comparison in which the unchanged configuration is repeatedly resampled against itself to build an empirical null distribution; treating the multi-turn observation window as a prespecified and validated parameter, with timeliness reported separately from later recovery; reporting under- and over-escalation as separate outcomes with separate denominators; scaling re-benchmarking to modification type against a published mapping, with an invariant critical-safety core and periodic postmarket assessment retained alongside it; and treating a change of automated adjudicator as an evaluation-system change requiring bridge testing before historical comparison.</w:t>
      </w:r>
    </w:p>
    <w:p>
      <w:r>
        <w:rPr>
          <w:color w:val="777777"/>
          <w:sz w:val="16"/>
        </w:rPr>
        <w:t xml:space="preserve">p004 · body  </w:t>
      </w:r>
      <w:r>
        <w:t>The commenter discloses a commercial interest and openly licenses the supporting artifacts. The comment seeks no determination about any particular product.</w:t>
      </w:r>
    </w:p>
    <w:p>
      <w:r>
        <w:rPr>
          <w:color w:val="777777"/>
          <w:sz w:val="16"/>
        </w:rPr>
        <w:t xml:space="preserve">p005 · att1 p.1  </w:t>
      </w:r>
      <w:r>
        <w:t>Measurement-System Qualification for Generative AI Medical- Device Benchmarks — Construct validity, multi-turn safety evaluation, and change-aware re-benchmarking</w:t>
      </w:r>
    </w:p>
    <w:p>
      <w:r>
        <w:rPr>
          <w:color w:val="777777"/>
          <w:sz w:val="16"/>
        </w:rPr>
        <w:t xml:space="preserve">p006 · att1 p.1  </w:t>
      </w:r>
      <w:r>
        <w:t>Comment to FDA Docket No. FDA-2026-N-7874, Considerations for the Regulation of Generative AI- Enabled Medical Devices: Discussion Paper and Request for Feedback</w:t>
      </w:r>
    </w:p>
    <w:p>
      <w:r>
        <w:rPr>
          <w:color w:val="777777"/>
          <w:sz w:val="16"/>
        </w:rPr>
        <w:t xml:space="preserve">p007 · att1 p.1  </w:t>
      </w:r>
      <w:r>
        <w:t>Submitted by: Yassen Eltayeb, in an individual capacity. Lead author, SAFE-CARE and SAFE-CARE Bench. Founder, Conefia LLC, Morrisville, North Carolina Date: September 2026 Responds to: Questions 5, 6, 9, 10, 11, 12, 13, 16, 19 and 22</w:t>
      </w:r>
    </w:p>
    <w:p>
      <w:r>
        <w:rPr>
          <w:color w:val="777777"/>
          <w:sz w:val="16"/>
        </w:rPr>
        <w:t xml:space="preserve">p008 · att1 p.1  </w:t>
      </w:r>
      <w:r>
        <w:t>Interest and standing — I build and evaluate clinician-governed, patient-facing conversational systems that run between clinical visits, inside protocols a clinician writes. I have a commercial interest in how such systems are evaluated and regulated, and I am stating that at the outset. This comment seeks no determination about the regulatory status of any particular product.</w:t>
      </w:r>
    </w:p>
    <w:p>
      <w:r>
        <w:rPr>
          <w:color w:val="777777"/>
          <w:sz w:val="16"/>
        </w:rPr>
        <w:t xml:space="preserve">p009 · att1 p.1  </w:t>
      </w:r>
      <w:r>
        <w:t>I am also the author of two openly licensed artifacts referenced below: SAFE-CARE, a framework for clinician-governed healthcare AI [4], and SAFE-CARE Bench, its companion evaluation instrument [5], together with an open-source SDK [6]. Configurations, adjudicator prompts, schemas and the SDK are Apache-2.0; documentation, methodology and scoring anchors are CC BY 4.0. Nothing in this comment requires anyone to use them.</w:t>
      </w:r>
    </w:p>
    <w:p>
      <w:r>
        <w:rPr>
          <w:color w:val="777777"/>
          <w:sz w:val="16"/>
        </w:rPr>
        <w:t xml:space="preserve">p010 · att1 p.1  </w:t>
      </w:r>
      <w:r>
        <w:t>This comment concerns one problem. In my own evaluation work I found that specifying what a benchmark should contain, and how it should be scored, did not by itself make the resulting numbers interpretable.</w:t>
      </w:r>
    </w:p>
    <w:p>
      <w:r>
        <w:rPr>
          <w:color w:val="777777"/>
          <w:sz w:val="16"/>
        </w:rPr>
        <w:t xml:space="preserve">p011 · att1 p.1  </w:t>
      </w:r>
      <w:r>
        <w:t>1. Question 10 names the problem. What it still needs is an evidence package</w:t>
      </w:r>
    </w:p>
    <w:p>
      <w:r>
        <w:rPr>
          <w:color w:val="777777"/>
          <w:sz w:val="16"/>
        </w:rPr>
        <w:t xml:space="preserve">p012 · att1 p.1  </w:t>
      </w:r>
      <w:r>
        <w:t>The discussion paper [1] specifies, carefully and well, what to measure. Across Safety, Clinical Proficiency, Generalizability and Agentic Capabilities, the ten elements are a sound content specification, and S.1 and S.2 name the failure modes that matter.</w:t>
      </w:r>
    </w:p>
    <w:p>
      <w:r>
        <w:rPr>
          <w:color w:val="777777"/>
          <w:sz w:val="16"/>
        </w:rPr>
        <w:t xml:space="preserve">p013 · att1 p.1  </w:t>
      </w:r>
      <w:r>
        <w:t>Question 10 then asks the harder question, which is what evidence should support the construct validity of a benchmark used to gate device evaluation. The paper is right to raise it, and right to raise it alongside its concerns about sponsor-developed benchmarks, independence, and optimisation to the test.</w:t>
      </w:r>
    </w:p>
    <w:p>
      <w:r>
        <w:rPr>
          <w:color w:val="777777"/>
          <w:sz w:val="16"/>
        </w:rPr>
        <w:t xml:space="preserve">p014 · att1 p.1  </w:t>
      </w:r>
      <w:r>
        <w:t>The evidence package that would answer it remains unspecified. Every one of the ten elements is scored by an instrument, and that instrument has parts: a scenario corpus, an observation window, a scoring rubric, and an adjudicator that is increasingly itself a language model. Where the device under test produces open-ended language, the instrument contains stochastic device output, human reference judgement, automated adjudication, a trajectory definition and scoring logic, each contributing variability of its own. Construct validity for an instrument built that way cannot be established by specifying its contents. It needs evidence about how the instrument behaves.</w:t>
      </w:r>
    </w:p>
    <w:p>
      <w:r>
        <w:rPr>
          <w:color w:val="777777"/>
          <w:sz w:val="16"/>
        </w:rPr>
        <w:t xml:space="preserve">p015 · att1 p.1  </w:t>
      </w:r>
      <w:r>
        <w:t>An analogous requirement already exists in regulated clinical laboratory testing. Before a laboratory may report a result from a test system it has modified or developed, it must establish performance specifications for accuracy, precision, analytical sensitivity, analytical specificity including interfering substances, and reportable range [3]. I use measurement-system qualification for the equivalent package here, and Section 3 sets out what I think it should contain.</w:t>
      </w:r>
    </w:p>
    <w:p>
      <w:r>
        <w:rPr>
          <w:color w:val="777777"/>
          <w:sz w:val="16"/>
        </w:rPr>
        <w:t xml:space="preserve">p016 · att1 p.1  </w:t>
      </w:r>
      <w:r>
        <w:t>I have run into this myself. In validating my own evaluation system I found that the scoring window, the reference labels and the implementation could each move the apparent result independently of the capability under test, which is why those three appear as qualification components in Section 3. Absent qualification evidence, a benchmark score is a reading from an instrument of uncharacterised precision, and the regulatory decisions built on it inherit that uncertainty. Every recommendation below follows from closing that gap.</w:t>
      </w:r>
    </w:p>
    <w:p>
      <w:r>
        <w:rPr>
          <w:color w:val="777777"/>
          <w:sz w:val="16"/>
        </w:rPr>
        <w:t xml:space="preserve">p017 · att1 p.2  </w:t>
      </w:r>
      <w:r>
        <w:t>2. Why the gap bites hardest on change control — The Agency’s final guidance on Predetermined Change Control Plans already requires a Modification Protocol whose performance evaluation component specifies study designs, metrics, statistical tests and acceptance criteria determined in advance, each scientifically and clinically justified [2]. My point is narrower than a gap in that requirement. It concerns what justification is available when the endpoint is open-ended generated language.</w:t>
      </w:r>
    </w:p>
    <w:p>
      <w:r>
        <w:rPr>
          <w:color w:val="777777"/>
          <w:sz w:val="16"/>
        </w:rPr>
        <w:t xml:space="preserve">p018 · att1 p.2  </w:t>
      </w:r>
      <w:r>
        <w:t>An acceptance criterion that decides whether performance has changed cannot be interpreted without knowing how much the evaluation process varies on its own.</w:t>
      </w:r>
    </w:p>
    <w:p>
      <w:r>
        <w:rPr>
          <w:color w:val="777777"/>
          <w:sz w:val="16"/>
        </w:rPr>
        <w:t xml:space="preserve">p019 · att1 p.2  </w:t>
      </w:r>
      <w:r>
        <w:t>For a device that outputs a prediction, this is unremarkable. For conventional quantitative endpoints, established statistical methods provide ways to characterise sampling uncertainty and carry it into the performance criterion. Where the device generates open-ended language, there may be no single held-out correct response, so performance frequently depends on a rubric applied by a human or automated adjudicator, and the variability then has at least three potential sources. The device varies between runs, the adjudicator varies, and the human reference standard that anchors either one varies too. They need not be independent of one another, which is itself a reason to characterise them rather than assume them away. I have not identified an established clinical- GenAI standard that requires these sources to be characterised together, and I would encourage the Agency to ask sponsors to report them.</w:t>
      </w:r>
    </w:p>
    <w:p>
      <w:r>
        <w:rPr>
          <w:color w:val="777777"/>
          <w:sz w:val="16"/>
        </w:rPr>
        <w:t xml:space="preserve">p020 · att1 p.2  </w:t>
      </w:r>
      <w:r>
        <w:t>That leaves a practical difficulty I would ask the Agency to consider directly:</w:t>
      </w:r>
    </w:p>
    <w:p>
      <w:r>
        <w:rPr>
          <w:color w:val="777777"/>
          <w:sz w:val="16"/>
        </w:rPr>
        <w:t xml:space="preserve">p021 · att1 p.2  </w:t>
      </w:r>
      <w:r>
        <w:t>For a GenAI endpoint that depends on stochastic generation, human judgement or model-based adjudication, an acceptance criterion is difficult to interpret unless the sponsor also characterises the repeatability and uncertainty of the evaluation process producing the metric. Without that characterisation, an observed difference near the threshold may reflect device change, evaluation variability, or both. Where the decision boundary is not calibrated against that variability, differences observed near it may be dominated by it. Set it conservatively high instead and few real modifications clear it, so the PCCP authorises little and most changes return to the Agency.</w:t>
      </w:r>
    </w:p>
    <w:p>
      <w:r>
        <w:rPr>
          <w:color w:val="777777"/>
          <w:sz w:val="16"/>
        </w:rPr>
        <w:t xml:space="preserve">p022 · att1 p.2  </w:t>
      </w:r>
      <w:r>
        <w:t>Both are foreseeable wherever evaluation variability goes uncharacterised. The first gives the appearance of change control without its substance. The second recreates much of the submission burden the PCCP mechanism exists to reduce.</w:t>
      </w:r>
    </w:p>
    <w:p>
      <w:r>
        <w:rPr>
          <w:color w:val="777777"/>
          <w:sz w:val="16"/>
        </w:rPr>
        <w:t xml:space="preserve">p023 · att1 p.2  </w:t>
      </w:r>
      <w:r>
        <w:t>3. Response to Question 10: what construct validity requires — “What evidence should support the construct validity of a benchmark used to gate device evaluation…?”</w:t>
      </w:r>
    </w:p>
    <w:p>
      <w:r>
        <w:rPr>
          <w:color w:val="777777"/>
          <w:sz w:val="16"/>
        </w:rPr>
        <w:t xml:space="preserve">p024 · att1 p.2  </w:t>
      </w:r>
      <w:r>
        <w:t>This is the central question in the paper. I would answer it by asking sponsors to qualify the measurement system, meaning that before anyone reads a device result, the sponsor has produced a defined set of evidence about the instrument that produced it. Six components, and none of them requires new science.</w:t>
      </w:r>
    </w:p>
    <w:p>
      <w:r>
        <w:rPr>
          <w:color w:val="777777"/>
          <w:sz w:val="16"/>
        </w:rPr>
        <w:t xml:space="preserve">p025 · att1 p.2  </w:t>
      </w:r>
      <w:r>
        <w:t>1. Validate the reference standard. Whoever establishes the benchmark’s correct answers must do so independently of the adjudicator that will later score against them, and how they did it belongs in the record. Unless the correct answer was fixed in advance and independently, a benchmark scored by an adjudicator measures agreement with that adjudicator rather than clinical correctness.</w:t>
      </w:r>
    </w:p>
    <w:p>
      <w:r>
        <w:rPr>
          <w:color w:val="777777"/>
          <w:sz w:val="16"/>
        </w:rPr>
        <w:t xml:space="preserve">p026 · att1 p.2  </w:t>
      </w:r>
      <w:r>
        <w:t>2. Validate the trajectory window. For multi-turn devices, the sponsor must show that the window over which behaviour is scored is wide enough to admit the behaviour being measured. See</w:t>
      </w:r>
    </w:p>
    <w:p>
      <w:r>
        <w:rPr>
          <w:color w:val="777777"/>
          <w:sz w:val="16"/>
        </w:rPr>
        <w:t xml:space="preserve">p027 · att1 p.3  </w:t>
      </w:r>
      <w:r>
        <w:t>Section 4.</w:t>
      </w:r>
    </w:p>
    <w:p>
      <w:r>
        <w:rPr>
          <w:color w:val="777777"/>
          <w:sz w:val="16"/>
        </w:rPr>
        <w:t xml:space="preserve">p028 · att1 p.3  </w:t>
      </w:r>
      <w:r>
        <w:t>3. Calibrate the adjudicator. Where an adjudicator is automated, measure and report how far it agrees with qualified human raters, dimension by dimension. An adjudicator may be reliable on citation grounding while performing poorly on clinical escalation, and a single aggregate figure conceals exactly that.</w:t>
      </w:r>
    </w:p>
    <w:p>
      <w:r>
        <w:rPr>
          <w:color w:val="777777"/>
          <w:sz w:val="16"/>
        </w:rPr>
        <w:t xml:space="preserve">p029 · att1 p.3  </w:t>
      </w:r>
      <w:r>
        <w:t>4. Verify what was actually run. Evidence that the configuration evaluated was the configuration specified. Declared settings and executed settings diverge more often than sponsors assume, sometimes in ways that leave no trace in the reported results.</w:t>
      </w:r>
    </w:p>
    <w:p>
      <w:r>
        <w:rPr>
          <w:color w:val="777777"/>
          <w:sz w:val="16"/>
        </w:rPr>
        <w:t xml:space="preserve">p030 · att1 p.3  </w:t>
      </w:r>
      <w:r>
        <w:t>5. Say in advance how disagreement is resolved. A rule for what happens when raters or adjudicators disagree, written down before anyone sees a result.</w:t>
      </w:r>
    </w:p>
    <w:p>
      <w:r>
        <w:rPr>
          <w:color w:val="777777"/>
          <w:sz w:val="16"/>
        </w:rPr>
        <w:t xml:space="preserve">p031 · att1 p.3  </w:t>
      </w:r>
      <w:r>
        <w:t>6. Record provenance and versions. The adjudicator’s identity and version, the corpus version, the prompt version and the configuration hash, all recorded alongside every score reported.</w:t>
      </w:r>
    </w:p>
    <w:p>
      <w:r>
        <w:rPr>
          <w:color w:val="777777"/>
          <w:sz w:val="16"/>
        </w:rPr>
        <w:t xml:space="preserve">p032 · att1 p.3  </w:t>
      </w:r>
      <w:r>
        <w:t>And one control that costs almost nothing, which I would urge the Agency to consider requiring.</w:t>
      </w:r>
    </w:p>
    <w:p>
      <w:r>
        <w:rPr>
          <w:color w:val="777777"/>
          <w:sz w:val="16"/>
        </w:rPr>
        <w:t xml:space="preserve">p033 · att1 p.3  </w:t>
      </w:r>
      <w:r>
        <w:t>Run the unmodified baseline against itself. Take the replicate runs of the unchanged configuration and repeatedly partition them at random into two groups, labelling each pair as two versions and analysing it with the same statistic the Modification Protocol would use. Because the configuration never changed, the spread of those statistics is an empirical null distribution for that comparison, covering run-to-run generation and adjudicator variability conditional on the fixed benchmark corpus and reference standard. It does not estimate uncertainty in the clinical reference standard, nor the uncertainty from having drawn a finite scenario set from the broader use distribution. Both are held fixed under the resampling and have to be characterised separately. A modification whose measured effect falls inside that null distribution should not be reported as evidence of improvement or degradation without additional support.</w:t>
      </w:r>
    </w:p>
    <w:p>
      <w:r>
        <w:rPr>
          <w:color w:val="777777"/>
          <w:sz w:val="16"/>
        </w:rPr>
        <w:t xml:space="preserve">p034 · att1 p.3  </w:t>
      </w:r>
      <w:r>
        <w:t>The check needs no additional corpus and no new science, only repeated runs of a configuration the sponsor has already built. That makes it one of the lower-burden ways to show that a release gate can separate a measured change from its own within-configuration variability, and it could be folded into qualification evidence without waiting on anything else.</w:t>
      </w:r>
    </w:p>
    <w:p>
      <w:r>
        <w:rPr>
          <w:color w:val="777777"/>
          <w:sz w:val="16"/>
        </w:rPr>
        <w:t xml:space="preserve">p035 · att1 p.3  </w:t>
      </w:r>
      <w:r>
        <w:t>On Question 9 and externally developed standards. The two-stage structure of benchmarking followed by clinical confirmation is, in my view, correct. What I would add to it is the qualification evidence above. SAFE-CARE Bench already implements parts of that evidence, including declared ground truth held independently of the adjudicator, a machine-readable scenario schema, scoring anchors, adjudicator prompts with strict output contracts, and an openly redistributable reference corpus carrying per-document provenance, rights basis and a checksummed manifest [5]. I offer it as a public, reproducible and openly available starting point. I make no claim that it is a finished standard.</w:t>
      </w:r>
    </w:p>
    <w:p>
      <w:r>
        <w:rPr>
          <w:color w:val="777777"/>
          <w:sz w:val="16"/>
        </w:rPr>
        <w:t xml:space="preserve">p036 · att1 p.3  </w:t>
      </w:r>
      <w:r>
        <w:t>4. Response to Question 5: the observation window is a measurement parameter, not an implementation detail</w:t>
      </w:r>
    </w:p>
    <w:p>
      <w:r>
        <w:rPr>
          <w:color w:val="777777"/>
          <w:sz w:val="16"/>
        </w:rPr>
        <w:t xml:space="preserve">p037 · att1 p.3  </w:t>
      </w:r>
      <w:r>
        <w:t>“…how should risk be assessed across realistic conversational trajectories?” — When a benchmark scores a multi-turn conversation, three different things get collapsed into one number, and they should be reported separately.</w:t>
      </w:r>
    </w:p>
    <w:p>
      <w:r>
        <w:rPr>
          <w:color w:val="777777"/>
          <w:sz w:val="16"/>
        </w:rPr>
        <w:t xml:space="preserve">p038 · att1 p.3  </w:t>
      </w:r>
      <w:r>
        <w:t>The required-action turn is a prespecified clinical reference for the scenario, namely the turn by which escalation is expected given what the patient has disclosed. It is fixed by the reference standard, which is why component 1 in Section 3 applies to it. The timeliness outcome is whether the device acted by that turn. The observation window is how far the evaluation keeps looking afterwards.</w:t>
      </w:r>
    </w:p>
    <w:p>
      <w:r>
        <w:rPr>
          <w:color w:val="777777"/>
          <w:sz w:val="16"/>
        </w:rPr>
        <w:t xml:space="preserve">p039 · att1 p.3  </w:t>
      </w:r>
      <w:r>
        <w:t>Collapsing them produces two distinct errors. Where the window ends at the required-action turn, a device that escalates one turn late and a device that never escalates at all score identically, and the evaluation cannot distinguish a delayed recovery from a complete miss. If the window is defined only by the final turn, the opposite happens. A device that escalated late scores identically to one that escalated on time, and timeliness disappears. In both cases a metric presented as multi-turn behaves as a single-turn metric, and the emergent behaviour the Agency is asking about is invisible by construction.</w:t>
      </w:r>
    </w:p>
    <w:p>
      <w:r>
        <w:rPr>
          <w:color w:val="777777"/>
          <w:sz w:val="16"/>
        </w:rPr>
        <w:t xml:space="preserve">p040 · att1 p.4  </w:t>
      </w:r>
      <w:r>
        <w:t>To be clear about the clinical point: a late escalation remains a failure of timely escalation, whatever happens afterwards. Recovery should be recorded, not credited as success.</w:t>
      </w:r>
    </w:p>
    <w:p>
      <w:r>
        <w:rPr>
          <w:color w:val="777777"/>
          <w:sz w:val="16"/>
        </w:rPr>
        <w:t xml:space="preserve">p041 · att1 p.4  </w:t>
      </w:r>
      <w:r>
        <w:t>I would therefore ask the Agency to treat the observation window as an element of the evaluation that is prespecified, justified against the clinical timing of the action, and validated as part of the qualification evidence in Section 3, and to ask that timeliness and subsequent recovery be reported as separate variables. A benchmark that cannot show its window admits the behaviour it claims to measure has not established construct validity, whatever numbers it reports.</w:t>
      </w:r>
    </w:p>
    <w:p>
      <w:r>
        <w:rPr>
          <w:color w:val="777777"/>
          <w:sz w:val="16"/>
        </w:rPr>
        <w:t xml:space="preserve">p042 · att1 p.4  </w:t>
      </w:r>
      <w:r>
        <w:t>The practical form is modest. Each scenario carries a declared required-action turn, the scoring window is defined relative to that turn, and both are reported. How much this choice moves multiturn results is being characterised empirically in the research programme described in Section 8, and those results will be published openly.</w:t>
      </w:r>
    </w:p>
    <w:p>
      <w:r>
        <w:rPr>
          <w:color w:val="777777"/>
          <w:sz w:val="16"/>
        </w:rPr>
        <w:t xml:space="preserve">p043 · att1 p.4  </w:t>
      </w:r>
      <w:r>
        <w:t>5. Response to Question 6: under- and over-escalation are not commensurable — “…given that they may not be commensurable and that acceptable trade-offs may vary by clinical context?”</w:t>
      </w:r>
    </w:p>
    <w:p>
      <w:r>
        <w:rPr>
          <w:color w:val="777777"/>
          <w:sz w:val="16"/>
        </w:rPr>
        <w:t xml:space="preserve">p044 · att1 p.4  </w:t>
      </w:r>
      <w:r>
        <w:t>The Agency’s instinct here is correct, and the design consequence runs further than it may first appear. Because the two errors are not commensurable, they should not share a denominator or a threshold, and they should never be reported only as a composite.</w:t>
      </w:r>
    </w:p>
    <w:p>
      <w:r>
        <w:rPr>
          <w:color w:val="777777"/>
          <w:sz w:val="16"/>
        </w:rPr>
        <w:t xml:space="preserve">p045 · att1 p.4  </w:t>
      </w:r>
      <w:r>
        <w:t>They differ in population, in consequence and in who absorbs the harm. Under-escalation is a missed emergency within the subset of cases where escalation was warranted. Over-escalation falls across the much larger subset where it was not, and it can drive unnecessary utilisation, alert fatigue and erosion of clinician trust. A single aggregate safety score can sit perfectly still while the behaviour underneath it moves substantially in both directions.</w:t>
      </w:r>
    </w:p>
    <w:p>
      <w:r>
        <w:rPr>
          <w:color w:val="777777"/>
          <w:sz w:val="16"/>
        </w:rPr>
        <w:t xml:space="preserve">p046 · att1 p.4  </w:t>
      </w:r>
      <w:r>
        <w:t>My recommendation is to report them as two prespecified outcomes with separate denominators. Missed escalations over cases where escalation was warranted, and unnecessary escalations over cases where it was not. That in turn requires a corpus containing a substantial proportion of cases where escalation is not warranted, declared as such in advance. Unless a corpus carries such cases, it cannot measure over-escalation at all, and a device that escalates everything scores well on it.</w:t>
      </w:r>
    </w:p>
    <w:p>
      <w:r>
        <w:rPr>
          <w:color w:val="777777"/>
          <w:sz w:val="16"/>
        </w:rPr>
        <w:t xml:space="preserve">p047 · att1 p.4  </w:t>
      </w:r>
      <w:r>
        <w:t>On the weighing the question asks about, my objection is to combining the two at the point of measurement, not to decision-analytic weighting as such. Where a composite is used for a particular clinical context, the underlying rates should remain separately reported and the weighting should be prospectively justified by clinical consequence rather than chosen after the results are seen. Acceptable trade-offs do vary by context, as the Agency notes, which is an argument for reporting the components and letting the context set the weights.</w:t>
      </w:r>
    </w:p>
    <w:p>
      <w:r>
        <w:rPr>
          <w:color w:val="777777"/>
          <w:sz w:val="16"/>
        </w:rPr>
        <w:t xml:space="preserve">p048 · att1 p.4  </w:t>
      </w:r>
      <w:r>
        <w:t>6. Response to Question 22: scale re-benchmarking to change type, with an invariant safety core</w:t>
      </w:r>
    </w:p>
    <w:p>
      <w:r>
        <w:rPr>
          <w:color w:val="777777"/>
          <w:sz w:val="16"/>
        </w:rPr>
        <w:t xml:space="preserve">p049 · att1 p.4  </w:t>
      </w:r>
      <w:r>
        <w:t>“How might the extent of re-benchmarking or other evidence be scaled to the nature and expected impact of a given modification?”</w:t>
      </w:r>
    </w:p>
    <w:p>
      <w:r>
        <w:rPr>
          <w:color w:val="777777"/>
          <w:sz w:val="16"/>
        </w:rPr>
        <w:t xml:space="preserve">p050 · att1 p.4  </w:t>
      </w:r>
      <w:r>
        <w:t>Because this one is answerable today, it is also what keeps the qualification evidence in Section 3 affordable.</w:t>
      </w:r>
    </w:p>
    <w:p>
      <w:r>
        <w:rPr>
          <w:color w:val="777777"/>
          <w:sz w:val="16"/>
        </w:rPr>
        <w:t xml:space="preserve">p051 · att1 p.4  </w:t>
      </w:r>
      <w:r>
        <w:t>Modifications to a generative system fall into distinct categories. In practice a sponsor makes at least seven recognisably different changes, and each carries a different plausible blast radius.</w:t>
      </w:r>
    </w:p>
    <w:p>
      <w:r>
        <w:rPr>
          <w:color w:val="777777"/>
          <w:sz w:val="16"/>
        </w:rPr>
        <w:t xml:space="preserve">p052 · att1 p.5  </w:t>
      </w:r>
      <w:r>
        <w:t>Modification Competencies plausibly affected — Model version or snapshot All competency suites. Presumptively broad rebenchmarking, unless a documented impact analysis supports a narrower scope</w:t>
      </w:r>
    </w:p>
    <w:p>
      <w:r>
        <w:rPr>
          <w:color w:val="777777"/>
          <w:sz w:val="16"/>
        </w:rPr>
        <w:t xml:space="preserve">p053 · att1 p.5  </w:t>
      </w:r>
      <w:r>
        <w:t>System prompt or instruction text Safety behaviour, scope adherence, communication quality — Retrieval corpus or grounding sources Clinical knowledge, citation grounding, factual accuracy</w:t>
      </w:r>
    </w:p>
    <w:p>
      <w:r>
        <w:rPr>
          <w:color w:val="777777"/>
          <w:sz w:val="16"/>
        </w:rPr>
        <w:t xml:space="preserve">p054 · att1 p.5  </w:t>
      </w:r>
      <w:r>
        <w:t>Guardrail or filter rules Escalation and refusal behaviour, in both directions — Session or cross-session memory Personalisation, consistency, stale-context handling</w:t>
      </w:r>
    </w:p>
    <w:p>
      <w:r>
        <w:rPr>
          <w:color w:val="777777"/>
          <w:sz w:val="16"/>
        </w:rPr>
        <w:t xml:space="preserve">p055 · att1 p.5  </w:t>
      </w:r>
      <w:r>
        <w:t>Tool definitions or permissions Agentic action, confirmation, rollback, auditability — Orchestration or routing logic Escalation timing, hand-off, trajectory behaviour</w:t>
      </w:r>
    </w:p>
    <w:p>
      <w:r>
        <w:rPr>
          <w:color w:val="777777"/>
          <w:sz w:val="16"/>
        </w:rPr>
        <w:t xml:space="preserve">p056 · att1 p.5  </w:t>
      </w:r>
      <w:r>
        <w:t>Once change type is mapped to affected competency suites, a sponsor has to justify partial rebenchmarking on a stated rationale, and the Agency has something it can actually assess. The mapping is what makes a least-burdensome approach auditable.</w:t>
      </w:r>
    </w:p>
    <w:p>
      <w:r>
        <w:rPr>
          <w:color w:val="777777"/>
          <w:sz w:val="16"/>
        </w:rPr>
        <w:t xml:space="preserve">p057 · att1 p.5  </w:t>
      </w:r>
      <w:r>
        <w:t>With one exception, which I would recommend holding invariant. A fixed critical-safety regression core, covering the safety-critical recognition and escalation cases together with the scope-adherence and adversarial cases, should be re-run unchanged on every modification reasonably capable of altering generated output, safety controls, routing, context handling or downstream actions, with results reported against the original baseline. That suite is the smallest, its failure matters most, and holding it fixed is what keeps the baseline comparison in Section VI meaningful over time.</w:t>
      </w:r>
    </w:p>
    <w:p>
      <w:r>
        <w:rPr>
          <w:color w:val="777777"/>
          <w:sz w:val="16"/>
        </w:rPr>
        <w:t xml:space="preserve">p058 · att1 p.5  </w:t>
      </w:r>
      <w:r>
        <w:t>On Question 19, this also supplies part of the triggering logic the Agency asks for. The trigger is a change of a declared type, and the mapping sets the scope. For known modifications, changetriggered re-benchmarking should complement periodic postmarket assessment rather than replace it. Event-based triggers are better aligned to intentional modifications; periodic assessment remains necessary for what a sponsor did not do, including drift in a third-party foundation model or retrieval source, dependency and infrastructure changes, and shifts in the use environment or input distribution that arrive without any declared device modification.</w:t>
      </w:r>
    </w:p>
    <w:p>
      <w:r>
        <w:rPr>
          <w:color w:val="777777"/>
          <w:sz w:val="16"/>
        </w:rPr>
        <w:t xml:space="preserve">p059 · att1 p.5  </w:t>
      </w:r>
      <w:r>
        <w:t>One addition applying to both questions. If the premarket assessment is to serve as a baseline for later comparison, then the adjudicator belongs in that baseline record, pinned, versioned and reported. An adjudicator that is itself a language model is a versioned artifact, and it changes. A sponsor re-benchmarking in eighteen months against a baseline scored by a superseded adjudicator has measured the difference between two scorers as much as the difference between two device versions, and nothing in the current framing obliges them to separate the two. A change to an automated adjudicator should be treated as a change to the evaluation system, requiring bridge testing or recalibration before scores it produces are compared against the historical baseline. The change sits in the evaluation apparatus, and I would ask the Agency to keep it there.</w:t>
      </w:r>
    </w:p>
    <w:p>
      <w:r>
        <w:rPr>
          <w:color w:val="777777"/>
          <w:sz w:val="16"/>
        </w:rPr>
        <w:t xml:space="preserve">p060 · att1 p.5  </w:t>
      </w:r>
      <w:r>
        <w:t>7. Responses to Questions 11, 12, 13 and 16 — On selecting a confirmation approach (Question 11). The two-axis framing in Section IV, weighing clinical significance of the output against degree of autonomy, is a reasonable basis for choosing among approaches of increasing rigour, and I would not add a third axis to it.</w:t>
      </w:r>
    </w:p>
    <w:p>
      <w:r>
        <w:rPr>
          <w:color w:val="777777"/>
          <w:sz w:val="16"/>
        </w:rPr>
        <w:t xml:space="preserve">p061 · att1 p.5  </w:t>
      </w:r>
      <w:r>
        <w:t>I would add a dependency. How far benchmarking can substitute for prospective clinical study depends on how well the benchmark itself has been qualified. When a sponsor proposes a lighter confirmation approach on the strength of strong benchmark performance, they are making a claim about the benchmark as much as about the device, and the evidence in Section 3 is what should be required to support it. Without that, a lighter approach rests on an instrument of unknown precision, and the risk proportionality the Agency is aiming at cannot be assessed.</w:t>
      </w:r>
    </w:p>
    <w:p>
      <w:r>
        <w:rPr>
          <w:color w:val="777777"/>
          <w:sz w:val="16"/>
        </w:rPr>
        <w:t xml:space="preserve">p062 · att1 p.6  </w:t>
      </w:r>
      <w:r>
        <w:t>The corollary favours sponsors. Where a benchmark is well qualified, it should be permitted to carry more weight, which puts the incentive on investing in qualification.</w:t>
      </w:r>
    </w:p>
    <w:p>
      <w:r>
        <w:rPr>
          <w:color w:val="777777"/>
          <w:sz w:val="16"/>
        </w:rPr>
        <w:t xml:space="preserve">p063 · att1 p.6  </w:t>
      </w:r>
      <w:r>
        <w:t>On synthetic inputs (Questions 12 and 13). While synthetic conversations cannot stand in for real use, they are well suited to controlled stress testing of rare, adversarial and safety-critical situations, and to ablation experiments where one factor varies while everything else is held constant. For genuine emergencies, prompt injections and boundary-violation attempts, they may be one of the few practical ways to obtain adequate numbers.</w:t>
      </w:r>
    </w:p>
    <w:p>
      <w:r>
        <w:rPr>
          <w:color w:val="777777"/>
          <w:sz w:val="16"/>
        </w:rPr>
        <w:t xml:space="preserve">p064 · att1 p.6  </w:t>
      </w:r>
      <w:r>
        <w:t>What they cannot establish is representativeness. When a clinician validates a synthetic case, they confirm that the case is clinically coherent and that its declared label is correct. That says nothing about whether the distribution of such cases resembles the distribution the device will meet in use. These are different claims, and they are frequently conflated.</w:t>
      </w:r>
    </w:p>
    <w:p>
      <w:r>
        <w:rPr>
          <w:color w:val="777777"/>
          <w:sz w:val="16"/>
        </w:rPr>
        <w:t xml:space="preserve">p065 · att1 p.6  </w:t>
      </w:r>
      <w:r>
        <w:t>Question 12 asks under what conditions, if any, the two bodies of evidence may be combined. My answer is that they should not be naively pooled, and that any combination should carry conditions: a common estimand, an explicit account of how the two distributions differ, prospectively specified weighting, and a sensitivity analysis showing that the conclusion is not driven by the synthetic component. Absent those, the two should be reported separately. Benchmark performance characterises behaviour under controlled conditions, while clinical confirmation supplies evidence closer to the intended-use context, and a naive average describes neither.</w:t>
      </w:r>
    </w:p>
    <w:p>
      <w:r>
        <w:rPr>
          <w:color w:val="777777"/>
          <w:sz w:val="16"/>
        </w:rPr>
        <w:t xml:space="preserve">p066 · att1 p.6  </w:t>
      </w:r>
      <w:r>
        <w:t>Question 13 raises a sharper concern, that synthetic data generated by models of the same class as the device will reproduce the very gaps the evaluation should detect. The safeguard that matters most there is that the reference standard must be established or independently verified separately from the model that generates the cases. A model may propose a case; it may not certify its own label. Adversarial cases in particular should be built against a declared taxonomy of failure modes, because a model’s own notion of a hard case is drawn from the same distribution as its blind spots.</w:t>
      </w:r>
    </w:p>
    <w:p>
      <w:r>
        <w:rPr>
          <w:color w:val="777777"/>
          <w:sz w:val="16"/>
        </w:rPr>
        <w:t xml:space="preserve">p067 · att1 p.6  </w:t>
      </w:r>
      <w:r>
        <w:t>On independent third parties (Question 16). A hybrid would serve better than a certification regime. Methods, corpora and scoring rubrics should be open, and sponsor testing should be reproducible from published materials, because reproducibility is a cheaper and more robust guarantee than attestation. Independent involvement should then concentrate where it is irreplaceable: clinical adjudication of the reference standard, and, for the most consequential gates, sequestered safety-critical case sets held by a third party, so that optimisation to the test is structurally prevented.</w:t>
      </w:r>
    </w:p>
    <w:p>
      <w:r>
        <w:rPr>
          <w:color w:val="777777"/>
          <w:sz w:val="16"/>
        </w:rPr>
        <w:t xml:space="preserve">p068 · att1 p.6  </w:t>
      </w:r>
      <w:r>
        <w:t>The safeguard the Agency asks about is, I think, primarily structural. Where a small number of accredited bodies must be paid to certify each release, cost, concentration and time to market all rise, a concern the Agency raises itself. Independence should therefore be targeted at the functions where it adds assurance that nothing else provides. An approach built on open methods, published qualification evidence and targeted independent adjudication gets most of the assurance without creating that dependency.</w:t>
      </w:r>
    </w:p>
    <w:p>
      <w:r>
        <w:rPr>
          <w:color w:val="777777"/>
          <w:sz w:val="16"/>
        </w:rPr>
        <w:t xml:space="preserve">p069 · att1 p.6  </w:t>
      </w:r>
      <w:r>
        <w:t>8. What I am offering, and what I am not claiming — What I am not claiming. I have not empirically evaluated an agentic configuration, and nothing here should be read as evidence about acceptance criteria for agentic systems. The recommendations above concern the qualification of evaluation instruments, and that is the whole of what I am asking the Agency to consider.</w:t>
      </w:r>
    </w:p>
    <w:p>
      <w:r>
        <w:rPr>
          <w:color w:val="777777"/>
          <w:sz w:val="16"/>
        </w:rPr>
        <w:t xml:space="preserve">p070 · att1 p.6  </w:t>
      </w:r>
      <w:r>
        <w:t>What is offered. The scenario schema with declared ground truth, the adjudication protocol, the scoring anchors and the openly redistributable reference corpus are already public under permissive licences [5, 6], and the Agency or any sponsor may use, modify or discard them without permission or cost.</w:t>
      </w:r>
    </w:p>
    <w:p>
      <w:r>
        <w:rPr>
          <w:color w:val="777777"/>
          <w:sz w:val="16"/>
        </w:rPr>
        <w:t xml:space="preserve">p071 · att1 p.7  </w:t>
      </w:r>
      <w:r>
        <w:t>What I will produce. I am leading a research collaboration involving informaticians, nurse informaticists and physicians who work across several institutions, on precisely the question in Section 2: what a release check for clinical AI that generates language must contain, and what its measurement variability actually is. The programme characterises the components named there, includes a clinician rating study, to be conducted only after an independent ethics determination, and reports minimum detectable effect as a function of the number of repeated evaluation runs rather than as a single figure. Institutional affiliations of research collaborators are descriptive only and do not imply institutional endorsement of this comment.</w:t>
      </w:r>
    </w:p>
    <w:p>
      <w:r>
        <w:rPr>
          <w:color w:val="777777"/>
          <w:sz w:val="16"/>
        </w:rPr>
        <w:t xml:space="preserve">p072 · att1 p.7  </w:t>
      </w:r>
      <w:r>
        <w:t>That curve is the practically useful object, because the number of repeated runs is itself a design parameter of a Modification Protocol, and there is limited clinical-GenAI-specific evidence to guide that choice today. A sponsor should be able to read off how many repeats are needed to detect a given degradation in safety performance, and a reviewer should be able to read off what a submitted evaluation was capable of detecting.</w:t>
      </w:r>
    </w:p>
    <w:p>
      <w:r>
        <w:rPr>
          <w:color w:val="777777"/>
          <w:sz w:val="16"/>
        </w:rPr>
        <w:t xml:space="preserve">p073 · att1 p.7  </w:t>
      </w:r>
      <w:r>
        <w:t>I intend to publish the instrument qualification protocol described in Section 3 as a standalone open document, together with the underlying materials, and I would welcome the chance to provide it, or any part of it, to the Agency in whatever form is useful. I am glad to answer questions from staff.</w:t>
      </w:r>
    </w:p>
    <w:p>
      <w:r>
        <w:rPr>
          <w:color w:val="777777"/>
          <w:sz w:val="16"/>
        </w:rPr>
        <w:t xml:space="preserve">p074 · att1 p.7  </w:t>
      </w:r>
      <w:r>
        <w:t>Summary of recommendations — 1. Require measurement-system qualification evidence for any benchmark used to gate device evaluation, as the construct validity Question 10 asks about. Six components, set out in Section 3.</w:t>
      </w:r>
    </w:p>
    <w:p>
      <w:r>
        <w:rPr>
          <w:color w:val="777777"/>
          <w:sz w:val="16"/>
        </w:rPr>
        <w:t xml:space="preserve">p075 · att1 p.7  </w:t>
      </w:r>
      <w:r>
        <w:t>2. Consider requiring a null comparison, the unchanged configuration repeatedly resampled against itself, as minimum evidence that a release evaluation can distinguish real change from its own variability.</w:t>
      </w:r>
    </w:p>
    <w:p>
      <w:r>
        <w:rPr>
          <w:color w:val="777777"/>
          <w:sz w:val="16"/>
        </w:rPr>
        <w:t xml:space="preserve">p076 · att1 p.7  </w:t>
      </w:r>
      <w:r>
        <w:t>3. Treat the observation window in multi-turn evaluation as a prespecified, justified and validated parameter, not an implementation choice, and report timeliness separately from later recovery.</w:t>
      </w:r>
    </w:p>
    <w:p>
      <w:r>
        <w:rPr>
          <w:color w:val="777777"/>
          <w:sz w:val="16"/>
        </w:rPr>
        <w:t xml:space="preserve">p077 · att1 p.7  </w:t>
      </w:r>
      <w:r>
        <w:t>4. Require under- and over-escalation to be reported as separate prespecified outcomes with separate denominators, and require corpora to contain declared non-escalation cases.</w:t>
      </w:r>
    </w:p>
    <w:p>
      <w:r>
        <w:rPr>
          <w:color w:val="777777"/>
          <w:sz w:val="16"/>
        </w:rPr>
        <w:t xml:space="preserve">p078 · att1 p.7  </w:t>
      </w:r>
      <w:r>
        <w:t>5. Scale re-benchmarking to modification type, against a published mapping, with an invariant critical-safety regression core re-run on every change capable of altering generated output or safety behaviour, and keep periodic postmarket assessment alongside change-triggered rebenchmarking to catch drift no sponsor declared.</w:t>
      </w:r>
    </w:p>
    <w:p>
      <w:r>
        <w:rPr>
          <w:color w:val="777777"/>
          <w:sz w:val="16"/>
        </w:rPr>
        <w:t xml:space="preserve">p079 · att1 p.7  </w:t>
      </w:r>
      <w:r>
        <w:t>6. Treat the adjudicator as a versioned part of the evaluation record, and a change of adjudicator as an evaluation-system change requiring bridge testing before historical comparison.</w:t>
      </w:r>
    </w:p>
    <w:p>
      <w:r>
        <w:rPr>
          <w:color w:val="777777"/>
          <w:sz w:val="16"/>
        </w:rPr>
        <w:t xml:space="preserve">p080 · att1 p.7  </w:t>
      </w:r>
      <w:r>
        <w:t>7. Do not pool benchmarking and clinical confirmation evidence into a single performance estimate unless the conditions in Section 7 are met.</w:t>
      </w:r>
    </w:p>
    <w:p>
      <w:r>
        <w:rPr>
          <w:color w:val="777777"/>
          <w:sz w:val="16"/>
        </w:rPr>
        <w:t xml:space="preserve">p081 · att1 p.7  </w:t>
      </w:r>
      <w:r>
        <w:t>8. Require that synthetic case labels be established or independently verified apart from the generating model.</w:t>
      </w:r>
    </w:p>
    <w:p>
      <w:r>
        <w:rPr>
          <w:color w:val="777777"/>
          <w:sz w:val="16"/>
        </w:rPr>
        <w:t xml:space="preserve">p082 · att1 p.7  </w:t>
      </w:r>
      <w:r>
        <w:t>9. Prefer open methods and reproducible testing with targeted independent adjudication over a certification regime.</w:t>
      </w:r>
    </w:p>
    <w:p>
      <w:r>
        <w:rPr>
          <w:color w:val="777777"/>
          <w:sz w:val="16"/>
        </w:rPr>
        <w:t xml:space="preserve">p083 · att1 p.7  </w:t>
      </w:r>
      <w:r>
        <w:t>10. Require an acceptance criterion to be accompanied by a characterisation of the evaluation variability against which it is read, and treat one reported without it as difficult to interpret.</w:t>
      </w:r>
    </w:p>
    <w:p>
      <w:r>
        <w:rPr>
          <w:color w:val="777777"/>
          <w:sz w:val="16"/>
        </w:rPr>
        <w:t xml:space="preserve">p084 · att1 p.7  </w:t>
      </w:r>
      <w:r>
        <w:t>References — 1. Food and Drug Administration. Considerations for the Regulation of Generative AI-Enabled Medical Devices: Discussion Paper and Request for Feedback. Docket FDA-2026-N-7874. Questions referenced by number throughout.</w:t>
      </w:r>
    </w:p>
    <w:p>
      <w:r>
        <w:rPr>
          <w:color w:val="777777"/>
          <w:sz w:val="16"/>
        </w:rPr>
        <w:t xml:space="preserve">p085 · att1 p.8  </w:t>
      </w:r>
      <w:r>
        <w:t>2. Food and Drug Administration. Marketing Submission Recommendations for a Predetermined Change Control Plan for Artificial Intelligence-Enabled Device Software Functions. Final guidance, August 2025. CDRH, CBER, CDER and Office of Combination Products.</w:t>
      </w:r>
    </w:p>
    <w:p>
      <w:r>
        <w:rPr>
          <w:color w:val="777777"/>
          <w:sz w:val="16"/>
        </w:rPr>
        <w:t xml:space="preserve">p086 · att1 p.8  </w:t>
      </w:r>
      <w:r>
        <w:t>3. 42 CFR 493.1253(b)(2). Standard: Establishment and verification of performance specifications.</w:t>
      </w:r>
    </w:p>
    <w:p>
      <w:r>
        <w:rPr>
          <w:color w:val="777777"/>
          <w:sz w:val="16"/>
        </w:rPr>
        <w:t xml:space="preserve">p087 · att1 p.8  </w:t>
      </w:r>
      <w:r>
        <w:t>4. Eltayeb Y. SAFE-CARE: A Framework for Designing and Evaluating Safe Healthcare AI Agents. v1.2.0. Conefia LLC; 2026. Archived at doi.org/10.5281/zenodo.21330841</w:t>
      </w:r>
    </w:p>
    <w:p>
      <w:r>
        <w:rPr>
          <w:color w:val="777777"/>
          <w:sz w:val="16"/>
        </w:rPr>
        <w:t xml:space="preserve">p088 · att1 p.8  </w:t>
      </w:r>
      <w:r>
        <w:t>5. Eltayeb Y, Hafez M. SAFE-CARE Bench: A Benchmark Specification and Evaluation Protocol for Safety, Guardrails, and User Experience in Multi-Turn Healthcare AI Agent Conversations. v0.1.1. Zenodo; 2026. doi.org/10.5281/zenodo.21444597</w:t>
      </w:r>
    </w:p>
    <w:p>
      <w:r>
        <w:rPr>
          <w:color w:val="777777"/>
          <w:sz w:val="16"/>
        </w:rPr>
        <w:t xml:space="preserve">p089 · att1 p.8  </w:t>
      </w:r>
      <w:r>
        <w:t>6. SAFE-CARE SDK. A provider-agnostic client for running SAFE-CARE evaluations and wiring escalation guardrails. github.com/Conefia/SAFE-CARE-SDK. Apache-2.0.</w:t>
      </w:r>
    </w:p>
    <w:p>
      <w:r>
        <w:rPr>
          <w:color w:val="777777"/>
          <w:sz w:val="16"/>
        </w:rPr>
        <w:t xml:space="preserve">p090 · att1 p.8  </w:t>
      </w:r>
      <w:r>
        <w:t>Respectfully submitted,</w:t>
      </w:r>
    </w:p>
    <w:p>
      <w:r>
        <w:rPr>
          <w:color w:val="777777"/>
          <w:sz w:val="16"/>
        </w:rPr>
        <w:t xml:space="preserve">p091 · att1 p.8  </w:t>
      </w:r>
      <w:r>
        <w:t>Yassen Eltayeb Lead author, SAFE-CARE and SAFE-CARE Bench Founder, Conefia LLC Morrisville, North Carolina yassen.eltayeb@conefia.com</w:t>
      </w:r>
    </w:p>
    <w:p>
      <w:pPr>
        <w:pStyle w:val="Heading1"/>
        <w:pageBreakBefore/>
      </w:pPr>
      <w:r>
        <w:t>FDA-2026-N-7874-0092</w:t>
      </w:r>
    </w:p>
    <w:p>
      <w:r>
        <w:t>Comment from Xiangyu Guo</w:t>
      </w:r>
    </w:p>
    <w:p>
      <w:r>
        <w:rPr>
          <w:color w:val="777777"/>
          <w:sz w:val="18"/>
        </w:rPr>
        <w:t>Individual Consumer · received 2026-09-13 · attachments: attachment_1.pdf (18 pp)</w:t>
      </w:r>
    </w:p>
    <w:p>
      <w:r>
        <w:rPr>
          <w:color w:val="777777"/>
          <w:sz w:val="16"/>
        </w:rPr>
        <w:t xml:space="preserve">p001 · body  </w:t>
      </w:r>
      <w:r>
        <w:t>To the FDA Center for Devices and Radiological Health: I am submitting comments on Considerations for the Regulation of Generative AI-Enabled Medical Devices. My comments focus primarily on Questions 19, 21, 22, and 26 concerning clinician review, postmarket monitoring, reassessment after modification, and agentic AI systems.</w:t>
      </w:r>
    </w:p>
    <w:p>
      <w:r>
        <w:rPr>
          <w:color w:val="777777"/>
          <w:sz w:val="16"/>
        </w:rPr>
        <w:t xml:space="preserve">p002 · body  </w:t>
      </w:r>
      <w:r>
        <w:t>I am an independent researcher working on responsibility architecture for AI-native professional systems. My attached paper develops the Expert Oversight Network (EON), a framework for making professional human judgment a traceable and risk-calibrated part of AI deployment.</w:t>
      </w:r>
    </w:p>
    <w:p>
      <w:r>
        <w:rPr>
          <w:color w:val="777777"/>
          <w:sz w:val="16"/>
        </w:rPr>
        <w:t xml:space="preserve">p003 · body  </w:t>
      </w:r>
      <w:r>
        <w:t>1. Clinician review should combine random sampling with risk-based escalation.</w:t>
      </w:r>
    </w:p>
    <w:p>
      <w:r>
        <w:rPr>
          <w:color w:val="777777"/>
          <w:sz w:val="16"/>
        </w:rPr>
        <w:t xml:space="preserve">p004 · body  </w:t>
      </w:r>
      <w:r>
        <w:t>Periodic clinician review is a strong postmarket monitoring mechanism, but a single fixed sampling rate will not adequately reflect clinical risk.</w:t>
      </w:r>
    </w:p>
    <w:p>
      <w:r>
        <w:rPr>
          <w:color w:val="777777"/>
          <w:sz w:val="16"/>
        </w:rPr>
        <w:t xml:space="preserve">p005 · body  </w:t>
      </w:r>
      <w:r>
        <w:t>Random sampling can establish baseline error rates and reveal unexpected failure patterns. Risk-weighted review should increase oversight when outputs become patient-specific, highly actionable, uncertain, contraindication-sensitive, or capable of materially influencing treatment or triage.</w:t>
      </w:r>
    </w:p>
    <w:p>
      <w:r>
        <w:rPr>
          <w:color w:val="777777"/>
          <w:sz w:val="16"/>
        </w:rPr>
        <w:t xml:space="preserve">p006 · body  </w:t>
      </w:r>
      <w:r>
        <w:t>High-risk outputs may require pre-delivery review. Outputs that directly authorize or materially condition consequential clinical action should require explicit human sign-off.</w:t>
      </w:r>
    </w:p>
    <w:p>
      <w:r>
        <w:rPr>
          <w:color w:val="777777"/>
          <w:sz w:val="16"/>
        </w:rPr>
        <w:t xml:space="preserve">p007 · body  </w:t>
      </w:r>
      <w:r>
        <w:t>Review status should also remain visible and machine-readable, for example: unreviewed, sampled, reviewed-confirmed, reviewed-corrected, conflict-open, escalated, or signed off.</w:t>
      </w:r>
    </w:p>
    <w:p>
      <w:r>
        <w:rPr>
          <w:color w:val="777777"/>
          <w:sz w:val="16"/>
        </w:rPr>
        <w:t xml:space="preserve">p008 · body  </w:t>
      </w:r>
      <w:r>
        <w:t>2. External clinician participation should strengthen monitoring without diffusing manufacturer responsibility.</w:t>
      </w:r>
    </w:p>
    <w:p>
      <w:r>
        <w:rPr>
          <w:color w:val="777777"/>
          <w:sz w:val="16"/>
        </w:rPr>
        <w:t xml:space="preserve">p009 · body  </w:t>
      </w:r>
      <w:r>
        <w:t>Clinicians, healthcare institutions, professional societies, and independent reviewers can provide valuable postmarket verification if responsibility remains tied to actual control.</w:t>
      </w:r>
    </w:p>
    <w:p>
      <w:r>
        <w:rPr>
          <w:color w:val="777777"/>
          <w:sz w:val="16"/>
        </w:rPr>
        <w:t xml:space="preserve">p010 · body  </w:t>
      </w:r>
      <w:r>
        <w:t>The manufacturer should remain responsible for device architecture, risk-routing logic, review-state labeling, reviewer credential controls, change management, and audit infrastructure.</w:t>
      </w:r>
    </w:p>
    <w:p>
      <w:r>
        <w:rPr>
          <w:color w:val="777777"/>
          <w:sz w:val="16"/>
        </w:rPr>
        <w:t xml:space="preserve">p011 · body  </w:t>
      </w:r>
      <w:r>
        <w:t>The deployer should remain responsible for the selected clinical use, local workflow integration, configured thresholds, and decisions to bypass required review gates.</w:t>
      </w:r>
    </w:p>
    <w:p>
      <w:r>
        <w:rPr>
          <w:color w:val="777777"/>
          <w:sz w:val="16"/>
        </w:rPr>
        <w:t xml:space="preserve">p012 · body  </w:t>
      </w:r>
      <w:r>
        <w:t>A clinician reviewer should be responsible only for the defined scope actually reviewed or signed off.</w:t>
      </w:r>
    </w:p>
    <w:p>
      <w:r>
        <w:rPr>
          <w:color w:val="777777"/>
          <w:sz w:val="16"/>
        </w:rPr>
        <w:t xml:space="preserve">p013 · body  </w:t>
      </w:r>
      <w:r>
        <w:t>This structure allows distributed professional review while preserving a clear responsibility anchor.</w:t>
      </w:r>
    </w:p>
    <w:p>
      <w:r>
        <w:rPr>
          <w:color w:val="777777"/>
          <w:sz w:val="16"/>
        </w:rPr>
        <w:t xml:space="preserve">p014 · body  </w:t>
      </w:r>
      <w:r>
        <w:t>3. Postmarket monitoring should support incident reconstruction, not merely log accumulation.</w:t>
      </w:r>
    </w:p>
    <w:p>
      <w:r>
        <w:rPr>
          <w:color w:val="777777"/>
          <w:sz w:val="16"/>
        </w:rPr>
        <w:t xml:space="preserve">p015 · body  </w:t>
      </w:r>
      <w:r>
        <w:t>When a consequential event occurs, regulators and manufacturers should be able to reconstruct the path from relevant evidence and patient context to AI output, professional review, correction or disagreement, final release state, human sign-off where required, and downstream action.</w:t>
      </w:r>
    </w:p>
    <w:p>
      <w:r>
        <w:rPr>
          <w:color w:val="777777"/>
          <w:sz w:val="16"/>
        </w:rPr>
        <w:t xml:space="preserve">p016 · body  </w:t>
      </w:r>
      <w:r>
        <w:t>Record density can scale with risk. Routine low-risk interactions may require lightweight operational records. High-risk individualized advice should preserve provenance, reviewer scope, corrections, unresolved conflicts, and release authority. Critical outputs should support full evidence preservation.</w:t>
      </w:r>
    </w:p>
    <w:p>
      <w:r>
        <w:rPr>
          <w:color w:val="777777"/>
          <w:sz w:val="16"/>
        </w:rPr>
        <w:t xml:space="preserve">p017 · body  </w:t>
      </w:r>
      <w:r>
        <w:t>4. Material changes in authority or execution should trigger proportionate reevaluation.</w:t>
      </w:r>
    </w:p>
    <w:p>
      <w:r>
        <w:rPr>
          <w:color w:val="777777"/>
          <w:sz w:val="16"/>
        </w:rPr>
        <w:t xml:space="preserve">p018 · body  </w:t>
      </w:r>
      <w:r>
        <w:t>Reevaluation should be considered when changes materially alter how the device receives information, exercises authority, or affects clinical action. Relevant changes may include a new foundation model, persistent memory, external clinical data source, tool integration, agent capability, reviewer threshold, or downstream execution pathway.</w:t>
      </w:r>
    </w:p>
    <w:p>
      <w:r>
        <w:rPr>
          <w:color w:val="777777"/>
          <w:sz w:val="16"/>
        </w:rPr>
        <w:t xml:space="preserve">p019 · body  </w:t>
      </w:r>
      <w:r>
        <w:t>This becomes particularly important for agentic systems. The ability to generate a recommendation, the authority assigned to that recommendation, and permission to execute a consequential action should remain distinct. High-consequence transitions should have explicit human authorization gates and traceable records.</w:t>
      </w:r>
    </w:p>
    <w:p>
      <w:r>
        <w:rPr>
          <w:color w:val="777777"/>
          <w:sz w:val="16"/>
        </w:rPr>
        <w:t xml:space="preserve">p020 · body  </w:t>
      </w:r>
      <w:r>
        <w:t>I have attached Frame Infrastructure for AI, Vol. 3: Expert Oversight Network: Traceable Human Judgment for AI-Native Professional Systems, which develops these mechanisms in greater technical detail.</w:t>
      </w:r>
    </w:p>
    <w:p>
      <w:r>
        <w:rPr>
          <w:color w:val="777777"/>
          <w:sz w:val="16"/>
        </w:rPr>
        <w:t xml:space="preserve">p021 · body  </w:t>
      </w:r>
      <w:r>
        <w:t>As GenAI-enabled medical devices become more capable and agentic, effective human oversight should specify what is reviewed, by whom, under what authority, at what risk threshold, and with what evidence preserved when failure occurs.</w:t>
      </w:r>
    </w:p>
    <w:p>
      <w:r>
        <w:rPr>
          <w:color w:val="777777"/>
          <w:sz w:val="16"/>
        </w:rPr>
        <w:t xml:space="preserve">p022 · body  </w:t>
      </w:r>
      <w:r>
        <w:t>Thank you for your consideration.</w:t>
      </w:r>
    </w:p>
    <w:p>
      <w:r>
        <w:rPr>
          <w:color w:val="777777"/>
          <w:sz w:val="16"/>
        </w:rPr>
        <w:t xml:space="preserve">p023 · body  </w:t>
      </w:r>
      <w:r>
        <w:t>Respectfully,</w:t>
      </w:r>
    </w:p>
    <w:p>
      <w:r>
        <w:rPr>
          <w:color w:val="777777"/>
          <w:sz w:val="16"/>
        </w:rPr>
        <w:t xml:space="preserve">p024 · body  </w:t>
      </w:r>
      <w:r>
        <w:t>Xiangyu Guo — Independent Researcher — Alhambra, CA — Attachment: Frame Infrastructure for AI, Vol. 3: Expert Oversight Network: Traceable Human Judgment for AI-Native Professional Systems</w:t>
      </w:r>
    </w:p>
    <w:p>
      <w:r>
        <w:rPr>
          <w:color w:val="777777"/>
          <w:sz w:val="16"/>
        </w:rPr>
        <w:t xml:space="preserve">p025 · att1 p.1  </w:t>
      </w:r>
      <w:r>
        <w:t>Frame Infrastructure for AI, Vol. 3: Expert Oversight — Network — Traceable Human Judgment for</w:t>
      </w:r>
    </w:p>
    <w:p>
      <w:r>
        <w:rPr>
          <w:color w:val="777777"/>
          <w:sz w:val="16"/>
        </w:rPr>
        <w:t xml:space="preserve">p026 · att1 p.1  </w:t>
      </w:r>
      <w:r>
        <w:t>AI-Native Professional Systems — Author: Xiangyu Guo – Independent Researcher – © 2026 Xiangyu Guo. Creative Commons Attribution Non Commercial No Derivatives 4.0 International</w:t>
      </w:r>
    </w:p>
    <w:p>
      <w:r>
        <w:rPr>
          <w:color w:val="777777"/>
          <w:sz w:val="16"/>
        </w:rPr>
        <w:t xml:space="preserve">p027 · att1 p.1  </w:t>
      </w:r>
      <w:r>
        <w:t>Executive Summary — This article develops the Expert Oversight Network (EON) as the professional verification layer of the Frame Infrastructure for AI series. Frame Theory defines trust as the product of Presence and Integrity. Vol. 1 argued that Presence, for machine systems, must take the form of source-anchored structural persistence rather than temporary context reconstruction. Vol. 2 argued that Integrity, for consequential AI systems, must take the form of traceable responsibility rather than symbolic safety statements. Vol. 3 adds the missing human layer:</w:t>
      </w:r>
    </w:p>
    <w:p>
      <w:r>
        <w:rPr>
          <w:color w:val="777777"/>
          <w:sz w:val="16"/>
        </w:rPr>
        <w:t xml:space="preserve">p028 · att1 p.1  </w:t>
      </w:r>
      <w:r>
        <w:t>licensed, auditable, and risk-calibrated expert judgment integrated into machine-native memory and into a liability architecture that can support insurance, procurement, and regulated deployment. The original EON article introduced the paradigm of certified-expert auditing, transparent review labels, and feedback loops from expert correction into model improvement.</w:t>
      </w:r>
    </w:p>
    <w:p>
      <w:r>
        <w:rPr>
          <w:color w:val="777777"/>
          <w:sz w:val="16"/>
        </w:rPr>
        <w:t xml:space="preserve">p029 · att1 p.1  </w:t>
      </w:r>
      <w:r>
        <w:t>This article converts that paradigm into an explicit system specification.</w:t>
      </w:r>
    </w:p>
    <w:p>
      <w:r>
        <w:rPr>
          <w:color w:val="777777"/>
          <w:sz w:val="16"/>
        </w:rPr>
        <w:t xml:space="preserve">p030 · att1 p.1  </w:t>
      </w:r>
      <w:r>
        <w:t>The problem is operational, not rhetorical. Professional AI systems now produce recommendations in medicine, law, finance, and public administration, but current deployments usually expose only the final output and a thin explanation surface. They often do not preserve a structured record of which claims were sourced, which claims were inferred, which expert verified or rejected which claim, what disagreements remained unresolved, which actor had override authority, and what final state entered the audit trail. NIST places accountability and transparency at the center of trustworthy AI, and explicitly treats role clarity, documentation, independent review, and ongoing monitoring as core risk-management practices. The EU AI Act similarly requires logging, transparency to deployers, and effective human oversight for high-risk systems. Those sources establish the regulatory direction. They do not by themselves specify a deployable architecture for expert verification in professional domains. EON fills that gap.</w:t>
      </w:r>
    </w:p>
    <w:p>
      <w:r>
        <w:rPr>
          <w:color w:val="777777"/>
          <w:sz w:val="16"/>
        </w:rPr>
        <w:t xml:space="preserve">p031 · att1 p.2  </w:t>
      </w:r>
      <w:r>
        <w:t>EON should not be understood as “a human checks the answer sometimes.” It is a formal review system with five properties. First, expert review is bound to machine-native memory, so that verification attaches to claims, sources, updates, and conflicts rather than to a free-floating answer. Second, review is risk-calibrated: some outputs are sampled randomly; some are sampled by risk; some cannot be released without licensed human sign-off. Third, disagreement is preserved as a first-class object instead of being averaged away. Fourth, every review action writes to an audit trail suitable for incident reconstruction, post-market monitoring, and contractual evidence. Fifth, the review state is visible to downstream actors, including users, deployers, auditors, and insurers. Those properties align closely with W3C’s provenance model, which defines provenance as a record of the entities, activities, and agents involved in producing a thing and treats that record as central to trust judgments. They also align with NIST’s recent generative-AI guidance, which treats governance, content provenance, pre-deployment testing, and incident disclosure as primary considerations.</w:t>
      </w:r>
    </w:p>
    <w:p>
      <w:r>
        <w:rPr>
          <w:color w:val="777777"/>
          <w:sz w:val="16"/>
        </w:rPr>
        <w:t xml:space="preserve">p032 · att1 p.2  </w:t>
      </w:r>
      <w:r>
        <w:t>The central claim of this article is narrow and practical. High-risk professional AI becomes more governable when expert judgment is made traceable, stateful, and allocable. The result is not perfect safety. It is a system in which review status, override authority, failure location, and duty boundaries become legible enough to manage. That legibility is the minimum condition for disciplined deployment, contractual allocation, and insurability.</w:t>
      </w:r>
    </w:p>
    <w:p>
      <w:r>
        <w:rPr>
          <w:color w:val="777777"/>
          <w:sz w:val="16"/>
        </w:rPr>
        <w:t xml:space="preserve">p033 · att1 p.2  </w:t>
      </w:r>
      <w:r>
        <w:t>Position and Problem Statement — This article occupies a precise place in the larger framework. Frame Theory states the structural law: trustworthy AI requires Presence × Integrity. Vol. 1, Beyond Human-Like Memory: Toward a</w:t>
      </w:r>
    </w:p>
    <w:p>
      <w:r>
        <w:rPr>
          <w:color w:val="777777"/>
          <w:sz w:val="16"/>
        </w:rPr>
        <w:t xml:space="preserve">p034 · att1 p.2  </w:t>
      </w:r>
      <w:r>
        <w:t>Machine-Native Architecture of Structural Persistence (DOI: 10.5281/zenodo.20738963), translated Presence into an architecture of persistent sources, states, claims, relations, and updates. Vol. 2, From Black-Box Safety to Traceable Responsibility: Machine-Native Memory,</w:t>
      </w:r>
    </w:p>
    <w:p>
      <w:r>
        <w:rPr>
          <w:color w:val="777777"/>
          <w:sz w:val="16"/>
        </w:rPr>
        <w:t xml:space="preserve">p035 · att1 p.2  </w:t>
      </w:r>
      <w:r>
        <w:t>Liability Allocation, and the Insurability of AI Risk (DOI: 10.5281/zenodo.20738983), translated — Integrity into a layered responsibility architecture in which sources, transformations, outputs, and decision nodes can be located. Vol. 3 connects those two results to professional practice: it specifies how human judgment enters the system as a traceable verification event rather than as an informal fallback. The original EON article established the oversight paradigm; the present article defines its operational form.</w:t>
      </w:r>
    </w:p>
    <w:p>
      <w:r>
        <w:rPr>
          <w:color w:val="777777"/>
          <w:sz w:val="16"/>
        </w:rPr>
        <w:t xml:space="preserve">p036 · att1 p.3  </w:t>
      </w:r>
      <w:r>
        <w:t>The missing piece in current professional AI is not additional normative language. It is the absence of a verifiable judgment node. NIST’s AI RMF states that trustworthy AI depends on accountability and that accountability presupposes transparency. It also treats documentation, independent review, clearly defined human roles, and the ability to track risks over time as operational requirements rather than optional reporting. The EU AI Act is directionally consistent: high-risk AI systems must support automatic logs over the system lifetime; those logs must provide traceability appropriate to the intended purpose; and high-risk systems must be designed so that natural persons can effectively oversee them, remain aware of automation bias, interpret outputs correctly, and disregard or interrupt system outputs when necessary.</w:t>
      </w:r>
    </w:p>
    <w:p>
      <w:r>
        <w:rPr>
          <w:color w:val="777777"/>
          <w:sz w:val="16"/>
        </w:rPr>
        <w:t xml:space="preserve">p037 · att1 p.3  </w:t>
      </w:r>
      <w:r>
        <w:t>That creates a concrete design problem. In a professional setting, an AI answer is rarely a single undifferentiated object. It contains sourced propositions, inferred propositions, jurisdiction-specific assumptions, temporary preferences, and sometimes unresolved ambiguity.</w:t>
      </w:r>
    </w:p>
    <w:p>
      <w:r>
        <w:rPr>
          <w:color w:val="777777"/>
          <w:sz w:val="16"/>
        </w:rPr>
        <w:t xml:space="preserve">p038 · att1 p.3  </w:t>
      </w:r>
      <w:r>
        <w:t>If an expert later reviews the answer, the system must answer at least six questions: what exactly was reviewed; what evidence supported it; what was changed; whether disagreement remained; who had authority to release the final version; and what duties attached to that release state. Without that structure, “human oversight” becomes a presentation layer. It looks compliant, but it does not support post hoc reconstruction, incident accountability, or insurance underwriting.</w:t>
      </w:r>
    </w:p>
    <w:p>
      <w:r>
        <w:rPr>
          <w:color w:val="777777"/>
          <w:sz w:val="16"/>
        </w:rPr>
        <w:t xml:space="preserve">p039 · att1 p.3  </w:t>
      </w:r>
      <w:r>
        <w:t>The problem is more acute in professional advice because the relevant harm often depends on context and timing. A clinical suggestion may be acceptable as general education but unacceptable as patient-specific treatment advice. A legal summary may be useful as a background note but impermissible as a court filing without human verification. A financial recommendation may be informative at low value but not at a threshold where a regulated entity must justify suitability, validation, or board-level review. Public-sector AI may be safe for back-office triage but not for decisions that affect benefits, liberty, or public safety without impact assessment, independent evaluation, and additional human oversight. Sectoral rules differ, but the architecture problem is shared.</w:t>
      </w:r>
    </w:p>
    <w:p>
      <w:r>
        <w:rPr>
          <w:color w:val="777777"/>
          <w:sz w:val="16"/>
        </w:rPr>
        <w:t xml:space="preserve">p040 · att1 p.4  </w:t>
      </w:r>
      <w:r>
        <w:t>The precise problem statement is therefore as follows: current AI deployments in professional domains lack a standardized mechanism for binding expert review to claim-level provenance, state transitions, conflict preservation, and liability allocation. EON is proposed as that mechanism.</w:t>
      </w:r>
    </w:p>
    <w:p>
      <w:r>
        <w:rPr>
          <w:color w:val="777777"/>
          <w:sz w:val="16"/>
        </w:rPr>
        <w:t xml:space="preserve">p041 · att1 p.4  </w:t>
      </w:r>
      <w:r>
        <w:t>System Specification — EON is a review layer that sits above generation and below consequential release. It is not a general ethics committee and not a post hoc complaint inbox. It is a structured service that receives AI outputs, classifies them by risk, routes some or all of them to verified human experts, records the experts’ judgments as state-changing events in machine-native memory, and exposes review status to downstream actors. In architectural terms, EON is the human verification subsystem for the memory and responsibility layers specified in Vol. 1 and Vol. 2. It turns human judgment into a persistent, attributable object.</w:t>
      </w:r>
    </w:p>
    <w:p>
      <w:r>
        <w:rPr>
          <w:color w:val="777777"/>
          <w:sz w:val="16"/>
        </w:rPr>
        <w:t xml:space="preserve">p042 · att1 p.4  </w:t>
      </w:r>
      <w:r>
        <w:t>The minimal EON stack has seven components. The generation layer produces an initial output and claim graph. The memory layer stores source objects, claim objects, inference markers, prior review states, and update history. The risk-routing layer assigns a review mode based on domain, user context, actionability, monetary or rights threshold, uncertainty, and prior incident data. The credentialing layer determines which experts are eligible to review which outputs. The review layer presents the relevant materials to experts through a controlled interface. The synthesis layer resolves confirmation, correction, disagreement, and escalation states. The audit layer writes immutable or tamper-evident records for verification, override, incident response, and external inspection. This is consistent with NIST’s repeated emphasis on lifecycle-wide documentation, role separation, TEVV, monitoring, and independent evaluation, and with W3C PROV’s treatment of entities, activities, and agents as the core objects of provenance.</w:t>
      </w:r>
    </w:p>
    <w:p>
      <w:r>
        <w:rPr>
          <w:color w:val="777777"/>
          <w:sz w:val="16"/>
        </w:rPr>
        <w:t xml:space="preserve">p043 · att1 p.4  </w:t>
      </w:r>
      <w:r>
        <w:t>The core release workflow is straightforward. An AI output is first decomposed into claims linked to sources or marked as inferred. The system then assigns a risk tier. Low-risk outputs may be released immediately and entered into a random or periodic sampling pool. Medium-risk outputs may be released with a provisional state and post-delivery review. High-risk outputs should be held until expert review is complete. Critical outputs—those that trigger a legal filing, a patient-specific treatment step, a material financial execution, or a public decision affecting rights or safety—should require explicit human sign-off before release or execution. The final user-visible object is never just “the answer.” It is the answer plus a review state: unreviewed, sampled, reviewed-confirmed, reviewed-corrected, conflict-open, escalated, or signed off. That state should be machine-readable and contractually meaningful.</w:t>
      </w:r>
    </w:p>
    <w:p>
      <w:r>
        <w:rPr>
          <w:color w:val="777777"/>
          <w:sz w:val="16"/>
        </w:rPr>
        <w:t xml:space="preserve">p044 · att1 p.5  </w:t>
      </w:r>
      <w:r>
        <w:t>Expert review in EON is claim-directed, not merely answer-directed. The system should be able to ask a reviewer to confirm or correct a specific proposition, bracket a claim as unsupported, identify omitted considerations, or mark a recommendation as outside the reviewer’s licensed scope. That matters because professional review is often partial. A lawyer may verify authority and jurisdictional fit while declining an economic assumption. A physician may verify triage logic while flagging that final diagnosis requires unavailable patient data. The system should therefore preserve review scope explicitly instead of overstating certainty. This approach is consistent with NIST’s call for role-appropriate transparency, documented limits, and context-specific human-AI interaction, and with the AI Act’s requirement that deployers receive the information necessary to interpret and use outputs appropriately.</w:t>
      </w:r>
    </w:p>
    <w:p>
      <w:r>
        <w:rPr>
          <w:color w:val="777777"/>
          <w:sz w:val="16"/>
        </w:rPr>
        <w:t xml:space="preserve">p045 · att1 p.5  </w:t>
      </w:r>
      <w:r>
        <w:t>EON also requires a clearer definition of outcome states than current “human in the loop”</w:t>
      </w:r>
    </w:p>
    <w:p>
      <w:r>
        <w:rPr>
          <w:color w:val="777777"/>
          <w:sz w:val="16"/>
        </w:rPr>
        <w:t xml:space="preserve">p046 · att1 p.5  </w:t>
      </w:r>
      <w:r>
        <w:t>language usually provides. There are only four operationally meaningful endings for a review transaction. The output may be confirmed without substantive change. It may be corrected and rereleased as a superseding version. It may remain disputed and be escalated to a higher reviewer class or second panel. Or it may be blocked from release or execution because it exceeds system scope or fails an evidence threshold. Anything less precise collapses review into commentary rather than governance. OMB’s federal AI memorandum is instructive on this point: agencies are required to complete impact assessments, perform real-world testing, obtain independent evaluation from a reviewing authority that was not directly involved in development, and add human oversight and fail-safes where rights or safety are materially affected. EON operationalizes a similar logic for professional services outside the public sector.</w:t>
      </w:r>
    </w:p>
    <w:p>
      <w:r>
        <w:rPr>
          <w:color w:val="777777"/>
          <w:sz w:val="16"/>
        </w:rPr>
        <w:t xml:space="preserve">p047 · att1 p.6  </w:t>
      </w:r>
      <w:r>
        <w:t>Data and Operating Rules — The decisive move in EON is to convert expert oversight into structured data rather than leaving it as prose or organizational memory. The data model below is the minimum needed for provenance, verification, conflict preservation, update history, and auditability.</w:t>
      </w:r>
    </w:p>
    <w:p>
      <w:r>
        <w:rPr>
          <w:color w:val="777777"/>
          <w:sz w:val="16"/>
        </w:rPr>
        <w:t xml:space="preserve">p048 · att1 p.6  </w:t>
      </w:r>
      <w:r>
        <w:t>Record type Required fields Primary writer Function in EON — Ingestion service — SourceRecord source_id, source hash or URI, source type, jurisdiction, version, timestamp, access rights, reliability class</w:t>
      </w:r>
    </w:p>
    <w:p>
      <w:r>
        <w:rPr>
          <w:color w:val="777777"/>
          <w:sz w:val="16"/>
        </w:rPr>
        <w:t xml:space="preserve">p049 · att1 p.6  </w:t>
      </w:r>
      <w:r>
        <w:t>Anchors claims to specific source material and versions — Generation service — ClaimRecord claim_id, output_id, text span, source links, inference_flag, confidence or uncertainty field, domain tags</w:t>
      </w:r>
    </w:p>
    <w:p>
      <w:r>
        <w:rPr>
          <w:color w:val="777777"/>
          <w:sz w:val="16"/>
        </w:rPr>
        <w:t xml:space="preserve">p050 · att1 p.6  </w:t>
      </w:r>
      <w:r>
        <w:t>Separates sourced claims from inferred claims within one output — EON coordinator — ReviewTask task_id, output_id, risk tier, routing reason, required specialty, jurisdiction requirement, deadline, blinded review payload, review scope</w:t>
      </w:r>
    </w:p>
    <w:p>
      <w:r>
        <w:rPr>
          <w:color w:val="777777"/>
          <w:sz w:val="16"/>
        </w:rPr>
        <w:t xml:space="preserve">p051 · att1 p.6  </w:t>
      </w:r>
      <w:r>
        <w:t>Specifies what is to be reviewed, by whom, and under what standard — VerificationRecord verification_id, reviewer credential reference,</w:t>
      </w:r>
    </w:p>
    <w:p>
      <w:r>
        <w:rPr>
          <w:color w:val="777777"/>
          <w:sz w:val="16"/>
        </w:rPr>
        <w:t xml:space="preserve">p052 · att1 p.6  </w:t>
      </w:r>
      <w:r>
        <w:t>Expert interface — Stores the expert’s judgment as a traceable event verdict (confirm, correct, reject, outside_scope), rationale, edited text or annotations, timestamp</w:t>
      </w:r>
    </w:p>
    <w:p>
      <w:r>
        <w:rPr>
          <w:color w:val="777777"/>
          <w:sz w:val="16"/>
        </w:rPr>
        <w:t xml:space="preserve">p053 · att1 p.6  </w:t>
      </w:r>
      <w:r>
        <w:t>EON coordinator — ConflictRecord conflict_id, linked verification records, materiality rating, disputed claims, escalation status, resolution rule</w:t>
      </w:r>
    </w:p>
    <w:p>
      <w:r>
        <w:rPr>
          <w:color w:val="777777"/>
          <w:sz w:val="16"/>
        </w:rPr>
        <w:t xml:space="preserve">p054 · att1 p.6  </w:t>
      </w:r>
      <w:r>
        <w:t>Preserves expert disagreement rather than suppressing it — System or expert reviewer — UpdateEvent update_id, prior object reference, superseding object reference, diff hash, reason code, approval node, timestamp</w:t>
      </w:r>
    </w:p>
    <w:p>
      <w:r>
        <w:rPr>
          <w:color w:val="777777"/>
          <w:sz w:val="16"/>
        </w:rPr>
        <w:t xml:space="preserve">p055 · att1 p.7  </w:t>
      </w:r>
      <w:r>
        <w:t>Maintains state history when an answer is changed — SignOffRecord signoff_id, authorized natural person, license/jurisdiction match, threshold basis, final disposition, override rationale, timestamp</w:t>
      </w:r>
    </w:p>
    <w:p>
      <w:r>
        <w:rPr>
          <w:color w:val="777777"/>
          <w:sz w:val="16"/>
        </w:rPr>
        <w:t xml:space="preserve">p056 · att1 p.7  </w:t>
      </w:r>
      <w:r>
        <w:t>Licensed reviewer or deployer authority — Marks outputs that cannot be released or executed without explicit human authorization</w:t>
      </w:r>
    </w:p>
    <w:p>
      <w:r>
        <w:rPr>
          <w:color w:val="777777"/>
          <w:sz w:val="16"/>
        </w:rPr>
        <w:t xml:space="preserve">p057 · att1 p.7  </w:t>
      </w:r>
      <w:r>
        <w:t>Platform logging layer — AuditLogEntry event_id, actor, action, affected object ids, session context, access context, immutable checksum, timestamp</w:t>
      </w:r>
    </w:p>
    <w:p>
      <w:r>
        <w:rPr>
          <w:color w:val="777777"/>
          <w:sz w:val="16"/>
        </w:rPr>
        <w:t xml:space="preserve">p058 · att1 p.7  </w:t>
      </w:r>
      <w:r>
        <w:t>Supports incident reconstruction, regulator requests, insurer review, and contractual evidence — This model is intentionally compatible with the abstractions in W3C PROV. A SourceRecord and ClaimRecord are entities; ReviewTask, VerificationRecord, UpdateEvent, and</w:t>
      </w:r>
    </w:p>
    <w:p>
      <w:r>
        <w:rPr>
          <w:color w:val="777777"/>
          <w:sz w:val="16"/>
        </w:rPr>
        <w:t xml:space="preserve">p059 · att1 p.7  </w:t>
      </w:r>
      <w:r>
        <w:t>SignOffRecord are activities; experts, deployers, platform services, and institutions are agents. The value of this alignment is practical. Provenance is not merely a record of origin. It is a record that supports trust assessment, conflict reconstruction, and responsibility assignment.</w:t>
      </w:r>
    </w:p>
    <w:p>
      <w:r>
        <w:rPr>
          <w:color w:val="777777"/>
          <w:sz w:val="16"/>
        </w:rPr>
        <w:t xml:space="preserve">p060 · att1 p.7  </w:t>
      </w:r>
      <w:r>
        <w:t>NIST’s generative-AI profile likewise emphasizes content provenance, maintenance of change records with sources, timestamps, and metadata, TEVV record retention, and incident disclosure.</w:t>
      </w:r>
    </w:p>
    <w:p>
      <w:r>
        <w:rPr>
          <w:color w:val="777777"/>
          <w:sz w:val="16"/>
        </w:rPr>
        <w:t xml:space="preserve">p061 · att1 p.7  </w:t>
      </w:r>
      <w:r>
        <w:t>The operational rules are as important as the schema. Sampling should follow two channels.</w:t>
      </w:r>
    </w:p>
    <w:p>
      <w:r>
        <w:rPr>
          <w:color w:val="777777"/>
          <w:sz w:val="16"/>
        </w:rPr>
        <w:t xml:space="preserve">p062 · att1 p.7  </w:t>
      </w:r>
      <w:r>
        <w:t>Random sampling is the baseline quality-control mechanism. It estimates silent error rates, deters complacency, and produces a representative stream of review data. Risk-weighted sampling is the safety mechanism. It prioritizes outputs whose domain, user context, uncertainty, or downstream action profile make harm more likely or more severe. NIST’s GenAI profile recommends that risk management be tailored to context, severity, and deployment conditions and that testing reflect real-world use rather than narrow benchmarks. EON therefore treats sampling as a dynamic control surface, not a fixed percentage.</w:t>
      </w:r>
    </w:p>
    <w:p>
      <w:r>
        <w:rPr>
          <w:color w:val="777777"/>
          <w:sz w:val="16"/>
        </w:rPr>
        <w:t xml:space="preserve">p063 · att1 p.8  </w:t>
      </w:r>
      <w:r>
        <w:t>Expert credentialing must be explicit and machine-checkable. At minimum, the network should verify identity, active license status where applicable, specialty, jurisdiction, disciplinary history if available, conflicts of interest, confidentiality commitments, and completion of EON-specific training on scope marking, evidence review, and audit obligations. Review eligibility should be bound to domain and jurisdiction; a clinician licensed in one jurisdiction should not silently sign off on practice that requires authorization in another. The EU AI Act’s emphasis on competence, training, and authority for natural persons assigned to oversight points in the same direction, even though the Act does not define a professional review network.</w:t>
      </w:r>
    </w:p>
    <w:p>
      <w:r>
        <w:rPr>
          <w:color w:val="777777"/>
          <w:sz w:val="16"/>
        </w:rPr>
        <w:t xml:space="preserve">p064 · att1 p.8  </w:t>
      </w:r>
      <w:r>
        <w:t>Review workflows should be blind by default for independent review, structured by checklist, and time-bounded. The reviewer should see the relevant source-set, the claim graph, the system’s uncertainty notation, and the current review state, but should not see other reviewers’ initial judgments until the first-pass review is closed. This reduces conformity pressure and creates cleaner disagreement data. Review forms should support at least four actions: confirm, correct, reject, and mark outside scope. Where the system allows text edits, those edits must be stored as diffs attached to UpdateEvent objects rather than overwriting the initial record. NIST’s AI</w:t>
      </w:r>
    </w:p>
    <w:p>
      <w:r>
        <w:rPr>
          <w:color w:val="777777"/>
          <w:sz w:val="16"/>
        </w:rPr>
        <w:t xml:space="preserve">p065 · att1 p.8  </w:t>
      </w:r>
      <w:r>
        <w:t>RMF and SR 11-7 are aligned on this point: independent validation, critical review, documentation quality, and visible management responses are core determinants of sound governance.</w:t>
      </w:r>
    </w:p>
    <w:p>
      <w:r>
        <w:rPr>
          <w:color w:val="777777"/>
          <w:sz w:val="16"/>
        </w:rPr>
        <w:t xml:space="preserve">p066 · att1 p.8  </w:t>
      </w:r>
      <w:r>
        <w:t>Disagreement handling must preserve disagreement as data. If reviewers differ on a nonmaterial wording issue, the system may synthesize. If reviewers differ on a material claim, risk category, or recommendation, the system must open a ConflictRecord, mark the visible state accordingly, and escalate using preset rules. Escalation options include a senior reviewer, a second panel, or domain-specific blocking rules. The key requirement is that conflict not vanish in a consensus veneer. For professional systems, conflict is often epistemically meaningful. It tells the deployer, user, and insurer that the answer remained contested at release time.</w:t>
      </w:r>
    </w:p>
    <w:p>
      <w:r>
        <w:rPr>
          <w:color w:val="777777"/>
          <w:sz w:val="16"/>
        </w:rPr>
        <w:t xml:space="preserve">p067 · att1 p.9  </w:t>
      </w:r>
      <w:r>
        <w:t>Human sign-off thresholds should be narrow, explicit, and domain-bound. Not every professional output requires a named human signatory. But some do. The threshold should be crossed when the output either authorizes or materially conditions an action with direct effects on health, legal rights, financial exposure, or public rights and safety. In those cases, the sign-off record is not a ceremonial step. It is the state transition that identifies the final accountable decision node. That matches both the AI Act’s stronger treatment of human oversight in high-risk settings and OMB’s instruction that additional human oversight and intervention be required where significant impacts on rights or safety are possible.</w:t>
      </w:r>
    </w:p>
    <w:p>
      <w:r>
        <w:rPr>
          <w:color w:val="777777"/>
          <w:sz w:val="16"/>
        </w:rPr>
        <w:t xml:space="preserve">p068 · att1 p.9  </w:t>
      </w:r>
      <w:r>
        <w:t>The table below provides a practical default matrix for sampling and insurance posture.</w:t>
      </w:r>
    </w:p>
    <w:p>
      <w:r>
        <w:rPr>
          <w:color w:val="777777"/>
          <w:sz w:val="16"/>
        </w:rPr>
        <w:t xml:space="preserve">p069 · att1 p.9  </w:t>
      </w:r>
      <w:r>
        <w:t>Risk tier Typical output class Review mode Default review rate — Human sign-off threshold</w:t>
      </w:r>
    </w:p>
    <w:p>
      <w:r>
        <w:rPr>
          <w:color w:val="777777"/>
          <w:sz w:val="16"/>
        </w:rPr>
        <w:t xml:space="preserve">p070 · att1 p.9  </w:t>
      </w:r>
      <w:r>
        <w:t>Insurer-relevant evidence — Random post-delivery sampling — 1–5% None Baseline error rate, audit completeness, incident reporting latency</w:t>
      </w:r>
    </w:p>
    <w:p>
      <w:r>
        <w:rPr>
          <w:color w:val="777777"/>
          <w:sz w:val="16"/>
        </w:rPr>
        <w:t xml:space="preserve">p071 · att1 p.9  </w:t>
      </w:r>
      <w:r>
        <w:t>Low General information, educational explanation, low-stakes summarization — 5–15% Required only when predefined triggers fire</w:t>
      </w:r>
    </w:p>
    <w:p>
      <w:r>
        <w:rPr>
          <w:color w:val="777777"/>
          <w:sz w:val="16"/>
        </w:rPr>
        <w:t xml:space="preserve">p072 · att1 p.9  </w:t>
      </w:r>
      <w:r>
        <w:t>Medium Professional guidance without direct execution authority — Verified routing logic, reviewer eligibility, correction rate by category</w:t>
      </w:r>
    </w:p>
    <w:p>
      <w:r>
        <w:rPr>
          <w:color w:val="777777"/>
          <w:sz w:val="16"/>
        </w:rPr>
        <w:t xml:space="preserve">p073 · att1 p.9  </w:t>
      </w:r>
      <w:r>
        <w:t>Mixed random and risk-weighted review; provisional release allowed — Usually required for release</w:t>
      </w:r>
    </w:p>
    <w:p>
      <w:r>
        <w:rPr>
          <w:color w:val="777777"/>
          <w:sz w:val="16"/>
        </w:rPr>
        <w:t xml:space="preserve">p074 · att1 p.9  </w:t>
      </w:r>
      <w:r>
        <w:t>High Individualized advice with material risk if wrong — 50–100% depending on domain policy</w:t>
      </w:r>
    </w:p>
    <w:p>
      <w:r>
        <w:rPr>
          <w:color w:val="777777"/>
          <w:sz w:val="16"/>
        </w:rPr>
        <w:t xml:space="preserve">p075 · att1 p.9  </w:t>
      </w:r>
      <w:r>
        <w:t>Pre-delivery review by one qualified expert; second reviewer on trigger — Claim-level provenance, reviewer scope marks, override records, retention policy</w:t>
      </w:r>
    </w:p>
    <w:p>
      <w:r>
        <w:rPr>
          <w:color w:val="777777"/>
          <w:sz w:val="16"/>
        </w:rPr>
        <w:t xml:space="preserve">p076 · att1 p.10  </w:t>
      </w:r>
      <w:r>
        <w:t>100% Always required before release or execution — Mandatory pre-delivery review and explicit sign-off; escalation if conflict</w:t>
      </w:r>
    </w:p>
    <w:p>
      <w:r>
        <w:rPr>
          <w:color w:val="777777"/>
          <w:sz w:val="16"/>
        </w:rPr>
        <w:t xml:space="preserve">p077 · att1 p.10  </w:t>
      </w:r>
      <w:r>
        <w:t>Full audit chain, named accountable human, immutable logs, documented fail-safe and incident response</w:t>
      </w:r>
    </w:p>
    <w:p>
      <w:r>
        <w:rPr>
          <w:color w:val="777777"/>
          <w:sz w:val="16"/>
        </w:rPr>
        <w:t xml:space="preserve">p078 · att1 p.10  </w:t>
      </w:r>
      <w:r>
        <w:t>Critical Court filing, patient-specific treatment step, financial execution, public decision affecting rights or safety</w:t>
      </w:r>
    </w:p>
    <w:p>
      <w:r>
        <w:rPr>
          <w:color w:val="777777"/>
          <w:sz w:val="16"/>
        </w:rPr>
        <w:t xml:space="preserve">p079 · att1 p.10  </w:t>
      </w:r>
      <w:r>
        <w:t>These ranges are design defaults, not universal legal rules. Their value is that they create an underwriting surface. Underwriters do not need perfect safety. They need stable covariates:</w:t>
      </w:r>
    </w:p>
    <w:p>
      <w:r>
        <w:rPr>
          <w:color w:val="777777"/>
          <w:sz w:val="16"/>
        </w:rPr>
        <w:t xml:space="preserve">p080 · att1 p.10  </w:t>
      </w:r>
      <w:r>
        <w:t>sampling rate, correction rate, credential coverage, conflict frequency, override frequency, time-to-correction, and record retention quality. Where those variables are absent, pricing becomes conservative or unavailable. Where they are present, insurability improves. That conclusion is an inference from the broader regulatory emphasis on logging, retention, independent evaluation, and model validation rather than an assertion that any regulator has already endorsed a specific EON schedule. The inference is nevertheless strong.</w:t>
      </w:r>
    </w:p>
    <w:p>
      <w:r>
        <w:rPr>
          <w:color w:val="777777"/>
          <w:sz w:val="16"/>
        </w:rPr>
        <w:t xml:space="preserve">p081 · att1 p.10  </w:t>
      </w:r>
      <w:r>
        <w:t>Incident Reconstruction and Audit Bloat — EON should not be misread as a demand for unlimited logging. More records do not automatically produce more accountability. Unstructured accumulation can create audit bloat: a condition in which prompts, model outputs, retrieved passages, expert comments, edits, metadata, and system events pile up until investigation becomes slower rather than clearer.</w:t>
      </w:r>
    </w:p>
    <w:p>
      <w:r>
        <w:rPr>
          <w:color w:val="777777"/>
          <w:sz w:val="16"/>
        </w:rPr>
        <w:t xml:space="preserve">p082 · att1 p.10  </w:t>
      </w:r>
      <w:r>
        <w:t>The goal is not maximal logging. The goal is reconstructable accountability.</w:t>
      </w:r>
    </w:p>
    <w:p>
      <w:r>
        <w:rPr>
          <w:color w:val="777777"/>
          <w:sz w:val="16"/>
        </w:rPr>
        <w:t xml:space="preserve">p083 · att1 p.10  </w:t>
      </w:r>
      <w:r>
        <w:t>A serious EON deployment should therefore distinguish between ordinary retention and incident reconstruction. For routine low-risk outputs, lightweight metadata may be sufficient: model version, time, domain label, risk tier, review state, and release state. For medium- and high-risk outputs, the system should preserve source records, claim records, review tasks, verification records, conflict records, update events, sign-off records, and audit-log entries. For critical outputs or disputed incidents, the system should generate an incident bundle: a frozen package containing the relevant source objects, active memory state, claim graph, retrieval path, risk classification, expert reviews, conflict status, release state, user-visible output, human sign-off records, warnings, overrides, and downstream action history.</w:t>
      </w:r>
    </w:p>
    <w:p>
      <w:r>
        <w:rPr>
          <w:color w:val="777777"/>
          <w:sz w:val="16"/>
        </w:rPr>
        <w:t xml:space="preserve">p084 · att1 p.11  </w:t>
      </w:r>
      <w:r>
        <w:t>This distinction matters. In an accident, investigators do not need an undifferentiated ocean of logs. They need the event chain. A properly structured incident bundle should allow the system to reconstruct the path from source to claim, from claim to memory state, from memory state to</w:t>
      </w:r>
    </w:p>
    <w:p>
      <w:r>
        <w:rPr>
          <w:color w:val="777777"/>
          <w:sz w:val="16"/>
        </w:rPr>
        <w:t xml:space="preserve">p085 · att1 p.11  </w:t>
      </w:r>
      <w:r>
        <w:t>AI output, from output to expert review, from review to release, and from release to user action.</w:t>
      </w:r>
    </w:p>
    <w:p>
      <w:r>
        <w:rPr>
          <w:color w:val="777777"/>
          <w:sz w:val="16"/>
        </w:rPr>
        <w:t xml:space="preserve">p086 · att1 p.11  </w:t>
      </w:r>
      <w:r>
        <w:t>If that chain cannot be reconstructed, the system has not achieved traceable responsibility, no matter how much raw data it stores.</w:t>
      </w:r>
    </w:p>
    <w:p>
      <w:r>
        <w:rPr>
          <w:color w:val="777777"/>
          <w:sz w:val="16"/>
        </w:rPr>
        <w:t xml:space="preserve">p087 · att1 p.11  </w:t>
      </w:r>
      <w:r>
        <w:t>Retention should therefore be risk-tiered. Low-risk general information may require only lightweight operational records and aggregate sampling logs. Professional guidance should retain claim-level provenance and review status. High-risk individualized advice should retain reviewer scope, corrections, unresolved conflicts, and release authority. Critical outputs affecting health, legal rights, financial execution, public benefits, or physical safety should trigger full evidence preservation and incident-freeze capability.</w:t>
      </w:r>
    </w:p>
    <w:p>
      <w:r>
        <w:rPr>
          <w:color w:val="777777"/>
          <w:sz w:val="16"/>
        </w:rPr>
        <w:t xml:space="preserve">p088 · att1 p.11  </w:t>
      </w:r>
      <w:r>
        <w:t>This design also protects privacy and cost control. EON does not require every interaction to become a permanent dossier. It requires each interaction to carry enough structure to determine what must be preserved if risk increases. Record density should rise with consequence. The system should log enough to reconstruct the event and structure enough to avoid drowning in the log.</w:t>
      </w:r>
    </w:p>
    <w:p>
      <w:r>
        <w:rPr>
          <w:color w:val="777777"/>
          <w:sz w:val="16"/>
        </w:rPr>
        <w:t xml:space="preserve">p089 · att1 p.11  </w:t>
      </w:r>
      <w:r>
        <w:t>The difference is decisive. Without structure, more data creates more confusion. With structure, more data creates better accountability. EON therefore treats logging as a memory-governance function, not a data-hoarding reflex.</w:t>
      </w:r>
    </w:p>
    <w:p>
      <w:r>
        <w:rPr>
          <w:color w:val="777777"/>
          <w:sz w:val="16"/>
        </w:rPr>
        <w:t xml:space="preserve">p090 · att1 p.11  </w:t>
      </w:r>
      <w:r>
        <w:t>Liability, Insurance, and Domain Deployment — EON matters because it changes loss allocation from residual blame to structured responsibility. The provider remains responsible for the memory architecture, provenance integrity, routing logic, review-state labeling, credential verification controls, and tamper-evident logging. The deployer remains responsible for the chosen use case, threshold configuration, user communications, integration into the workflow, and any decision to bypass or disable a required review gate. The expert reviewer becomes responsible only within the scope actually reviewed and signed off. The user remains responsible for concealed facts, unauthorized use, or disregard of warnings. That layered approach is consistent with the move in recent governance documents away from vague responsibility language and toward explicit lifecycle roles, documentation, and control structures.</w:t>
      </w:r>
    </w:p>
    <w:p>
      <w:r>
        <w:rPr>
          <w:color w:val="777777"/>
          <w:sz w:val="16"/>
        </w:rPr>
        <w:t xml:space="preserve">p091 · att1 p.12  </w:t>
      </w:r>
      <w:r>
        <w:t>Insurability depends on evidence discipline. At minimum, an EON-enabled system intended for high-stakes deployment should have immutable or tamper-evident audit logs; version-pinned sources and model identifiers; claim-level provenance; reviewer credential records; contractually defined review states; signed incident-response procedures; retention schedules; and explicit authority rules for override and release. NIST’s log-management guidance remains directly relevant here: an effective log infrastructure must support generation, transmission, storage, analysis, and disposal of log data; preserve original logs; support integrity checking; and meet retention and preservation requirements driven by legal or regulatory need. Those requirements map almost one-to-one onto the evidence needed by claims handlers, regulators, and counterparties after an AI incident.</w:t>
      </w:r>
    </w:p>
    <w:p>
      <w:r>
        <w:rPr>
          <w:color w:val="777777"/>
          <w:sz w:val="16"/>
        </w:rPr>
        <w:t xml:space="preserve">p092 · att1 p.12  </w:t>
      </w:r>
      <w:r>
        <w:t>Contractual controls should be equally explicit. Professional AI agreements should define reviewed and unreviewed states; the limits of review scope; mandatory review tiers; reviewer service-level expectations; confidentiality and conflict rules; error-correction and incident-notification procedures; audit rights for enterprise customers and insurers; retention periods; permitted downstream uses; and liability allocation for bypass, misuse, or unauthorized execution. Where licensed expert sign-off is part of the service, the contract should identify whether that sign-off is advisory, required for release, or required for execution. It should also specify which insurance tower responds first: technology E&amp;O, cyber, professional liability, or a platform-issued combined policy. Those allocations are design proposals rather than statements of current universal law, but they are the minimum structure needed for insurable professional deployment.</w:t>
      </w:r>
    </w:p>
    <w:p>
      <w:r>
        <w:rPr>
          <w:color w:val="777777"/>
          <w:sz w:val="16"/>
        </w:rPr>
        <w:t xml:space="preserve">p093 · att1 p.13  </w:t>
      </w:r>
      <w:r>
        <w:t>Domain deployment does not require different architecture, but it does require different thresholds.</w:t>
      </w:r>
    </w:p>
    <w:p>
      <w:r>
        <w:rPr>
          <w:color w:val="777777"/>
          <w:sz w:val="16"/>
        </w:rPr>
        <w:t xml:space="preserve">p094 · att1 p.13  </w:t>
      </w:r>
      <w:r>
        <w:t>In medicine, the minimum compliance posture should include clinician credential verification by specialty and jurisdiction; patient-data privacy controls; a clear distinction between informational content and patient-specific clinical recommendations; mandatory pre-delivery review for treatment recommendations, dose suggestions, contraindication-sensitive outputs, or triage decisions above a defined severity threshold; sign-off rules for outputs that would materially guide patient care; and incident escalation for adverse-event patterns. FDA’s current</w:t>
      </w:r>
    </w:p>
    <w:p>
      <w:r>
        <w:rPr>
          <w:color w:val="777777"/>
          <w:sz w:val="16"/>
        </w:rPr>
        <w:t xml:space="preserve">p095 · att1 p.13  </w:t>
      </w:r>
      <w:r>
        <w:t>CDS guidance remains important because it clarifies that some decision-support software functions fall outside device regulation while others remain regulated device functions; in either case, the provider must know which class of function it is operating and should not treat that classification question as an afterthought.</w:t>
      </w:r>
    </w:p>
    <w:p>
      <w:r>
        <w:rPr>
          <w:color w:val="777777"/>
          <w:sz w:val="16"/>
        </w:rPr>
        <w:t xml:space="preserve">p096 · att1 p.13  </w:t>
      </w:r>
      <w:r>
        <w:t>In law, the minimum compliance posture should include jurisdiction mapping; licensed-attorney review for court filings, legal opinions individualized to a client’s facts, settlement or pleading drafts, and any output that asserts legal authority as a basis for action; citation verification before release; privileged-data controls; and retention of prompts, authorities, edits, and final release state. The ABA’s first formal generative-AI guidance, as reported by Reuters, emphasizes competence, confidentiality, communication, fees, and the duty to review AI outputs for accuracy; it also notes that lawyers remain exposed to sanctions and misrepresentation risk if inaccurate AI-generated authorities are filed without verification. EON gives those obligations an operational form.</w:t>
      </w:r>
    </w:p>
    <w:p>
      <w:r>
        <w:rPr>
          <w:color w:val="777777"/>
          <w:sz w:val="16"/>
        </w:rPr>
        <w:t xml:space="preserve">p097 · att1 p.13  </w:t>
      </w:r>
      <w:r>
        <w:t>In finance, the minimum compliance posture should include independent validation of material models or workflows; separation between development and effective challenge; calibrated human approval thresholds for recommendations that exceed monetary or suitability limits;</w:t>
      </w:r>
    </w:p>
    <w:p>
      <w:r>
        <w:rPr>
          <w:color w:val="777777"/>
          <w:sz w:val="16"/>
        </w:rPr>
        <w:t xml:space="preserve">p098 · att1 p.13  </w:t>
      </w:r>
      <w:r>
        <w:t>ongoing monitoring for drift; and documented overrides. Federal Reserve and OCC supervisory guidance on model risk management is still the best concise statement of the principle:</w:t>
      </w:r>
    </w:p>
    <w:p>
      <w:r>
        <w:rPr>
          <w:color w:val="777777"/>
          <w:sz w:val="16"/>
        </w:rPr>
        <w:t xml:space="preserve">p099 · att1 p.13  </w:t>
      </w:r>
      <w:r>
        <w:t>validation should cover inputs, processing, and reporting; it should be independent from development and use; it should continue after deployment; and significant deficiencies should block or tightly constrain use until resolved. Those principles fit naturally into EON review gates for advisory and decision-support systems.</w:t>
      </w:r>
    </w:p>
    <w:p>
      <w:r>
        <w:rPr>
          <w:color w:val="777777"/>
          <w:sz w:val="16"/>
        </w:rPr>
        <w:t xml:space="preserve">p100 · att1 p.14  </w:t>
      </w:r>
      <w:r>
        <w:t>In public administration, the minimum compliance posture should include an AI impact assessment, real-world-context testing, independent evaluation by a reviewing authority not directly involved in development, ongoing monitoring, additional human oversight and fail-safes for decisions affecting rights or safety, and centralized logging of waivers or exceptions. OMB</w:t>
      </w:r>
    </w:p>
    <w:p>
      <w:r>
        <w:rPr>
          <w:color w:val="777777"/>
          <w:sz w:val="16"/>
        </w:rPr>
        <w:t xml:space="preserve">p101 · att1 p.14  </w:t>
      </w:r>
      <w:r>
        <w:t>Memorandum M-24-10 already requires those elements for covered federal uses of AI. EON is therefore best understood in the public sector as an implementation pattern for reviewable human judgment, not as a new normative claim.</w:t>
      </w:r>
    </w:p>
    <w:p>
      <w:r>
        <w:rPr>
          <w:color w:val="777777"/>
          <w:sz w:val="16"/>
        </w:rPr>
        <w:t xml:space="preserve">p102 · att1 p.14  </w:t>
      </w:r>
      <w:r>
        <w:t>Financing, Procurement, and Bankability — EON has financial consequences beyond insurance. A professional AI system with traceable expert oversight becomes easier to finance, purchase, and deploy inside institutions that must survive due diligence.</w:t>
      </w:r>
    </w:p>
    <w:p>
      <w:r>
        <w:rPr>
          <w:color w:val="777777"/>
          <w:sz w:val="16"/>
        </w:rPr>
        <w:t xml:space="preserve">p103 · att1 p.14  </w:t>
      </w:r>
      <w:r>
        <w:t>Banks and institutional lenders do not evaluate AI systems by technical capability alone. They evaluate loss predictability, contractual stability, operational controls, evidence preservation, and the chance that a borrower will face unbounded liability. A professional AI provider that offers high-impact outputs without source records, review trails, sign-off rules, incident bundles, or clear responsibility allocation remains difficult to finance. The lender cannot see where the risk begins, how it moves through the system, which actor absorbs which duty, or where the exposure stops.</w:t>
      </w:r>
    </w:p>
    <w:p>
      <w:r>
        <w:rPr>
          <w:color w:val="777777"/>
          <w:sz w:val="16"/>
        </w:rPr>
        <w:t xml:space="preserve">p104 · att1 p.14  </w:t>
      </w:r>
      <w:r>
        <w:t>EON changes that profile by turning expert oversight into financial evidence.</w:t>
      </w:r>
    </w:p>
    <w:p>
      <w:r>
        <w:rPr>
          <w:color w:val="777777"/>
          <w:sz w:val="16"/>
        </w:rPr>
        <w:t xml:space="preserve">p105 · att1 p.14  </w:t>
      </w:r>
      <w:r>
        <w:t>A lender can examine review coverage, risk-tier rules, expert qualification standards, correction rates, unresolved conflict rates, escalation protocols, audit-log completeness, insurance coverage, and incident reconstruction procedures. These are operational controls. They show whether the system has a working method for detecting error, routing judgment, preserving evidence, and limiting loss.</w:t>
      </w:r>
    </w:p>
    <w:p>
      <w:r>
        <w:rPr>
          <w:color w:val="777777"/>
          <w:sz w:val="16"/>
        </w:rPr>
        <w:t xml:space="preserve">p106 · att1 p.15  </w:t>
      </w:r>
      <w:r>
        <w:t>This matters for AI companies seeking debt financing or infrastructure-scale capital. Without a traceable responsibility structure, the company remains heavily dependent on equity financing, forward-looking valuation narratives, or strategic investors willing to absorb uncertainty. With</w:t>
      </w:r>
    </w:p>
    <w:p>
      <w:r>
        <w:rPr>
          <w:color w:val="777777"/>
          <w:sz w:val="16"/>
        </w:rPr>
        <w:t xml:space="preserve">p107 · att1 p.15  </w:t>
      </w:r>
      <w:r>
        <w:t>EON, the company can present a more bankable operating model: professional outputs are risk-classified, high-risk cases are reviewed, critical cases require sign-off, expert corrections are logged, disputes are preserved, and failures can be reconstructed.</w:t>
      </w:r>
    </w:p>
    <w:p>
      <w:r>
        <w:rPr>
          <w:color w:val="777777"/>
          <w:sz w:val="16"/>
        </w:rPr>
        <w:t xml:space="preserve">p108 · att1 p.15  </w:t>
      </w:r>
      <w:r>
        <w:t>The same logic applies to enterprise procurement. Hospitals, law firms, banks, insurers, engineering firms, and public agencies do not buy high-risk AI merely because benchmark performance is strong. Their legal, compliance, finance, risk, and insurance teams must approve deployment. EON gives those teams something concrete to inspect. They can ask: What percentage of outputs are reviewed? Which outputs require mandatory review? What qualifications do reviewers hold? How are disagreements handled? What records survive after an incident? Which liabilities remain with the vendor, deployer, expert reviewer, and end user?</w:t>
      </w:r>
    </w:p>
    <w:p>
      <w:r>
        <w:rPr>
          <w:color w:val="777777"/>
          <w:sz w:val="16"/>
        </w:rPr>
        <w:t xml:space="preserve">p109 · att1 p.15  </w:t>
      </w:r>
      <w:r>
        <w:t>A generic human-in-the-loop promise cannot answer those questions. EON can, because it binds human judgment to records, credentials, review states, escalation rules, and sign-off authority.</w:t>
      </w:r>
    </w:p>
    <w:p>
      <w:r>
        <w:rPr>
          <w:color w:val="777777"/>
          <w:sz w:val="16"/>
        </w:rPr>
        <w:t xml:space="preserve">p110 · att1 p.15  </w:t>
      </w:r>
      <w:r>
        <w:t>This is why expert oversight should be understood as commercial infrastructure. It makes AI professional services easier to contract, audit, finance, insure, and scale. A buyer purchases more than model access; it purchases an operating structure with defined controls, review states, evidence trails, and responsibility boundaries.</w:t>
      </w:r>
    </w:p>
    <w:p>
      <w:r>
        <w:rPr>
          <w:color w:val="777777"/>
          <w:sz w:val="16"/>
        </w:rPr>
        <w:t xml:space="preserve">p111 · att1 p.15  </w:t>
      </w:r>
      <w:r>
        <w:t>EON therefore changes the financial status of professional AI. It moves AI systems from venture-funded capability demonstrations toward institutional-grade service infrastructure.</w:t>
      </w:r>
    </w:p>
    <w:p>
      <w:r>
        <w:rPr>
          <w:color w:val="777777"/>
          <w:sz w:val="16"/>
        </w:rPr>
        <w:t xml:space="preserve">p112 · att1 p.15  </w:t>
      </w:r>
      <w:r>
        <w:t>Capability attracts attention. Traceable judgment attracts capital that must survive due diligence.</w:t>
      </w:r>
    </w:p>
    <w:p>
      <w:r>
        <w:rPr>
          <w:color w:val="777777"/>
          <w:sz w:val="16"/>
        </w:rPr>
        <w:t xml:space="preserve">p113 · att1 p.15  </w:t>
      </w:r>
      <w:r>
        <w:t>Once expert judgment becomes traceable, professional AI becomes more insurable, more purchasable, and more bankable.</w:t>
      </w:r>
    </w:p>
    <w:p>
      <w:r>
        <w:rPr>
          <w:color w:val="777777"/>
          <w:sz w:val="16"/>
        </w:rPr>
        <w:t xml:space="preserve">p114 · att1 p.15  </w:t>
      </w:r>
      <w:r>
        <w:t>Implementation, Conclusion, and Policy Recommendations — A practical implementation path begins with narrow scope. The first milestone is not full expert-marketplace scale. It is the creation of the memory objects defined above, because without claim-level provenance and update events there is nothing reliable to review. The second milestone is a credentialing and routing service that can bind reviewers to domain, jurisdiction, and conflict rules. The third milestone is a pilot in one domain with two review modes only: random sampling for low-risk outputs and mandatory pre-delivery review for a strictly defined high-risk subset. The fourth milestone is a visible review-state label and audit portal for enterprise customers. The fifth milestone is an incident-response and insurer evidence package. The sixth milestone is expansion from one domain to multi-domain operations only after correction rates, reviewer disagreement rates, and latency targets stabilize.</w:t>
      </w:r>
    </w:p>
    <w:p>
      <w:r>
        <w:rPr>
          <w:color w:val="777777"/>
          <w:sz w:val="16"/>
        </w:rPr>
        <w:t xml:space="preserve">p115 · att1 p.16  </w:t>
      </w:r>
      <w:r>
        <w:t>This sequence follows the same logic that NIST, OMB, and SR 11-7 all favor: governance, documentation, testing, independent review, and continuous monitoring before scale.</w:t>
      </w:r>
    </w:p>
    <w:p>
      <w:r>
        <w:rPr>
          <w:color w:val="777777"/>
          <w:sz w:val="16"/>
        </w:rPr>
        <w:t xml:space="preserve">p116 · att1 p.16  </w:t>
      </w:r>
      <w:r>
        <w:t>The practical priority order is clear. Build the records first. Then build the review gates. Then build the contractual and insurance interfaces. Many AI providers attempt the reverse order.</w:t>
      </w:r>
    </w:p>
    <w:p>
      <w:r>
        <w:rPr>
          <w:color w:val="777777"/>
          <w:sz w:val="16"/>
        </w:rPr>
        <w:t xml:space="preserve">p117 · att1 p.16  </w:t>
      </w:r>
      <w:r>
        <w:t>They market reliability, promise safety, and negotiate liability carve-outs before they can reconstruct how a consequential output reached its final form. That sequence is unstable. EON inverts it. It treats professional review as a state machine with evidence, not as an assurance slogan.</w:t>
      </w:r>
    </w:p>
    <w:p>
      <w:r>
        <w:rPr>
          <w:color w:val="777777"/>
          <w:sz w:val="16"/>
        </w:rPr>
        <w:t xml:space="preserve">p118 · att1 p.16  </w:t>
      </w:r>
      <w:r>
        <w:t>The conclusion is limited but strong. Vol. 1 supplied the technical substrate for Presence. Vol. 2 supplied the institutional substrate for Integrity. Vol. 3 supplies the professional verification layer that makes those substrates usable in high-stakes domains. Expert judgment only strengthens AI governance when it is bound to provenance, written into memory, exposed through review states, and tied to a responsibility architecture. Otherwise, “human oversight”</w:t>
      </w:r>
    </w:p>
    <w:p>
      <w:r>
        <w:rPr>
          <w:color w:val="777777"/>
          <w:sz w:val="16"/>
        </w:rPr>
        <w:t xml:space="preserve">p119 · att1 p.16  </w:t>
      </w:r>
      <w:r>
        <w:t>remains mostly ceremonial. EON is valuable because it makes human judgment locatable.</w:t>
      </w:r>
    </w:p>
    <w:p>
      <w:r>
        <w:rPr>
          <w:color w:val="777777"/>
          <w:sz w:val="16"/>
        </w:rPr>
        <w:t xml:space="preserve">p120 · att1 p.16  </w:t>
      </w:r>
      <w:r>
        <w:t>The policy recommendations follow directly. Regulators should recognize traceable, risk-calibrated expert review as a valid form of effective human oversight where the system preserves logs, identifies review scope, and defines override authority. Providers of high-risk professional AI should expose machine-readable review states to downstream actors rather than presenting all outputs as equivalent. Procurement rules and enterprise contracts should require access to audit records sufficient to reconstruct source, review, conflict, update, and sign-off history. Professional bodies should define minimum competency, conflict, and jurisdiction rules for AI oversight work, so that “expert reviewer” becomes a governed role rather than an informal label. Insurers should condition coverage improvements on evidence quality rather than on marketing claims about alignment or model character. Those recommendations are modest. They do not require fully interpretable models. They require a system in which responsibility can move through records rather than through guesswork.</w:t>
      </w:r>
    </w:p>
    <w:p>
      <w:r>
        <w:rPr>
          <w:color w:val="777777"/>
          <w:sz w:val="16"/>
        </w:rPr>
        <w:t xml:space="preserve">p121 · att1 p.17  </w:t>
      </w:r>
      <w:r>
        <w:t>References — Guo, Xiangyu. Frame Theory for Artificial Intelligence: Presence × Integrity as the Structural Law of</w:t>
      </w:r>
    </w:p>
    <w:p>
      <w:r>
        <w:rPr>
          <w:color w:val="777777"/>
          <w:sz w:val="16"/>
        </w:rPr>
        <w:t xml:space="preserve">p122 · att1 p.17  </w:t>
      </w:r>
      <w:r>
        <w:t>Trust and Governance. 2025. Zenodo — Guo, Xiangyu. Frame Infrastructure for AI, Vol. 1: Beyond Human-Like Memory — Toward a</w:t>
      </w:r>
    </w:p>
    <w:p>
      <w:r>
        <w:rPr>
          <w:color w:val="777777"/>
          <w:sz w:val="16"/>
        </w:rPr>
        <w:t xml:space="preserve">p123 · att1 p.17  </w:t>
      </w:r>
      <w:r>
        <w:t>Machine-Native Architecture of Structural Persistence. Zenodo, 2025. DOI: 10.5281/zenodo.20738963.</w:t>
      </w:r>
    </w:p>
    <w:p>
      <w:r>
        <w:rPr>
          <w:color w:val="777777"/>
          <w:sz w:val="16"/>
        </w:rPr>
        <w:t xml:space="preserve">p124 · att1 p.17  </w:t>
      </w:r>
      <w:r>
        <w:t>Guo, Xiangyu. Frame Infrastructure for AI, Vol. 2: From Black-Box Safety to Traceable</w:t>
      </w:r>
    </w:p>
    <w:p>
      <w:r>
        <w:rPr>
          <w:color w:val="777777"/>
          <w:sz w:val="16"/>
        </w:rPr>
        <w:t xml:space="preserve">p125 · att1 p.17  </w:t>
      </w:r>
      <w:r>
        <w:t>Responsibility — Machine-Native Memory, Liability Allocation, and the Insurability of AI Risk.</w:t>
      </w:r>
    </w:p>
    <w:p>
      <w:r>
        <w:rPr>
          <w:color w:val="777777"/>
          <w:sz w:val="16"/>
        </w:rPr>
        <w:t xml:space="preserve">p126 · att1 p.17  </w:t>
      </w:r>
      <w:r>
        <w:t>Zenodo, 2025. DOI: 10.5281/zenodo.20738983.</w:t>
      </w:r>
    </w:p>
    <w:p>
      <w:r>
        <w:rPr>
          <w:color w:val="777777"/>
          <w:sz w:val="16"/>
        </w:rPr>
        <w:t xml:space="preserve">p127 · att1 p.17  </w:t>
      </w:r>
      <w:r>
        <w:t>Guo, Xiangyu. Expert Oversight Network (EON): A Paradigm for Trustworthy AI-Driven Professional — Advice. Pre-existing article, 2025.</w:t>
      </w:r>
    </w:p>
    <w:p>
      <w:r>
        <w:rPr>
          <w:color w:val="777777"/>
          <w:sz w:val="16"/>
        </w:rPr>
        <w:t xml:space="preserve">p128 · att1 p.17  </w:t>
      </w:r>
      <w:r>
        <w:t>NIST. Artificial Intelligence Risk Management Framework (AI RMF 1.0). NIST AI 100-1, 2023.</w:t>
      </w:r>
    </w:p>
    <w:p>
      <w:r>
        <w:rPr>
          <w:color w:val="777777"/>
          <w:sz w:val="16"/>
        </w:rPr>
        <w:t xml:space="preserve">p129 · att1 p.17  </w:t>
      </w:r>
      <w:r>
        <w:t>NIST. Artificial Intelligence Risk Management Framework: Generative Artificial Intelligence Profile.</w:t>
      </w:r>
    </w:p>
    <w:p>
      <w:r>
        <w:rPr>
          <w:color w:val="777777"/>
          <w:sz w:val="16"/>
        </w:rPr>
        <w:t xml:space="preserve">p130 · att1 p.17  </w:t>
      </w:r>
      <w:r>
        <w:t>NIST AI 600-1, 2024.</w:t>
      </w:r>
    </w:p>
    <w:p>
      <w:r>
        <w:rPr>
          <w:color w:val="777777"/>
          <w:sz w:val="16"/>
        </w:rPr>
        <w:t xml:space="preserve">p131 · att1 p.17  </w:t>
      </w:r>
      <w:r>
        <w:t>World Wide Web Consortium. PROV-DM: The PROV Data Model and PROV-Overview. 2013.</w:t>
      </w:r>
    </w:p>
    <w:p>
      <w:r>
        <w:rPr>
          <w:color w:val="777777"/>
          <w:sz w:val="16"/>
        </w:rPr>
        <w:t xml:space="preserve">p132 · att1 p.17  </w:t>
      </w:r>
      <w:r>
        <w:t>European Union. Regulation (EU) 2024/1689, Artificial Intelligence Act. Official Journal of the — European Union, 2024.</w:t>
      </w:r>
    </w:p>
    <w:p>
      <w:r>
        <w:rPr>
          <w:color w:val="777777"/>
          <w:sz w:val="16"/>
        </w:rPr>
        <w:t xml:space="preserve">p133 · att1 p.17  </w:t>
      </w:r>
      <w:r>
        <w:t>NIST. Guide to Computer Security Log Management. SP 800-92, 2006.</w:t>
      </w:r>
    </w:p>
    <w:p>
      <w:r>
        <w:rPr>
          <w:color w:val="777777"/>
          <w:sz w:val="16"/>
        </w:rPr>
        <w:t xml:space="preserve">p134 · att1 p.18  </w:t>
      </w:r>
      <w:r>
        <w:t>Board of Governors of the Federal Reserve System and Office of the Comptroller of the</w:t>
      </w:r>
    </w:p>
    <w:p>
      <w:r>
        <w:rPr>
          <w:color w:val="777777"/>
          <w:sz w:val="16"/>
        </w:rPr>
        <w:t xml:space="preserve">p135 · att1 p.18  </w:t>
      </w:r>
      <w:r>
        <w:t>Currency. Supervisory Guidance on Model Risk Management. SR 11-7, 2011.</w:t>
      </w:r>
    </w:p>
    <w:p>
      <w:r>
        <w:rPr>
          <w:color w:val="777777"/>
          <w:sz w:val="16"/>
        </w:rPr>
        <w:t xml:space="preserve">p136 · att1 p.18  </w:t>
      </w:r>
      <w:r>
        <w:t>U.S. Food and Drug Administration. Clinical Decision Support Software: Guidance for Industry and</w:t>
      </w:r>
    </w:p>
    <w:p>
      <w:r>
        <w:rPr>
          <w:color w:val="777777"/>
          <w:sz w:val="16"/>
        </w:rPr>
        <w:t xml:space="preserve">p137 · att1 p.18  </w:t>
      </w:r>
      <w:r>
        <w:t>Food and Drug Administration Staff. 2026.</w:t>
      </w:r>
    </w:p>
    <w:p>
      <w:r>
        <w:rPr>
          <w:color w:val="777777"/>
          <w:sz w:val="16"/>
        </w:rPr>
        <w:t xml:space="preserve">p138 · att1 p.18  </w:t>
      </w:r>
      <w:r>
        <w:t>Office of Management and Budget. Memorandum M-24-10, Advancing Governance, Innovation, and Risk Management for Agency Use of Artificial Intelligence. 2024.</w:t>
      </w:r>
    </w:p>
    <w:p>
      <w:r>
        <w:rPr>
          <w:color w:val="777777"/>
          <w:sz w:val="16"/>
        </w:rPr>
        <w:t xml:space="preserve">p139 · att1 p.18  </w:t>
      </w:r>
      <w:r>
        <w:t>Merken, Sara. “Lawyers using AI must heed ethics rules, ABA says in first formal guidance.”</w:t>
      </w:r>
    </w:p>
    <w:p>
      <w:r>
        <w:rPr>
          <w:color w:val="777777"/>
          <w:sz w:val="16"/>
        </w:rPr>
        <w:t xml:space="preserve">p140 · att1 p.18  </w:t>
      </w:r>
      <w:r>
        <w:t>Reuters, 2024.</w:t>
      </w:r>
    </w:p>
    <w:p>
      <w:pPr>
        <w:pStyle w:val="Heading1"/>
        <w:pageBreakBefore/>
      </w:pPr>
      <w:r>
        <w:t>FDA-2026-N-7874-0093</w:t>
      </w:r>
    </w:p>
    <w:p>
      <w:r>
        <w:t>Comment from Steven Zhao</w:t>
      </w:r>
    </w:p>
    <w:p>
      <w:r>
        <w:rPr>
          <w:color w:val="777777"/>
          <w:sz w:val="18"/>
        </w:rPr>
        <w:t>received 2026-09-14 · attachments: attachment_1.pdf (7 pp)</w:t>
      </w:r>
    </w:p>
    <w:p>
      <w:r>
        <w:rPr>
          <w:color w:val="777777"/>
          <w:sz w:val="16"/>
        </w:rPr>
        <w:t xml:space="preserve">p001 · body  </w:t>
      </w:r>
      <w:r>
        <w:t>See attached file(s)</w:t>
      </w:r>
    </w:p>
    <w:p>
      <w:r>
        <w:rPr>
          <w:color w:val="777777"/>
          <w:sz w:val="16"/>
        </w:rPr>
        <w:t xml:space="preserve">p002 · att1 p.1  </w:t>
      </w:r>
      <w:r>
        <w:t>Comment to Docket No. FDA-2026-N-7874 — Submitter: Steven Zhao - Individual (no organizational affiliation)</w:t>
      </w:r>
    </w:p>
    <w:p>
      <w:r>
        <w:rPr>
          <w:color w:val="777777"/>
          <w:sz w:val="16"/>
        </w:rPr>
        <w:t xml:space="preserve">p003 · att1 p.1  </w:t>
      </w:r>
      <w:r>
        <w:t>Docket: FDA-2026-N-7874 - Considerations for the Regulation of Generative AI-Enabled Medical Devices: Discussion Paper and Request for Feedback (FDA / CDRH / DHCoE; released 2026-08-18) Comment period closes: October 19, 2026 (verified live 2026-09-14) Submitter type: Individual (no organizational affiliation) - a single author submits this comment Submitter: Steven Zhao - independent medical device regulatory practitioner; maintains MedXpert, a personal regulatory-knowledge project Contact: provided in the submission form only (not reproduced in this document) Document note: this comment was drafted with AI tools and reviewed and approved by the named signatory, who takes full responsibility for its content.</w:t>
      </w:r>
    </w:p>
    <w:p>
      <w:r>
        <w:rPr>
          <w:color w:val="777777"/>
          <w:sz w:val="16"/>
        </w:rPr>
        <w:t xml:space="preserve">p004 · att1 p.1  </w:t>
      </w:r>
      <w:r>
        <w:t>Executive summary — 1. I support the proposed direction - the two-axis risk framework, competency-based premarket evaluation, risk-proportionate postmarket monitoring, and voluntary Foundation Model Master Files (MAFs).</w:t>
      </w:r>
    </w:p>
    <w:p>
      <w:r>
        <w:rPr>
          <w:color w:val="777777"/>
          <w:sz w:val="16"/>
        </w:rPr>
        <w:t xml:space="preserve">p005 · att1 p.1  </w:t>
      </w:r>
      <w:r>
        <w:t>2. I recommend adding change dynamics as a formal third calibration dimension, and treating output-to-source traceability as a risk-relevant capability.</w:t>
      </w:r>
    </w:p>
    <w:p>
      <w:r>
        <w:rPr>
          <w:color w:val="777777"/>
          <w:sz w:val="16"/>
        </w:rPr>
        <w:t xml:space="preserve">p006 · att1 p.1  </w:t>
      </w:r>
      <w:r>
        <w:t>3. I recommend making the framework operational by reusing machinery manufacturers already run - design controls, supplier controls, and change management - rather than standing up a parallel track: registered and versioned benchmarks, a structured model card / evidence dossier (following the paper's "model cards or system cards" framing), predetermined-gate change control (an evolution of PCCP), and version chain-of-custody.</w:t>
      </w:r>
    </w:p>
    <w:p>
      <w:r>
        <w:rPr>
          <w:color w:val="777777"/>
          <w:sz w:val="16"/>
        </w:rPr>
        <w:t xml:space="preserve">p007 · att1 p.1  </w:t>
      </w:r>
      <w:r>
        <w:t>4. I respond to all 26 discussion questions below.</w:t>
      </w:r>
    </w:p>
    <w:p>
      <w:r>
        <w:rPr>
          <w:color w:val="777777"/>
          <w:sz w:val="16"/>
        </w:rPr>
        <w:t xml:space="preserve">p008 · att1 p.1  </w:t>
      </w:r>
      <w:r>
        <w:t>Thank you for the opportunity to comment. I am an independent medical device regulatory practitioner working across the US (FDA), EU (MDR), and China (NMPA) markets, with a parallel focus on lifecycle assurance frameworks for AI systems. This comment is submitted in my personal capacity, without organizational affiliation. Per the Agency's invitation, I respond below to the discussion questions, with emphasis on benchmark governance, change control for continuously adjusting systems, and the treatment of third-party foundation models.</w:t>
      </w:r>
    </w:p>
    <w:p>
      <w:r>
        <w:rPr>
          <w:color w:val="777777"/>
          <w:sz w:val="16"/>
        </w:rPr>
        <w:t xml:space="preserve">p009 · att1 p.1  </w:t>
      </w:r>
      <w:r>
        <w:t>My overall position: the framework sketched in the paper - two-axis risk assessment, a competency-based premarket approach, risk-proportionate postmarket monitoring, and voluntary Foundation Model Master Files (MAFs) - is coherent and worth pursuing. The suggestions below aim to make it operational using constructs device manufacturers already practice (design controls, supplier controls, change management), so that GenAI-enabled devices can be absorbed into existing regulatory machinery rather than requiring a parallel track.</w:t>
      </w:r>
    </w:p>
    <w:p>
      <w:r>
        <w:rPr>
          <w:color w:val="777777"/>
          <w:sz w:val="16"/>
        </w:rPr>
        <w:t xml:space="preserve">p010 · att1 p.1  </w:t>
      </w:r>
      <w:r>
        <w:t>A. Risk Assessment (Questions 1-6) — Q1 (two-axis framework; additional dimensions). The two axes - device activity (degree and independence of action) and consequences of relying on an incorrect output - capture the most decision-relevant variance, and I support their adoption as an organizing heuristic. Among the additional dimensions FDA lists, I recommend formalizing change dynamics alongside the four named examples (reversibility, downstream safeguards, time pressure, traceability): the degree to which the deployed behavior depends on a frozen model version behind formal change control, on sponsor-initiated updates, or on a third-party foundation model the sponsor does not control. Two devices identical on both axes can carry materially different lifecycle risk depending on who initiates change and whether evaluation gates exist between change and deployment. Formalizing this dimension in Section IV would let the same construct carry through Sections VI and VII (re-benchmarking triggers, PCCP scoping, and Foundation Model MAF reference), giving the framework a single spine. On traceability of outputs to primary source materials: for GenAI-enabled functions with retrieval or documentation inputs, I suggest FDA treat source attribution as a risk-relevant capability - devices that can cite and expose their provenance migrate lower on the risk gradient than devices that cannot, because users can independently verify rather than trust.</w:t>
      </w:r>
    </w:p>
    <w:p>
      <w:r>
        <w:rPr>
          <w:color w:val="777777"/>
          <w:sz w:val="16"/>
        </w:rPr>
        <w:t xml:space="preserve">p011 · att1 p.2  </w:t>
      </w:r>
      <w:r>
        <w:t>Q2 (directiveness continuum). I agree directiveness is a continuum, and that it depends on the substance and context of the output rather than on the presence of words like "recommend." I suggest FDA define a small set of objective output characteristics as risk modifiers, which sponsors would document at design time and test at benchmarking time: (i) personalization (generic information vs. information conditioned on the individual's data); (ii) specificity (a named action, dose, or destination vs. a general option set); (iii) consequence framing (whether the output forecloses or ranks alternatives); and (iv) interaction design (one-shot display vs. persistent, resurfaced, or notification-style delivery, which raises the salience of and reliance on the output). A short guidance table mapping these modifiers to presumptive risk would give manufacturers the predictability FDA asks for without drawing a binary line. I also agree that disclaimer boilerplate ("talk to your doctor") should not lower a function's directiveness classification.</w:t>
      </w:r>
    </w:p>
    <w:p>
      <w:r>
        <w:rPr>
          <w:color w:val="777777"/>
          <w:sz w:val="16"/>
        </w:rPr>
        <w:t xml:space="preserve">p012 · att1 p.2  </w:t>
      </w:r>
      <w:r>
        <w:t>Q3 (patient-facing vs. HCP-facing). Risk does increase when the user lacks the domain knowledge to independently evaluate the output, and I support shifting patient-facing functions higher on the consequences axis where outputs concern triage, dose, or escalation. Mitigations that preserve patient empowerment without underestimating patient capability: calibrated uncertainty communication (element S.3), escalation language that names concrete timeframes and settings rather than vague caution, comprehension testing at varied health-literacy levels (element E.4), and design features that surface the basis for an output. Notably, E.4's treatment of automation bias - users accepting outputs because of fluency or perceived authority - is itself a patient-facing risk amplifier and should be a scored element for any patient-facing device.</w:t>
      </w:r>
    </w:p>
    <w:p>
      <w:r>
        <w:rPr>
          <w:color w:val="777777"/>
          <w:sz w:val="16"/>
        </w:rPr>
        <w:t xml:space="preserve">p013 · att1 p.2  </w:t>
      </w:r>
      <w:r>
        <w:t>Q4 (generalist vs. specialist). I recommend the framework ask two separate questions: whether the device's safe use depends on specialist contextualization, and whether its deployment assumes specialist availability. A device that extends specialty knowledge to generalist settings (an access benefit) and one whose outputs are unsafe without specialist interpretation (an elevated risk) can look identical at the function level. The differentiator is testable under the existing elements: does the device correctly recognize the boundary of its own competence and defer (S.3), and does it maintain calibration when queried beyond its reliable knowledge (E.1)? Where a device is intended for generalist use in a specialist domain, benchmarking datasets should be drawn from the generalist deployment context, not from specialist-curated cases.</w:t>
      </w:r>
    </w:p>
    <w:p>
      <w:r>
        <w:rPr>
          <w:color w:val="777777"/>
          <w:sz w:val="16"/>
        </w:rPr>
        <w:t xml:space="preserve">p014 · att1 p.2  </w:t>
      </w:r>
      <w:r>
        <w:t>Q5 (multi-turn migration; emergent intended use). I recommend characterizing intended use for conversational devices as a bounded envelope of conversation states: the sponsor declares which functional states the device may enter (informational, action-directing, escalation), the permitted transitions between them, and the mechanisms - guardrails, context windows, boundary classifiers - that hold the interaction inside the envelope. Risk would then be assessed across realistic conversational trajectories, exactly as FDA proposes, with the envelope itself as the reviewable artifact: the premarket question is not "what does the device say at turn N" but "does the interaction stay inside the declared envelope under adversarial and drift-inducing trajectories." This connects directly to element S.2's cumulative multi-turn drift testing and gives reviewers a stable intended-use construct despite emergent behavior.</w:t>
      </w:r>
    </w:p>
    <w:p>
      <w:r>
        <w:rPr>
          <w:color w:val="777777"/>
          <w:sz w:val="16"/>
        </w:rPr>
        <w:t xml:space="preserve">p015 · att1 p.2  </w:t>
      </w:r>
      <w:r>
        <w:t>Q6 (under- vs. over-escalation). Both directions of error should be characterized and reported separately, with context-specific weighting. I suggest sponsors pre-specify, by clinical context: the harms and their distributions for each error direction (delayed care vs. anxiety, unnecessary utilization, erosion of trust), the metrics for each (time-to-escalation distributions, over-escalation rates in low-prevalence populations), and the acceptable trade-off and its justification. Because the trade-offs are not commensurable, FDA should not attempt a single cross-context weighting; instead, require sponsors to declare and defend their weighting per deployment context, with both directions of error reported as paired endpoints in benchmarking (S.1) and clinical confirmation.</w:t>
      </w:r>
    </w:p>
    <w:p>
      <w:r>
        <w:rPr>
          <w:color w:val="777777"/>
          <w:sz w:val="16"/>
        </w:rPr>
        <w:t xml:space="preserve">p016 · att1 p.2  </w:t>
      </w:r>
      <w:r>
        <w:t>B. Premarket Evaluation - Competency-Based Approach (Questions 7-17) — Q7 (usefulness of competency approach). Yes - benchmarking followed by clinical confirmation is a useful and appropriate frame, in large part because the paper correctly anchors evaluation to the final user-facing device as configured for deployment, not the foundation model standing alone. This keeps accountability with the sponsor who controls prompts, guardrails, orchestration, and user interface. The competency analogy also usefully shifts the evidentiary question from "was every input tested" (impossible) to "were the relevant competencies demonstrated" (tractable).</w:t>
      </w:r>
    </w:p>
    <w:p>
      <w:r>
        <w:rPr>
          <w:color w:val="777777"/>
          <w:sz w:val="16"/>
        </w:rPr>
        <w:t xml:space="preserve">p017 · att1 p.3  </w:t>
      </w:r>
      <w:r>
        <w:t>Q8 (two-axis -&gt; level of evidence). I suggest FDA publish a non-binding mapping table - axis positions and change-dynamics profile to expected benchmarking elements, confirmation approaches, and re-benchmarking cadence - analogous to how risk levels map to regulatory controls today. Even as a heuristic, such a table would do more for predictability than any single guidance paragraph, and it would let sponsors self-scope submissions and pre-align with reviewers. The table should be explicitly non-exhaustive and updatable as methodologies mature.</w:t>
      </w:r>
    </w:p>
    <w:p>
      <w:r>
        <w:rPr>
          <w:color w:val="777777"/>
          <w:sz w:val="16"/>
        </w:rPr>
        <w:t xml:space="preserve">p018 · att1 p.3  </w:t>
      </w:r>
      <w:r>
        <w:t>Q9 (elements adequate; external standards). The element set (Safety S.1-S.3; Clinical Proficiency E.1-E.4; Generalizability R.1-R.2; Agentic A.1) is well-constructed, and I particularly endorse the symmetric treatment of under-/over-escalation and under-/over-refusal. Two suggestions: (i) a provenance element. Consider adding under Safety or Clinical Proficiency: whether the device accurately attributes outputs to sources where sources exist, and flags when it cannot - this operationalizes the traceability dimension FDA raises in Q1, and it is the single most reviewable safeguard against confabulation appearing authoritative. (ii) Leverage external standards. Rather than building from scratch, FDA could recognize: ISO/IEC 42001 (AI management systems - governance and documentation spine), ISO/IEC 23894 (AI risk management - complements ISO 14971 for AI systems), NIST AI Risk Management Framework (measurement and governance language manufacturers increasingly use), and the AI-specific reporting guidelines (CONSORT-AI, SPIRIT-AI, DECIDE-AI) for the clinical confirmation arm. Element-level mapping to recognized standards would let sponsors reuse existing governance artifacts instead of generating parallel documentation.</w:t>
      </w:r>
    </w:p>
    <w:p>
      <w:r>
        <w:rPr>
          <w:color w:val="777777"/>
          <w:sz w:val="16"/>
        </w:rPr>
        <w:t xml:space="preserve">p019 · att1 p.3  </w:t>
      </w:r>
      <w:r>
        <w:t>Q10 (contamination, saturation, construct validity; sponsor-developed benchmarks). Performance on a benchmark predicts real-world behavior only if three conditions hold and are documented: (i) sequestration - test assets were not in training or fine-tuning data (provenance declaration plus contamination checks); (ii) currency - assets are versioned and rotated or refreshed on a defined cadence, with saturation monitored (a benchmark whose scores plateau across model generations is saturated); (iii) construct validity - demonstrated correlation between benchmark performance and deployment-distribution performance for the intended use, ideally established through shadow deployment or retrospective real-input studies. On sponsor-developed benchmarks: they should be permitted and expected for intended-use-specific competencies, but with mandatory disclosure, versioning, and - where the benchmark gates safety-critical elements - independent third-party custodianship or adjudication (see Q16), precisely to mitigate the optimization-to-test concern FDA identifies. The combination "registered public benchmarks for general competencies + disclosed, custodied sponsor benchmarks for intended-use-specific competencies" balances independence with relevance.</w:t>
      </w:r>
    </w:p>
    <w:p>
      <w:r>
        <w:rPr>
          <w:color w:val="777777"/>
          <w:sz w:val="16"/>
        </w:rPr>
        <w:t xml:space="preserve">p020 · att1 p.3  </w:t>
      </w:r>
      <w:r>
        <w:t>Q11 (selecting and justifying a confirmation approach). The ladder of increasing rigor (retrospective evaluation -&gt; shadow deployment -&gt; standardized patient interactions -&gt; clinician adjudication -&gt; prospective study) is a sound menu. I suggest the selection be justified along three dimensions declared in advance: position on the consequences axis (and action-taking vs. informational), position on the activity/autonomy axis, and the nature of the patient data the device acts on. The anticipated distribution of real-world inputs should be established from design-stage inputs (human factors studies, market and workflow analysis) and documented as the sampling frame for confirmation - reviewers can then verify that the confirmation sample represents that frame. I agree prospective studies should remain reserved for high-consequence, high-autonomy cases; requiring them generally would push developers away from declaring intended uses honestly.</w:t>
      </w:r>
    </w:p>
    <w:p>
      <w:r>
        <w:rPr>
          <w:color w:val="777777"/>
          <w:sz w:val="16"/>
        </w:rPr>
        <w:t xml:space="preserve">p021 · att1 p.3  </w:t>
      </w:r>
      <w:r>
        <w:t>Q12 (statistical meaningfulness; combining evidence). I recommend against pooling benchmarking and clinical confirmation into a single performance estimate. They measure different constructs: benchmarking samples capability space (deliberately broad, including boundary and adversarial cases), while clinical confirmation samples the deployment distribution (realistic prevalence, realistic users). They can be combined in a pre-specified hierarchical inference structure - e.g., benchmarking establishes capability bounds, confirmation establishes deployment performance, and the submission argues safety and effectiveness within those bounds - but not merged as if drawn from one distribution. Where synthetic inputs supplement real data, sponsors should document the generative process, quantify distributional differences, and present sensitivity analyses rather than point estimates alone.</w:t>
      </w:r>
    </w:p>
    <w:p>
      <w:r>
        <w:rPr>
          <w:color w:val="777777"/>
          <w:sz w:val="16"/>
        </w:rPr>
        <w:t xml:space="preserve">p022 · att1 p.4  </w:t>
      </w:r>
      <w:r>
        <w:t>Q13 (synthetic data suitability; safeguards). Synthetic data is well-suited for rare-event enrichment, boundary-condition testing, adversarial prompting, and multi-turn trajectory generation; it is least reliable as a proxy for population-level performance in underrepresented subgroups, precisely because a generator trained on the world's gaps reproduces them. Safeguards: an independent generation pipeline (not the same model family as the device under evaluation where feasible, or at minimum documented and justified); provenance and labeling of all synthetic samples; subgroup-stratified validation of synthetic samples against real distributions before use; and human adjudication of a sample of synthetic cases for clinical plausibility. I support FDA's framing that synthetic supplementation of hard-to-sample subgroups is acceptable only with demonstrated representativeness.</w:t>
      </w:r>
    </w:p>
    <w:p>
      <w:r>
        <w:rPr>
          <w:color w:val="777777"/>
          <w:sz w:val="16"/>
        </w:rPr>
        <w:t xml:space="preserve">p023 · att1 p.4  </w:t>
      </w:r>
      <w:r>
        <w:t>Q14 (comparators and acceptance criteria). Comparator selection should follow the autonomy axis: for HCP-in-the-loop devices, the relevant standard is human-AI team performance against the team that would exist without the device; for autonomous devices, device-alone performance against the applicable standard of care. Panel-of-clinicians consensus is a workable standard for open-ended outputs provided that: adjudicators are independent of the sponsor and any foundation model developer (as the paper already contemplates), the applicable standard (standard of care vs. median clinician) is pre-specified and clinically justified per intended use, and specialist adjudicators are used where outputs fall in specialist domains. I recommend FDA avoid fixing one global standard; the justifiable standard is task- and context-dependent, and the reviewable artifact is the justification, not the label.</w:t>
      </w:r>
    </w:p>
    <w:p>
      <w:r>
        <w:rPr>
          <w:color w:val="777777"/>
          <w:sz w:val="16"/>
        </w:rPr>
        <w:t xml:space="preserve">p024 · att1 p.4  </w:t>
      </w:r>
      <w:r>
        <w:t>Q15 (counterfactual comparators). Yes - for informational and patient-facing functions especially, the most honest comparator is the care, information source, or course of action likely in the device's absence. Approaches: document current-practice pathways from guidelines and utilization data; use retrospective record review to establish the counterfactual distribution of decisions; and, where feasible, shadow deployment to observe the counterfactual concurrently. This also aligns with how benefit-risk is ultimately realized: a GenAI-enabled device that outperforms a median clinician but underperforms existing structured tools in the same workflow may not offer a net benefit worth its risks.</w:t>
      </w:r>
    </w:p>
    <w:p>
      <w:r>
        <w:rPr>
          <w:color w:val="777777"/>
          <w:sz w:val="16"/>
        </w:rPr>
        <w:t xml:space="preserve">p025 · att1 p.4  </w:t>
      </w:r>
      <w:r>
        <w:t>Q16 (independent third parties). I support third-party participation modeled on the existing ASCA and MDDT programs. The most valuable roles: custodianship of sequestered, versioned benchmark assets; conduct or certification of portions of the competency assessment (with CDRH retaining review authority); and independent expert adjudication, including qualification of LLM-based adjudicators themselves (the paper correctly notes these considerations apply when the adjudicator is an LLM). Qualifications and independence criteria should mirror existing accreditation practice - documented independence from sponsor and foundation-model developer, clinical domain credentials, and pre-specified scoring rubrics. Two competition safeguards are critical: no exclusivity (FDA should never require use of a single third party's assets or services, and recognized benchmarks should be publicly specified), and transparent, non-discriminatory access terms. Without these, third-party intermediation risks becoming a bottleneck that prices small developers out. One boundary should be stated: some determinations should remain inside CDRH - notably the final acceptance criteria for safety-critical elements, the determination of intended use, and the premarket review decision itself - because outsourcing them would diffuse, rather than delegate, the Agency's own accountability.</w:t>
      </w:r>
    </w:p>
    <w:p>
      <w:r>
        <w:rPr>
          <w:color w:val="777777"/>
          <w:sz w:val="16"/>
        </w:rPr>
        <w:t xml:space="preserve">p026 · att1 p.4  </w:t>
      </w:r>
      <w:r>
        <w:t>Q17 (other model architectures). The competency frame generalizes, but element emphasis shifts: for multimodal vision-language devices, E.3 (quantitative and measurement analysis) and R.1 (robustness across input conditions) do heavier lifting - image quality variation, sensor artifacts, and modality-mismatch cases belong in benchmarking; for generative or predictive world models used in control or simulation roles, validation against computational-modeling credibility practices (per FDA's guidance on assessing the credibility of computational modeling and simulation) is more instructive than conversational benchmarks. I suggest FDA retain the element architecture but publish applicability notes per architecture, rather than implying one benchmarking battery fits all.</w:t>
      </w:r>
    </w:p>
    <w:p>
      <w:r>
        <w:rPr>
          <w:color w:val="777777"/>
          <w:sz w:val="16"/>
        </w:rPr>
        <w:t xml:space="preserve">p027 · att1 p.5  </w:t>
      </w:r>
      <w:r>
        <w:t>C. Postmarket Monitoring and Change Control (Questions 18-24) — Q18 (accepting premarket uncertainty for postmarket reliance). Appropriate only under conditions that can be verified: (i) the monitoring program has demonstrated signal-detection capability (its own performance characterized, not merely described); (ii) deployment is reversible or containable (outputs are checkable by an available human safeguard, or rollback is feasible); (iii) defined gates exist between detected signal and continued deployment; and (iv) the risk profile sits in the lower/middle of the two-axis framework. It is not appropriate for devices taking high-consequence irreversible actions, devices deployed where monitoring cannot run (no telemetry, low-resource settings), or populations that cannot report failures.</w:t>
      </w:r>
    </w:p>
    <w:p>
      <w:r>
        <w:rPr>
          <w:color w:val="777777"/>
          <w:sz w:val="16"/>
        </w:rPr>
        <w:t xml:space="preserve">p028 · att1 p.5  </w:t>
      </w:r>
      <w:r>
        <w:t>Q19 (approaches; cadence and triggers). The three approaches (periodic re-benchmarking, sample-based clinician review, degradation monitoring) are complementary, not alternative - I recommend requiring a risk-proportionate combination. On cadence and triggers, I suggest FDA define the trigger taxonomy and let sponsors set cadences: scheduled re-assessment (by risk level), event-triggered re-assessment (foundation model updates, changes to retrieval sources or guardrails, drift alerts crossing registered thresholds, complaint or signal clusters, cybersecurity events), and continuous monitoring with escalation thresholds. The premarket benchmarking suite should be designed from the start to double as the re-benchmarking instrument - the paper's framing that the premarket competency assessment becomes the lifecycle baseline is its most valuable operational idea. Two further approaches are worth adding to the menu: (i) small-scale real-world "canary" deployments at instrumented sites ahead of broad release, so that deployment-distribution effects surface while containment is still cheap; and (ii) a periodic input-distribution census, so that drift in the deployed population is detected independently of the model's own logs.</w:t>
      </w:r>
    </w:p>
    <w:p>
      <w:r>
        <w:rPr>
          <w:color w:val="777777"/>
          <w:sz w:val="16"/>
        </w:rPr>
        <w:t xml:space="preserve">p029 · att1 p.5  </w:t>
      </w:r>
      <w:r>
        <w:t>Q20 (machine-based supervisory agents). Yes, with three conditions: the supervisory agent itself must be qualified - its own detection performance, false-negative behavior, and robustness characterized under rigor comparable to a device function; its determinations must be logged and auditable, with periodic human review of a sample including agent-flagged and, importantly, agent-cleared events (the cleared events are where silent failure hides); and the agent must be independent enough that the device is not, in effect, monitoring itself - self-supervision loops where the monitored system and the monitor share components or models should require justification. Machine supervision can meaningfully scale drift detection and complaint triage; it should initiate escalation, not conclude it.</w:t>
      </w:r>
    </w:p>
    <w:p>
      <w:r>
        <w:rPr>
          <w:color w:val="777777"/>
          <w:sz w:val="16"/>
        </w:rPr>
        <w:t xml:space="preserve">p030 · att1 p.5  </w:t>
      </w:r>
      <w:r>
        <w:t>Q21 (ecosystem roles without diffusing accountability). Clinicians and institutions are well-placed to report output-quality events and context-specific failures; professional societies can contribute adjudication standards and rubrics; standards bodies can carry benchmark and reporting formats. The accountability-preserving design principle: stakeholders detect and report; the manufacturer remains responsible for evaluation, thresholds, and response. Structurally, this means external parties contribute to the inputs of postmarket monitoring (signals, adjudicated cases, datasets), while the decisions (thresholds, gates, corrective actions, submissions) remain squarely with the sponsor under its quality management system.</w:t>
      </w:r>
    </w:p>
    <w:p>
      <w:r>
        <w:rPr>
          <w:color w:val="777777"/>
          <w:sz w:val="16"/>
        </w:rPr>
        <w:t xml:space="preserve">p031 · att1 p.5  </w:t>
      </w:r>
      <w:r>
        <w:t>Q22 (scaling re-benchmarking; QMS vs. premarket review; PCCP categories). I suggest a three-tier change taxonomy that manufacturers will recognize from classical change control: (i) QMS-managed changes - no expected impact on safety-critical behavior, verified by a defined regression subset of the benchmarking suite (guardrail wording, non-clinical UI text, documentation); (ii) PCCP-eligible changes - pre-declared change types (fine-tuning events, retrieval-source changes, guardrail-model updates) that pass element-level re-benchmarking against pre-agreed acceptance criteria before deployment, with a notification to FDA rather than a new authorization (a proposed extension of today's PCCP practice, under which changes made within an authorized PCCP generally require neither a new submission nor notification); (iii) premarket review changes - changes to intended use, functional states, autonomy positioning, or the foundation model's role in safety-critical behavior. The pre-specified regression subset design (which elements, which thresholds) is the key premarket artifact that makes this tiering work.</w:t>
      </w:r>
    </w:p>
    <w:p>
      <w:r>
        <w:rPr>
          <w:color w:val="777777"/>
          <w:sz w:val="16"/>
        </w:rPr>
        <w:t xml:space="preserve">p032 · att1 p.5  </w:t>
      </w:r>
      <w:r>
        <w:t>Q23 (PCCP when modifications cannot be fully prespecified). The PCCP construct should shift, for GenAI-enabled devices, from "predetermined change" to "predetermined gate": rather than enumerating exact future versions, the PCCP declares change types, the evaluation gates each type must pass (which elements, which metrics, which thresholds), the decision rules for proceeding, and the rollback plan. This "gate-then-deploy" structure preserves premarket review's protective function while accommodating modifications that cannot be enumerated in advance - including the model-evolution changes the paper describes. It is also the natural home for the version chain-of-custody commitment: every deployed configuration traceable to the evaluated configuration that passed the gate.</w:t>
      </w:r>
    </w:p>
    <w:p>
      <w:r>
        <w:rPr>
          <w:color w:val="777777"/>
          <w:sz w:val="16"/>
        </w:rPr>
        <w:t xml:space="preserve">p033 · att1 p.6  </w:t>
      </w:r>
      <w:r>
        <w:t>Q24 (third-party foundation model changes). Detection, evaluation, and response need three layers working together. Contractual: update-notification commitments with meaningful lead time, version disclosures, and change logs from the foundation model developer - the practicality of which the Foundation Model MAF (see Q25) can institutionalize. Technical: continuous output-distribution monitoring with registered drift thresholds, canary/behavioral probe suites that detect silent behavior shifts even when version labels are not disclosed, and, where APIs expose them, version fingerprint checks. Procedural: sponsor-side gates per Q22-Q23 - any notified or detected change relevant to safety-critical behavior triggers re-benchmarking of affected elements before deployment proceeds. Reasonable assurance emerges from the combination: contracts for what can be known in advance, telemetry for what cannot, and gates for what is found.</w:t>
      </w:r>
    </w:p>
    <w:p>
      <w:r>
        <w:rPr>
          <w:color w:val="777777"/>
          <w:sz w:val="16"/>
        </w:rPr>
        <w:t xml:space="preserve">p034 · att1 p.6  </w:t>
      </w:r>
      <w:r>
        <w:t>D. Foundation Model MAFs and Agentic AI (Questions 25-26) — Q25 (voluntary FM MAFs). I support the proposal - it is the lightest-touch mechanism that creates a shared, confidential, referenceable record of the underlying model, and footnote 24's content list (architecture, training-data provenance, characterized behaviors and failure modes, healthcare-relevant benchmark results including subgroups, safety constraints and guardrails, update notification commitments, audit log availability) is the right starting inventory. Two suggestions to make it practical: (i) publish a structured content template so that a MAF is a fillable schema rather than a bespoke document - this lowers the filing cost for developers and makes cross-model review consistent; and (ii) pair it with a sponsor-side floor. Because participation is voluntary and developer incentives are uncertain, device sponsors should be expected - under existing supplier-control practice - to independently document the foundation model identity, version, and change-relevant behavior of the model they deploy, even where the developer files no MAF. Alternative mechanisms FDA should keep in view: market and procurement incentives (health systems increasingly treat model transparency as a procurement condition), and recognition of third-party audit frameworks against which foundation-model developers could certify. The MAF's value grows with each participating developer; the sponsor-side floor ensures no device lacks a documented basis for its underlying model in the meantime.</w:t>
      </w:r>
    </w:p>
    <w:p>
      <w:r>
        <w:rPr>
          <w:color w:val="777777"/>
          <w:sz w:val="16"/>
        </w:rPr>
        <w:t xml:space="preserve">p035 · att1 p.6  </w:t>
      </w:r>
      <w:r>
        <w:t>Q26 (agentic GenAI-enabled devices). Element A.1 already captures the core competencies (plan/sequence recognition of the safety envelope, tool-use fidelity, human-oversight checkpoints before irreversible or high-consequence actions, graceful tool-failure handling, prompt-injection resistance including through retrieved content and tool outputs). I recommend four additions to the oversight of agentic devices: (i) an action taxonomy distinguishing reads (informational tool use) from writes (actions that change records, orders, or device state), with acceptance criteria graduated accordingly; (ii) blast-radius containment - pre-declared limits on what an agent may affect, structurally enforced rather than prompt-enforced; (iii) complete, version-attributable audit logs - every agentic action logged and attributable to the specific model configuration, satisfying the traceability dimension from Q1 in its most consequential setting; and (iv) supervision-proportionality - checkpoint density scaled to the autonomy axis, with reduced-review opportunities earned by demonstrated reliability rather than assumed. Where an agentic system's action sequences control another medical device (the paper's example), I agree that, where such action sequences meet the device definition, the full device-level oversight pathway applies, and the elevated risk of autonomous multi-step action should be reflected in stricter acceptance criteria under R.1 and A.1.</w:t>
      </w:r>
    </w:p>
    <w:p>
      <w:r>
        <w:rPr>
          <w:color w:val="777777"/>
          <w:sz w:val="16"/>
        </w:rPr>
        <w:t xml:space="preserve">p036 · att1 p.6  </w:t>
      </w:r>
      <w:r>
        <w:t>Closing — The discussion paper's most consequential operational insight is that the premarket competency assessment becomes the baseline for the entire product lifecycle - re-benchmarking after change, gates for modification, and the reference point for foundation-model evolution. Getting the governance of that baseline right - registered and versioned benchmarks, structured dossiers, threshold-triggered gates, and version chain-of-custody - will determine whether the framework achieves its stated goal of nimble, least-burdensome oversight. I would welcome the opportunity to engage further, including at any public meeting or webinar, and to provide practitioner detail on benchmark governance and multi-market evidence alignment.</w:t>
      </w:r>
    </w:p>
    <w:p>
      <w:r>
        <w:rPr>
          <w:color w:val="777777"/>
          <w:sz w:val="16"/>
        </w:rPr>
        <w:t xml:space="preserve">p037 · att1 p.7  </w:t>
      </w:r>
      <w:r>
        <w:t>Respectfully submitted,</w:t>
      </w:r>
    </w:p>
    <w:p>
      <w:r>
        <w:rPr>
          <w:color w:val="777777"/>
          <w:sz w:val="16"/>
        </w:rPr>
        <w:t xml:space="preserve">p038 · att1 p.7  </w:t>
      </w:r>
      <w:r>
        <w:t>Steven Zhao - independent medical device regulatory practitioner; maintains MedXpert, a personal regulatory-knowledge project</w:t>
      </w:r>
    </w:p>
    <w:p>
      <w:r>
        <w:rPr>
          <w:color w:val="777777"/>
          <w:sz w:val="16"/>
        </w:rPr>
        <w:t xml:space="preserve">p039 · att1 p.7  </w:t>
      </w:r>
      <w:r>
        <w:t>Contact details: provided in the submission form (not reproduced in the public comment text). The submission date is recorded in the regulations.gov tracking receipt.</w:t>
      </w:r>
    </w:p>
    <w:p>
      <w:r>
        <w:rPr>
          <w:color w:val="777777"/>
          <w:sz w:val="16"/>
        </w:rPr>
        <w:t xml:space="preserve">p040 · att1 p.7  </w:t>
      </w:r>
      <w:r>
        <w:t>Disclaimer: This comment reflects a methodological and regulatory-practice perspective. It is not legal advice, and it does not contain confidential business information. All regulatory citations should be verified against the official discussion paper and the regulations.gov docket. Drafted with AI assistance, reviewed and approved by the named signatory.</w:t>
      </w:r>
    </w:p>
    <w:p>
      <w:pPr>
        <w:pStyle w:val="Heading1"/>
        <w:pageBreakBefore/>
      </w:pPr>
      <w:r>
        <w:t>FDA-2026-N-7874-0094</w:t>
      </w:r>
    </w:p>
    <w:p>
      <w:r>
        <w:t>Comment from Profound Ventures | Guidance Global Consulting</w:t>
      </w:r>
    </w:p>
    <w:p>
      <w:r>
        <w:rPr>
          <w:color w:val="777777"/>
          <w:sz w:val="18"/>
        </w:rPr>
        <w:t>Private Industry - C0003 · received 2026-09-14 · attachments: attachment_1.pdf (11 pp)</w:t>
      </w:r>
    </w:p>
    <w:p>
      <w:r>
        <w:rPr>
          <w:color w:val="777777"/>
          <w:sz w:val="16"/>
        </w:rPr>
        <w:t xml:space="preserve">p001 · body  </w:t>
      </w:r>
      <w:r>
        <w:t>See attached file(s)</w:t>
      </w:r>
    </w:p>
    <w:p>
      <w:r>
        <w:rPr>
          <w:color w:val="777777"/>
          <w:sz w:val="16"/>
        </w:rPr>
        <w:t xml:space="preserve">p002 · att1 p.1  </w:t>
      </w:r>
      <w:r>
        <w:t>September 14, 2026 Dockets Management Staff (HFA-305) U.S. Food and Drug Administration 5630 Fishers Lane, Rm. 1061 Rockville, MD 20852</w:t>
      </w:r>
    </w:p>
    <w:p>
      <w:r>
        <w:rPr>
          <w:color w:val="777777"/>
          <w:sz w:val="16"/>
        </w:rPr>
        <w:t xml:space="preserve">p003 · att1 p.1  </w:t>
      </w:r>
      <w:r>
        <w:t>Re: Comment on “Considerations for the Regulation of Generative AI-Enabled Medical Devices: Discussion Paper and Request for Feedback” (August 2026) Docket ID FDA-2026-N-7874</w:t>
      </w:r>
    </w:p>
    <w:p>
      <w:r>
        <w:rPr>
          <w:color w:val="777777"/>
          <w:sz w:val="16"/>
        </w:rPr>
        <w:t xml:space="preserve">p004 · att1 p.1  </w:t>
      </w:r>
      <w:r>
        <w:t>Dear FDA Leadership: We are writing on behalf of Profound Ventures Corporation, a social impact-focused venture studio, and Guidance Global Consulting (GGC), a strategic consulting and solutions firm in healthcare, AI, and digital transformation, to provide comment on the Center for Devices and Radiological Health's (CDRH) discussion paper on the regulation of generative AI (GenAI)-enabled medical devices. Profound Ventures builds and incubates a portfolio of social-impact focused healthcare, diagnostics, and applied-AI ventures. GGC has extensive experience advising federal health agencies and health systems on AI adoption, quality measurement, and regulatory strategy. This comment draws on the collective operating experience of our portfolio, not the perspective of any single company alone.</w:t>
      </w:r>
    </w:p>
    <w:p>
      <w:r>
        <w:rPr>
          <w:color w:val="777777"/>
          <w:sz w:val="16"/>
        </w:rPr>
        <w:t xml:space="preserve">p005 · att1 p.1  </w:t>
      </w:r>
      <w:r>
        <w:t>I, Brian Meshkin, offer this comment as a Tri-Sector Leader whose career spans the public, private, and nonprofit sectors in ways that bear directly on the evidentiary and governance questions CDRH has posed. As a teenager, I led a successful child bicycle helmet safety campaign that changed laws nationwide - an early lesson in how evidence translates into public policy. I later served as an elected official on the Howard County, Maryland Board of Education where I pioneered creation of the digital education policy, and I have served on nonprofit boards in the healthcare and social-impact space. In the private sector, I spent years as an executive at Johnson &amp; Johnson and Eli Lilly, two of the most heavily regulated life-sciences companies in the world, before becoming a founder and operator in my own right. At Eli Lilly, I helped start the e.Lilly Venture Fund and was the Team Leader on e.Business Customer Connectivity where we had an incubator launching 8 companies, invested in many others, and conducted pilots in the United States and seven of the largest markets worldwide to evaluate the impact of digital health technologies in healthcare and life sciences. At Johnson &amp; Johnson, I helped launch Cancer.com with leading patient advocacy groups. Eventually, I went back out on my own and founded and scaled Proove Biosciences, which built what was, at the time in 2017, the largest clinicalgenetic databank in chronic pain - a real-world evidence infrastructure used to validate pharmacogenomic associations against accepted clinical and guideline standards (CPIC, ACOEM/MTUS).</w:t>
      </w:r>
    </w:p>
    <w:p>
      <w:r>
        <w:rPr>
          <w:color w:val="777777"/>
          <w:sz w:val="16"/>
        </w:rPr>
        <w:t xml:space="preserve">p006 · att1 p.1  </w:t>
      </w:r>
      <w:r>
        <w:t>My own portfolio at Profound Ventures, includes but is not limited to: • Labarium Diagnostic Systems, Inc., a CLIA-certified/COLA accredited clinical laboratory platform building an AI-enabled diagnostics infrastructure across multiple acquired laboratories;</w:t>
      </w:r>
    </w:p>
    <w:p>
      <w:r>
        <w:rPr>
          <w:color w:val="777777"/>
          <w:sz w:val="16"/>
        </w:rPr>
        <w:t xml:space="preserve">p007 · att1 p.1  </w:t>
      </w:r>
      <w:r>
        <w:t>• Proove Genomics, a pharmacogenomics diagnostics business operating under close guidelineanchoring and fraud-and-abuse discipline;</w:t>
      </w:r>
    </w:p>
    <w:p>
      <w:r>
        <w:rPr>
          <w:color w:val="777777"/>
          <w:sz w:val="16"/>
        </w:rPr>
        <w:t xml:space="preserve">p008 · att1 p.1  </w:t>
      </w:r>
      <w:r>
        <w:t>• HumAInity, the first AI tool certified in the world as a healthcare worker extender, and a CMS Ecosystem partner; and Arockia AI, a clinical decision support venture co-founded by both of us focused on delivering world-class quality improvement and outcomes insights at the point-of care decision-making.</w:t>
      </w:r>
    </w:p>
    <w:p>
      <w:r>
        <w:rPr>
          <w:color w:val="777777"/>
          <w:sz w:val="16"/>
        </w:rPr>
        <w:t xml:space="preserve">p009 · att1 p.2  </w:t>
      </w:r>
      <w:r>
        <w:t>I offer this comment alongside Anita Monteiro, CEO of Guidance Global Consulting and a former SES federal executive who spent 12 years at CMS overseeing a large Medicare beneficiary advocacy and innovation portfolio. She is Co-Founder of Arockia AI, Inc., alongside me; Co-Founder of Outcomeus; and serves on the industry advisory boards of HumAInity, Proove Genomics, and Labarium Diagnostic Systems giving her direct visibility and influence on the evidentiary, deployment, and quality questions each of those ventures raises for this discussion paper. She is also academic expert and program leader for Executive Education at Harvard Medical School, Emory University and Wharton School of Business at the University of Pennsylvania.</w:t>
      </w:r>
    </w:p>
    <w:p>
      <w:r>
        <w:rPr>
          <w:color w:val="777777"/>
          <w:sz w:val="16"/>
        </w:rPr>
        <w:t xml:space="preserve">p010 · att1 p.2  </w:t>
      </w:r>
      <w:r>
        <w:t>Together, our trajectories - activist, elected official, nonprofit board member, large pharmaceutical executive and entrepreneur on one side; federal regulator, Medicare beneficiary advocate, and quality-improvement innovator on the other - are reflected in the ventures and advisory relationships described above.</w:t>
      </w:r>
    </w:p>
    <w:p>
      <w:r>
        <w:rPr>
          <w:color w:val="777777"/>
          <w:sz w:val="16"/>
        </w:rPr>
        <w:t xml:space="preserve">p011 · att1 p.2  </w:t>
      </w:r>
      <w:r>
        <w:t>Each portfolio company in our partnership and individually has required us to build, defend, or operate under evidentiary standards for clinical validity and clinical utility - the same distinction we believe this discussion paper needs to make more explicit.</w:t>
      </w:r>
    </w:p>
    <w:p>
      <w:r>
        <w:rPr>
          <w:color w:val="777777"/>
          <w:sz w:val="16"/>
        </w:rPr>
        <w:t xml:space="preserve">p012 · att1 p.2  </w:t>
      </w:r>
      <w:r>
        <w:t>Given the breadth of the discussion paper's 26 questions, this comment focuses on the ten questions where Profound Ventures' and GGC’s portfolio experience is most useful to CDRH's thinking, organized by the paper's own section structure. This paper advances CDRH's 'Innovation and Global Leadership' public health pillar and builds on the Digital Health Center of Excellence's 2021 AI/ML-Based SaMD Action Plan and its December 2024 Predetermined Change Control Plan (PCCP) guidance.</w:t>
      </w:r>
    </w:p>
    <w:p>
      <w:r>
        <w:rPr>
          <w:color w:val="777777"/>
          <w:sz w:val="16"/>
        </w:rPr>
        <w:t xml:space="preserve">p013 · att1 p.2  </w:t>
      </w:r>
      <w:r>
        <w:t>Our recommendations are offered in that continuity as an extension of tools CDRH has already built, not a request to build new ones from scratch. Throughout, and consistent with the statutory least-burdensome principle CDRH itself invokes in the paper's introduction, our recommendations favor risk-proportionate, post market-weighted oversight that preserves a competitive, innovation-friendly path to market for early-stage companies - the companies Profound Ventures exists to build.</w:t>
      </w:r>
    </w:p>
    <w:p>
      <w:r>
        <w:rPr>
          <w:color w:val="777777"/>
          <w:sz w:val="16"/>
        </w:rPr>
        <w:t xml:space="preserve">p014 · att1 p.2  </w:t>
      </w:r>
      <w:r>
        <w:t>A Cross-Cutting Recommendation: Separate Clinical Validity from Clinical Utility as Distinct Evidentiary Bars</w:t>
      </w:r>
    </w:p>
    <w:p>
      <w:r>
        <w:rPr>
          <w:color w:val="777777"/>
          <w:sz w:val="16"/>
        </w:rPr>
        <w:t xml:space="preserve">p015 · att1 p.2  </w:t>
      </w:r>
      <w:r>
        <w:t>Before addressing specific questions, we urge CDRH to import a distinction long used in diagnostic test evaluation - most familiar from the ACCE framework (Analytic validity, Clinical validity, Clinical utility) applied to genetic and genomic tests - into its competency-based approach for GenAI-enabled devices. In my experience validating pharmacogenomic associations at Proove Biosciences and relaunching Proove Genomics, these are not interchangeable concepts, and conflating them is a recurring source of both regulatory risk and marketplace harm:</w:t>
      </w:r>
    </w:p>
    <w:p>
      <w:r>
        <w:rPr>
          <w:color w:val="777777"/>
          <w:sz w:val="16"/>
        </w:rPr>
        <w:t xml:space="preserve">p016 · att1 p.2  </w:t>
      </w:r>
      <w:r>
        <w:t>• Analytic/technical validity - whether the device does what it claims to do at a mechanical level (accuracy, reproducibility). This maps closely to the paper's Generalizability elements (R.1, R.2).</w:t>
      </w:r>
    </w:p>
    <w:p>
      <w:r>
        <w:rPr>
          <w:color w:val="777777"/>
          <w:sz w:val="16"/>
        </w:rPr>
        <w:t xml:space="preserve">p017 · att1 p.2  </w:t>
      </w:r>
      <w:r>
        <w:t>• Clinical validity - whether a device's output correlates with the true clinical state or accepted body of evidence (e.g., whether an escalation recommendation reflects the actual guideline-supported standard of care). This maps to Clinical Proficiency (E.1–E.4), but the paper does not yet require sponsors to disclose the strength of the underlying evidence base per claim.</w:t>
      </w:r>
    </w:p>
    <w:p>
      <w:r>
        <w:rPr>
          <w:color w:val="777777"/>
          <w:sz w:val="16"/>
        </w:rPr>
        <w:t xml:space="preserve">p018 · att1 p.3  </w:t>
      </w:r>
      <w:r>
        <w:t>• Clinical utility - whether use of the device's output, in the hands of its intended user, actually improves a health outcome or decision relative to not using it. This is closer to what Section V.C's clinical confirmation approaches are reaching for, but the paper does not clearly distinguish it from clinical validity as a separate evidentiary requirement.</w:t>
      </w:r>
    </w:p>
    <w:p>
      <w:r>
        <w:rPr>
          <w:color w:val="777777"/>
          <w:sz w:val="16"/>
        </w:rPr>
        <w:t xml:space="preserve">p019 · att1 p.3  </w:t>
      </w:r>
      <w:r>
        <w:t>In pharmacogenomic panel commercialization, we learned this distinction the hard way: guideline support is not uniform across clinical claims even within a single panel - some associations carry strong guideline-level clinical validity anchoring, while others lack an equivalent evidentiary anchor for the genetic component and require materially different, more conservative claims language. The same discipline should apply to GenAI- enabled devices at the individual-function level, not just the device level. A device may be clinically valid for one function (e.g., E.1 knowledge recall) while lacking clinical utility evidence for another (e.g., whether its escalation output changes downstream care in a way that improves outcomes). We recommend CDRH require sponsors to benchmark and label each device function against both bars separately, rather than allowing a single aggregate competency assessment to imply utility that has not been demonstrated.</w:t>
      </w:r>
    </w:p>
    <w:p>
      <w:r>
        <w:rPr>
          <w:color w:val="777777"/>
          <w:sz w:val="16"/>
        </w:rPr>
        <w:t xml:space="preserve">p020 · att1 p.3  </w:t>
      </w:r>
      <w:r>
        <w:t>A Second Cross-Cutting Recommendation: Least-Burdensome, Risk-Proportionate Oversight to Preserve Competitive Entry for Early-Stage Companies</w:t>
      </w:r>
    </w:p>
    <w:p>
      <w:r>
        <w:rPr>
          <w:color w:val="777777"/>
          <w:sz w:val="16"/>
        </w:rPr>
        <w:t xml:space="preserve">p021 · att1 p.3  </w:t>
      </w:r>
      <w:r>
        <w:t>As a venture studio that builds and funds early-stage healthcare and diagnostics companies, Profound Ventures has a direct, practical stake in a question the discussion paper touches on but does not fully resolve: evidentiary rigor and regulatory burden are not the same variable, and a framework that conflates them will entrench incumbents rather than protect patients.</w:t>
      </w:r>
    </w:p>
    <w:p>
      <w:r>
        <w:rPr>
          <w:color w:val="777777"/>
          <w:sz w:val="16"/>
        </w:rPr>
        <w:t xml:space="preserve">p022 · att1 p.3  </w:t>
      </w:r>
      <w:r>
        <w:t>We support a competency-based approach that is genuinely risk-proportionate - but we urge CDRH to design it so that the fixed cost of compliance does not itself become the dominant barrier to market entry, which would work against the innovation and patient-access goals the paper states as its own north star.</w:t>
      </w:r>
    </w:p>
    <w:p>
      <w:r>
        <w:rPr>
          <w:color w:val="777777"/>
          <w:sz w:val="16"/>
        </w:rPr>
        <w:t xml:space="preserve">p023 · att1 p.3  </w:t>
      </w:r>
      <w:r>
        <w:t>Four specific recommendations follow from this principle: • Default to enforcement discretion and the existing clinical decision support exclusion for low-activity, non-directive, HCP-facing informational functions. CDRH should resist the temptation to use the novelty of GenAI as a reason to narrow existing statutory carve-outs (e.g., section 520(o)(1)(E)) that already keep large categories of lower-risk clinical software outside device regulation. Scope creep into previously excluded functionality raises the cost of entry for every early-stage company building in this space, regardless of actual patient risk. The laboratory-developed test (LDT) experience is instructive here and is discussed further in response to Question 16 below: courts and Congress have recently and affirmatively reinforced CLIA's quality-system-based, non-FDA-premarket-gated model as sufficient oversight for complex, high-stakes diagnostic testing, and we believe that same model has direct application to GenAI-enabled functions embedded in laboratory workflows.</w:t>
      </w:r>
    </w:p>
    <w:p>
      <w:r>
        <w:rPr>
          <w:color w:val="777777"/>
          <w:sz w:val="16"/>
        </w:rPr>
        <w:t xml:space="preserve">p024 · att1 p.3  </w:t>
      </w:r>
      <w:r>
        <w:t>• Make the most burdensome elements of the competency-based approach - prospective clinical studies, mandatory independent third-party adjudication, and extensive subgroup benchmarking - the exception reserved for the highest-risk tier (fully autonomous, severe-consequence functions), not the default expectation for the broad middle of the risk matrix. A well-capitalized incumbent can absorb a prospective trial as a cost of doing business; an early-stage company frequently cannot, and a framework that requires trial-level evidence for moderate-risk functions will simply select for capital rather than for safety or quality.</w:t>
      </w:r>
    </w:p>
    <w:p>
      <w:r>
        <w:rPr>
          <w:color w:val="777777"/>
          <w:sz w:val="16"/>
        </w:rPr>
        <w:t xml:space="preserve">p025 · att1 p.4  </w:t>
      </w:r>
      <w:r>
        <w:t>• Keep any third-party accreditation, adjudication, or Foundation Model MAF program strictly voluntary and non-gating, with shared or subsidized infrastructure (sequestered benchmark datasets, pooled independent adjudicator panels) available on reasonable terms to small entities. A mandatory third-party gate, even a well-intentioned one, functions economically like a licensing fee and will be felt most acutely by companies without an existing compliance department - precisely the companies most likely to bring genuinely novel approaches to market.</w:t>
      </w:r>
    </w:p>
    <w:p>
      <w:r>
        <w:rPr>
          <w:color w:val="777777"/>
          <w:sz w:val="16"/>
        </w:rPr>
        <w:t xml:space="preserve">p026 · att1 p.4  </w:t>
      </w:r>
      <w:r>
        <w:t>• Rely on post-market monitoring, not expanded premarket evidentiary burden, as the primary mechanism for managing the residual uncertainty inherent to GenAI-enabled devices. This is not merely a competitiveness argument: because GenAI-enabled devices can evolve after deployment in ways bounded software historically has not, continuous post-market signal is often a more accurate safety mechanism than a point-in-time premarket study, and it achieves that safety outcome at materially lower fixed cost to the innovator.</w:t>
      </w:r>
    </w:p>
    <w:p>
      <w:r>
        <w:rPr>
          <w:color w:val="777777"/>
          <w:sz w:val="16"/>
        </w:rPr>
        <w:t xml:space="preserve">p027 · att1 p.4  </w:t>
      </w:r>
      <w:r>
        <w:t>We elaborate on several of these points below in response to specific questions, and we address the post-marketmonitoring point directly in response to Question 18 in Section VI.</w:t>
      </w:r>
    </w:p>
    <w:p>
      <w:r>
        <w:rPr>
          <w:color w:val="777777"/>
          <w:sz w:val="16"/>
        </w:rPr>
        <w:t xml:space="preserve">p028 · att1 p.4  </w:t>
      </w:r>
      <w:r>
        <w:t>A Third Cross-Cutting Recommendation: Extend Risk-Proportionate Burden-Sharing to the Deployment Side, Not Only the Sponsor Side</w:t>
      </w:r>
    </w:p>
    <w:p>
      <w:r>
        <w:rPr>
          <w:color w:val="777777"/>
          <w:sz w:val="16"/>
        </w:rPr>
        <w:t xml:space="preserve">p029 · att1 p.4  </w:t>
      </w:r>
      <w:r>
        <w:t>The FDA discussion paper's competency-based framework is built almost entirely around sponsor obligations. In our combined operating experience spanning device commercialization and, from the CMS side, oversight of how Medicare-participating providers actually adopt new clinical technology, deployment-side capacity is frequently the binding constraint on safe use, not sponsor-side evidence. A rural hospital, critical access facility, or federally qualified health center can lawfully deploy a well-benchmarked device without the informatics staffing to meaningfully run the re-benchmarking, degradation monitoring, or human-oversight review this framework presumes.</w:t>
      </w:r>
    </w:p>
    <w:p>
      <w:r>
        <w:rPr>
          <w:color w:val="777777"/>
          <w:sz w:val="16"/>
        </w:rPr>
        <w:t xml:space="preserve">p030 · att1 p.4  </w:t>
      </w:r>
      <w:r>
        <w:t>We recommend CDRH's post market monitoring guidance explicitly address minimum deploying-site capacity as a condition of higher-tier device functions and look to CMS Conditions of Participation and existing quality-reporting infrastructure - which already reaches every Medicare-participating hospital - as a coordination point, rather than building monitoring expectations that assume sponsor-side infrastructure will substitute for site-level capacity.</w:t>
      </w:r>
    </w:p>
    <w:p>
      <w:r>
        <w:rPr>
          <w:color w:val="777777"/>
          <w:sz w:val="16"/>
        </w:rPr>
        <w:t xml:space="preserve">p031 · att1 p.4  </w:t>
      </w:r>
      <w:r>
        <w:t>Just as we urge CDRH to keep sponsor-side compliance from becoming a de facto barrier to entry for earlystage companies, we urge CDRH to avoid a framework that only a well-resourced health system can operationally sustain.</w:t>
      </w:r>
    </w:p>
    <w:p>
      <w:r>
        <w:rPr>
          <w:color w:val="777777"/>
          <w:sz w:val="16"/>
        </w:rPr>
        <w:t xml:space="preserve">p032 · att1 p.4  </w:t>
      </w:r>
      <w:r>
        <w:t>Section IV - Assessment of Risk (Questions 1 and 3) — Question 1 - Does the two-axis risk framework capture the dimensions most relevant to risk? What additional dimensions should be represented?</w:t>
      </w:r>
    </w:p>
    <w:p>
      <w:r>
        <w:rPr>
          <w:color w:val="777777"/>
          <w:sz w:val="16"/>
        </w:rPr>
        <w:t xml:space="preserve">p033 · att1 p.4  </w:t>
      </w:r>
      <w:r>
        <w:t>We support the two-axis framework as an organizing heuristic, but recommend CDRH add evidentiary traceability as an explicit third dimension or consequence-axis modifier: whether a given output is grounded in a validated biomarker, guideline, or clinical reference standard, versus general model reasoning without such an anchor. At Proove Genomics, associations anchored to CPIC and ACOEM/MTUS guidelines supported materially different claims and risk posture than associations without an equivalent guideline-level endorsement. A GenAI-enabled device output that traces to a validated reference standard is meaningfully lower-risk, for a given activity and consequence level, than one that does not. I recommend the risk framework explicitly reward - through reduced evidentiary burden - device functions built on validated, traceable clinical anchors, and correspondingly require heightened scrutiny for functions relying on emergent or unanchored model reasoning.</w:t>
      </w:r>
    </w:p>
    <w:p>
      <w:r>
        <w:rPr>
          <w:color w:val="777777"/>
          <w:sz w:val="16"/>
        </w:rPr>
        <w:t xml:space="preserve">p034 · att1 p.5  </w:t>
      </w:r>
      <w:r>
        <w:t>We also recommend CDRH account for deployment-context modifiers on the consequences axis. Through Arockia AI's work in clinical decision support for small and rural hospitals, I have seen firsthand that the same informational output carries different real-world consequence depending on whether the deploying facility has on-call specialty coverage or relies on the device to partially close an access gap. A risk framework calibrated only to output content, without reference to deployment environment, will systematically underweight risk in exactly the settings - under-resourced facilities - where GenAI-enabled devices are likely to see the most consequential use.</w:t>
      </w:r>
    </w:p>
    <w:p>
      <w:r>
        <w:rPr>
          <w:color w:val="777777"/>
          <w:sz w:val="16"/>
        </w:rPr>
        <w:t xml:space="preserve">p035 · att1 p.5  </w:t>
      </w:r>
      <w:r>
        <w:t>This concern is not ours alone. HHS's December 2025 AI Strategy names democratizing AI technologies and access as one of its four core goals, and OMB Memorandum M-25-21 requires HHS divisions to classify and manage 'high-impact AI' with defined risk controls. We recommend CDRH harmonize its two-axis risk framework with HHS's high-impact AI classification rather than developing an independent taxonomy, so that sponsors and deploying health systems are not made to reconcile two non-aligned federal risk frameworks for the same device and so that CDRH's rural and under-resourced-facility risk calibration serves HHS's own access goal directly.</w:t>
      </w:r>
    </w:p>
    <w:p>
      <w:r>
        <w:rPr>
          <w:color w:val="777777"/>
          <w:sz w:val="16"/>
        </w:rPr>
        <w:t xml:space="preserve">p036 · att1 p.5  </w:t>
      </w:r>
      <w:r>
        <w:t>Question 3 - When could patient-facing delivery of clinical information present different or higher risk, while preserving the benefits of patient empowerment?</w:t>
      </w:r>
    </w:p>
    <w:p>
      <w:r>
        <w:rPr>
          <w:color w:val="777777"/>
          <w:sz w:val="16"/>
        </w:rPr>
        <w:t xml:space="preserve">p037 · att1 p.5  </w:t>
      </w:r>
      <w:r>
        <w:t>HumAInity, which I co-founded, is the first AI tool certified in the world as a healthcare worker extender, and is a CMS Ecosystem partner. That certification model - positioning the device explicitly as an extension of a credentialed human worker's scope, rather than as an autonomous, freestanding source of clinical information - is, in my experience, one of the more effective mitigations CDRH could consider for the patient-facing risk question. A “worker extender” framing does two things simultaneously: it preserves the democratization and access benefits the paper rightly wants to protect, while anchoring accountability and scope to an identifiable, licensed human role rather than diffusing it. We recommend CDRH explore “worker extender” or comparable scope-anchored certification models, and the CMS ecosystem-partner precedent for how a federal payer program has already evaluated and integrated this type of certified AI extension into a program of record, as a template for how FDA might structure patient-facing risk mitigation without resorting to blanket restriction of patient-facing information.</w:t>
      </w:r>
    </w:p>
    <w:p>
      <w:r>
        <w:rPr>
          <w:color w:val="777777"/>
          <w:sz w:val="16"/>
        </w:rPr>
        <w:t xml:space="preserve">p038 · att1 p.5  </w:t>
      </w:r>
      <w:r>
        <w:t>From the CMS side, this scope-anchored model also aligns with how Medicare has historically drawn accountability lines around licensed practitioners rather than the tools they use; a precedent CDRH may find useful in framing this question.</w:t>
      </w:r>
    </w:p>
    <w:p>
      <w:r>
        <w:rPr>
          <w:color w:val="777777"/>
          <w:sz w:val="16"/>
        </w:rPr>
        <w:t xml:space="preserve">p039 · att1 p.6  </w:t>
      </w:r>
      <w:r>
        <w:t>Section V - Competency-Based Premarket Evaluation (Questions 7, 9, 11, 14, and 16)</w:t>
      </w:r>
    </w:p>
    <w:p>
      <w:r>
        <w:rPr>
          <w:color w:val="777777"/>
          <w:sz w:val="16"/>
        </w:rPr>
        <w:t xml:space="preserve">p040 · att1 p.6  </w:t>
      </w:r>
      <w:r>
        <w:t>Question 7 - Is device benchmarking followed by clinical confirmation a useful and appropriate framework?</w:t>
      </w:r>
    </w:p>
    <w:p>
      <w:r>
        <w:rPr>
          <w:color w:val="777777"/>
          <w:sz w:val="16"/>
        </w:rPr>
        <w:t xml:space="preserve">p041 · att1 p.6  </w:t>
      </w:r>
      <w:r>
        <w:t>Yes, and we would go further: this structure mirrors, almost exactly, the pathway pharmacogenomic diagnostics already travel - analytic/technical validation, followed by clinical validity established against guideline or reference standards, followed by real-world clinical utility evidence. CDRH is not inventing a new evaluation philosophy; it is correctly recognizing that GenAI-enabled devices should be held to the same layered evidentiary discipline that diagnostic testing has used for years, adapted for open-ended inputs and outputs. We recommend CDRH say so explicitly in any resulting guidance, both because it will aid sponsor understanding and because it will allow CDRH to draw on decades of diagnostic evidentiary practice rather than building the competency-based approach from first principles.</w:t>
      </w:r>
    </w:p>
    <w:p>
      <w:r>
        <w:rPr>
          <w:color w:val="777777"/>
          <w:sz w:val="16"/>
        </w:rPr>
        <w:t xml:space="preserve">p042 · att1 p.6  </w:t>
      </w:r>
      <w:r>
        <w:t>We would add one condition: the framework's value depends entirely on both stages scaling down, not just up, with risk. For the lower and middle bands of the two-axis matrix, benchmarking alone - without a mandatory clinical confirmation layer - should presumptively satisfy the competency-based approach. Reserving the full weight of both benchmarking and clinical confirmation for the higher-risk bands keeps the framework genuinely least-burdensome rather than uniformly burdensome and avoids imposing trial-level evidentiary cost on functions that do not carry trial-level risk.</w:t>
      </w:r>
    </w:p>
    <w:p>
      <w:r>
        <w:rPr>
          <w:color w:val="777777"/>
          <w:sz w:val="16"/>
        </w:rPr>
        <w:t xml:space="preserve">p043 · att1 p.6  </w:t>
      </w:r>
      <w:r>
        <w:t>Question 9 - Would the benchmarking structure provide adequate evidence of clinical knowledge, safety behavior, and generalizability? Are there missing or redundant elements?</w:t>
      </w:r>
    </w:p>
    <w:p>
      <w:r>
        <w:rPr>
          <w:color w:val="777777"/>
          <w:sz w:val="16"/>
        </w:rPr>
        <w:t xml:space="preserve">p044 · att1 p.6  </w:t>
      </w:r>
      <w:r>
        <w:t>The Safety, Clinical Proficiency, Generalizability, and Agentic AI Capability elements are well-organized, but we recommend CDRH make explicit within the Clinical Proficiency category which elements are being used to establish clinical validity (E.1, E.2, E.3 - is the underlying knowledge and reasoning accurate against accepted clinical evidence) versus which are being reserved for clinical utility evaluation in Section V.C (does use of the output change a decision or outcome). As currently structured, a sponsor could benchmark strongly across E.1–E.4 and reasonably (but incorrectly) treat that as evidence of utility. We also recommend CDRH add a benchmarking element addressing claims-evidence alignment - whether the strength of a device's outputfacing language (e.g., “recommend” vs. “consider” vs. general information) is calibrated to the actual strength of the clinical evidence behind that specific function. In my experience, mismatches between claim strength and evidentiary support are one of the more common and consequential failure modes in diagnostic and now AI-enabled commercialization, and they are not obviously captured by S.1–S.3, E.1–E.4, or R.1–R.2 as currently defined.</w:t>
      </w:r>
    </w:p>
    <w:p>
      <w:r>
        <w:rPr>
          <w:color w:val="777777"/>
          <w:sz w:val="16"/>
        </w:rPr>
        <w:t xml:space="preserve">p045 · att1 p.6  </w:t>
      </w:r>
      <w:r>
        <w:t>We also recommend CDRH add a benchmarking element for clinician usability and cognitive burden - human factors testing conducted with front-line users, not accuracy benchmarking alone. Alert fatigue and override behavior are well-documented failure modes for clinical decision support generally, and a device that benchmarks well on Clinical Proficiency can still fail in deployment because it does not fit clinical workflow.</w:t>
      </w:r>
    </w:p>
    <w:p>
      <w:r>
        <w:rPr>
          <w:color w:val="777777"/>
          <w:sz w:val="16"/>
        </w:rPr>
        <w:t xml:space="preserve">p046 · att1 p.6  </w:t>
      </w:r>
      <w:r>
        <w:t>Question 11 - How might a sponsor select and justify a clinical confirmation approach proportionate to risk? Are there device types for which the listed approaches would be insufficient?</w:t>
      </w:r>
    </w:p>
    <w:p>
      <w:r>
        <w:rPr>
          <w:color w:val="777777"/>
          <w:sz w:val="16"/>
        </w:rPr>
        <w:t xml:space="preserve">p047 · att1 p.7  </w:t>
      </w:r>
      <w:r>
        <w:t>Drawing on the Proove Biosciences experience building a large clinical-genetic databank in chronic pain, we would encourage CDRH to recognize large, longitudinally maintained clinical-genetic and clinicaloutcomes databanks as a distinct, and in some cases superior, clinical confirmation approach - not only as a supplement to premarket testing, but as an ongoing confirmation and subgroup-validation resource that outperforms synthetic data for hard-to-sample populations, provided the databank's provenance, consent structure, and adjudication independence are documented. Real, longitudinally collected clinical-genetic data avoids the circularity risk the paper itself raises with synthetic data generated by models of the same class under evaluation (see Question 13 of the discussion paper). We recommend CDRH explicitly list “large longitudinal real-world clinical-genetic/clinical-outcomes databanks, independently maintained and governed” as a clinical confirmation approach, positioned between retrospective evaluation and prospective clinical study in the paper's rigor spectrum.</w:t>
      </w:r>
    </w:p>
    <w:p>
      <w:r>
        <w:rPr>
          <w:color w:val="777777"/>
          <w:sz w:val="16"/>
        </w:rPr>
        <w:t xml:space="preserve">p048 · att1 p.7  </w:t>
      </w:r>
      <w:r>
        <w:t>More broadly, we recommend CDRH establish a rebuttable presumption against requiring a prospective clinical study for any device outside the highest-risk band of the two-axis framework, with the sponsor free to offer one voluntarily but not required to default to it. Prospective studies are the single largest fixed cost in the clinical confirmation spectrum and requiring them as a default - rather than an exception justified by genuinely severe-consequence, high-autonomy use - would functionally price early-stage companies out of the moderaterisk middle of the market, leaving that space to incumbents best able to amortize trial costs across a larger existing revenue base.</w:t>
      </w:r>
    </w:p>
    <w:p>
      <w:r>
        <w:rPr>
          <w:color w:val="777777"/>
          <w:sz w:val="16"/>
        </w:rPr>
        <w:t xml:space="preserve">p049 · att1 p.7  </w:t>
      </w:r>
      <w:r>
        <w:t>Question 14 - How should performance comparators and acceptance criteria be selected for open-ended outputs? When should human-AI team performance, rather than the device alone, be the basis for evaluation?</w:t>
      </w:r>
    </w:p>
    <w:p>
      <w:r>
        <w:rPr>
          <w:color w:val="777777"/>
          <w:sz w:val="16"/>
        </w:rPr>
        <w:t xml:space="preserve">p050 · att1 p.7  </w:t>
      </w:r>
      <w:r>
        <w:t>HumAInity's certification and deployment model - as a worker extender operating within a credentialed human's scope of practice, rather than as a standalone diagnostic or decision-making agent - has given us direct operating experience with the human-AI team question. In deployments where the device is functioning as an extender of an identified worker's scope, we recommend CDRH treat human-AI team performance as the default comparator and evaluation unit, not device-alone performance, because device-alone benchmarking in that deployment model measures a configuration that will not exist in the field. Device-alone performance should be reserved as the primary comparator for devices intended for fully autonomous, unsupervised use (the upperright of the two-axis framework).</w:t>
      </w:r>
    </w:p>
    <w:p>
      <w:r>
        <w:rPr>
          <w:color w:val="777777"/>
          <w:sz w:val="16"/>
        </w:rPr>
        <w:t xml:space="preserve">p051 · att1 p.7  </w:t>
      </w:r>
      <w:r>
        <w:t>We would also recommend the comparator selection be tied transparently to whichever configuration the sponsor's labeling and intended use actually describe, so that a sponsor cannot benchmark in the easier configuration (human-AI team) while marketing for the harder one (autonomous). Human-AI team benchmarking should also measure override behavior and clinician trust calibration over time, not only at a single point of certification but a device also that is initially well-calibrated can still drift toward over-reliance or unwarranted disuse as clinicians gain experience with it.</w:t>
      </w:r>
    </w:p>
    <w:p>
      <w:r>
        <w:rPr>
          <w:color w:val="777777"/>
          <w:sz w:val="16"/>
        </w:rPr>
        <w:t xml:space="preserve">p052 · att1 p.7  </w:t>
      </w:r>
      <w:r>
        <w:t>Question 16 - What role should independent third parties play in benchmarking and clinical confirmation?</w:t>
      </w:r>
    </w:p>
    <w:p>
      <w:r>
        <w:rPr>
          <w:color w:val="777777"/>
          <w:sz w:val="16"/>
        </w:rPr>
        <w:t xml:space="preserve">p053 · att1 p.7  </w:t>
      </w:r>
      <w:r>
        <w:t>We would point CDRH to a directly relevant and very recent precedent: the regulation of laboratory-developed tests (LDTs). For decades, clinical laboratories have developed, validated, and continuously monitored complex, high-complexity diagnostic tests - including genomic and interpretive tests functionally comparable in sophistication to many GenAI-enabled outputs - under CLIA's quality-system framework: laboratory certification, defined analytical and clinical validation protocols, routine proficiency testing, and independent accreditation audit (CAP and equivalent bodies), all without categorical FDA premarket device clearance. In American Clinical Laboratory Association v. FDA (E.D. Tex., March 31, 2025), the court vacated FDA's final rule that would have regulated LDTs as medical devices, holding that “the text, structure, and history of the FDCA and CLIA make clear that FDA lacks the authority to regulate laboratory developed test services,” and that Congress vested that authority in CMS through CLIA, not in FDA through the device provisions of the FDCA. FDA did not appeal that decision. The court further noted that the vacated rule had threatened to shutter laboratories and would have cost patients access to countless cutting-edge tests - a direct illustration of the innovation and access costs that follow when a premarket device-style gate is layered onto a field already governed by a rigorous, quality-system-based oversight model. Congress is now moving to further strengthen, not weaken, that CLIA-based approach: the Enhancing Clinical Laboratory Innovation and Access Act (“Enhancing CLIA Act”), introduced May 19, 2026, proposes to modernize CLIA oversight of LDTs specifically to strengthen innovation, increase transparency, and improve access.</w:t>
      </w:r>
    </w:p>
    <w:p>
      <w:r>
        <w:rPr>
          <w:color w:val="777777"/>
          <w:sz w:val="16"/>
        </w:rPr>
        <w:t xml:space="preserve">p054 · att1 p.8  </w:t>
      </w:r>
      <w:r>
        <w:t>We believe this is a genuinely instructive analog, not merely an adjacent precedent. CLIA has demonstrated, over decades and now reaffirmed in court, that rigorous scientific and quality standards, enforced through accreditation and continuous proficiency testing rather than case-by-case federal premarket clearance, can sustain both patient safety and a competitive, innovating field of laboratories. For GenAI-enabled device functions that are developed, validated, and deployed as part of a CLIA-accredited laboratory's own testing and interpretive services - for example, an AI-enabled interpretive layer integral to a laboratory-developed test - we recommend CDRH explicitly recognize existing CLIA/CAP accreditation, validation, and proficiency-testing obligations as sufficient to satisfy some or all of the benchmarking and third-party evidentiary elements described in Section V, rather than layering an additional, FDA-specific device review requirement on top of a quality-system framework Congress and the courts have already affirmed as fit for this purpose. This would extend, to laboratory-embedded GenAI functions, the same innovation-preserving logic that CLIA has provided the broader diagnostics industry.</w:t>
      </w:r>
    </w:p>
    <w:p>
      <w:r>
        <w:rPr>
          <w:color w:val="777777"/>
          <w:sz w:val="16"/>
        </w:rPr>
        <w:t xml:space="preserve">p055 · att1 p.8  </w:t>
      </w:r>
      <w:r>
        <w:t>For GenAI-enabled functions outside that laboratory-embedded context, we would still encourage CDRH to look to CLIA/CAP-accredited infrastructure - the kind Labarium operates - as a template for hosting sequestered benchmarking datasets, conducting periodic re-benchmarking, and supplying independently adjudicated realworld data, rather than constructing a wholly new third-party accreditation apparatus for GenAI-enabled devices from scratch. Separately, CMS's evaluation and integration of HumAInity as an Ecosystem partner is itself an example of a federal program already performing independent, cross-agency assessment of a certified AI healthcare worker extender; we encourage CDRH to coordinate with CMS on lessons learned from that review rather than developing an FDA-only evaluation model in isolation. In all cases, we would caution CDRH against making any third-party pathway a mandatory gate to premarket clearance. A voluntary, optional third-party pathway - similar in spirit to the existing ASCA program, and consistent with the CLIA precedent above - lets sponsors with the resources to use it benefit from streamlined review, without imposing the same fixed cost on a sponsor that instead submits its own well-documented in-house benchmarking directly to CDRH. If CDRH does encourage third-party involvement, we recommend it accompany that encouragement with a shared or subsidized infrastructure model - pooled adjudicator panels and sequestered benchmark datasets accessible on standardized, published terms - so that third-party review is a genuinely lower-cost option for small entities rather than a de facto toll that only well-capitalized sponsors can afford.</w:t>
      </w:r>
    </w:p>
    <w:p>
      <w:r>
        <w:rPr>
          <w:color w:val="777777"/>
          <w:sz w:val="16"/>
        </w:rPr>
        <w:t xml:space="preserve">p056 · att1 p.9  </w:t>
      </w:r>
      <w:r>
        <w:t>Section VI – Post market Monitoring (Questions 18 and 19) — Question 18 - Under what conditions should CDRH accept greater premarket uncertainty in exchange for greater reliance on post-market monitoring?</w:t>
      </w:r>
    </w:p>
    <w:p>
      <w:r>
        <w:rPr>
          <w:color w:val="777777"/>
          <w:sz w:val="16"/>
        </w:rPr>
        <w:t xml:space="preserve">p057 · att1 p.9  </w:t>
      </w:r>
      <w:r>
        <w:t>We recommend CDRH accept this trade-off as the default posture for any GenAI-enabled device outside the highest-risk band of the two-axis framework, not merely as an occasional accommodation. Three considerations support this:</w:t>
      </w:r>
    </w:p>
    <w:p>
      <w:r>
        <w:rPr>
          <w:color w:val="777777"/>
          <w:sz w:val="16"/>
        </w:rPr>
        <w:t xml:space="preserve">p058 · att1 p.9  </w:t>
      </w:r>
      <w:r>
        <w:t>• It is more consistent with the least-burdensome statutory principle CDRH itself cites, which asks CDRH to select the minimum evidence necessary for a reasonable assurance of safety and effectiveness - not the maximum evidence theoretically obtainable.</w:t>
      </w:r>
    </w:p>
    <w:p>
      <w:r>
        <w:rPr>
          <w:color w:val="777777"/>
          <w:sz w:val="16"/>
        </w:rPr>
        <w:t xml:space="preserve">p059 · att1 p.9  </w:t>
      </w:r>
      <w:r>
        <w:t>• It is arguably more protective in practice for GenAI-enabled devices specifically, because these devices can change after deployment in ways traditional locked software does not; a robust, continuous postmarket monitoring program (periodic re-benchmarking, degradation monitoring, sample-based clinician review) can detect and respond to a real-world problem faster than a premarket study that only characterizes the device as it existed at a single point in time, months or years before deployment.</w:t>
      </w:r>
    </w:p>
    <w:p>
      <w:r>
        <w:rPr>
          <w:color w:val="777777"/>
          <w:sz w:val="16"/>
        </w:rPr>
        <w:t xml:space="preserve">p060 · att1 p.9  </w:t>
      </w:r>
      <w:r>
        <w:t>• It materially lowers the fixed cost and time-to-market for early-stage companies, which is where a large share of genuine GenAI clinical innovation is likely to originate, without abandoning safety oversight - it relocates that oversight to where it is both more current and less front-loaded.</w:t>
      </w:r>
    </w:p>
    <w:p>
      <w:r>
        <w:rPr>
          <w:color w:val="777777"/>
          <w:sz w:val="16"/>
        </w:rPr>
        <w:t xml:space="preserve">p061 · att1 p.9  </w:t>
      </w:r>
      <w:r>
        <w:t>CDRH does not need to design this mechanism from first principles. The Predetermined Change Control Plan framework already gives sponsors a pre-authorized pathway for planned model changes, subject to a defined monitoring and verification protocol. We recommend CDRH extend the PCCP framework, rather than a new parallel mechanism, to serve as the vehicle for the prespecified post-market monitoring plan this discussion paper proposes for GenAI-enabled devices. The characteristics that should justify reduced premarket evidence are, in our view, largely the ones already implicit in the paper's own post-market monitoring section: a prespecified, adequately resourced monitoring plan with defined cadence and triggering events, a credible mechanism for rapid corrective action (including market withdrawal or use restriction) if degradation is detected, and transparency to CDRH sufficient for the agency to audit the monitoring program itself. Devices in the highest-risk band - fully autonomous, severe-consequence functions - are the appropriate exception where CDRH's traditional premarket-weighted posture should continue to apply.</w:t>
      </w:r>
    </w:p>
    <w:p>
      <w:r>
        <w:rPr>
          <w:color w:val="777777"/>
          <w:sz w:val="16"/>
        </w:rPr>
        <w:t xml:space="preserve">p062 · att1 p.9  </w:t>
      </w:r>
      <w:r>
        <w:t>Question 19 - Comment on periodic re-benchmarking, sample-based clinician review, and performance degradation monitoring. What additional approaches, cadence, and triggering events should CDRH consider?</w:t>
      </w:r>
    </w:p>
    <w:p>
      <w:r>
        <w:rPr>
          <w:color w:val="777777"/>
          <w:sz w:val="16"/>
        </w:rPr>
        <w:t xml:space="preserve">p063 · att1 p.9  </w:t>
      </w:r>
      <w:r>
        <w:t>Labarium's multi-site laboratory infrastructure already performs the operational analog of what CDRH is proposing here - continuous proficiency testing, QC monitoring, and multi-site performance reconciliation across an expanding footprint of acquired laboratories, under existing CLIA obligations. We recommend CDRH treat accredited laboratory quality-system cadences (routine proficiency testing intervals, triggered reverification after any material change to method, reagent, or platform) as a proven, auditable cadence model for periodic device re-benchmarking of GenAI-enabled devices, particularly for devices that are themselves deployed within, or alongside, a CLIA-accredited laboratory workflow.</w:t>
      </w:r>
    </w:p>
    <w:p>
      <w:r>
        <w:rPr>
          <w:color w:val="777777"/>
          <w:sz w:val="16"/>
        </w:rPr>
        <w:t xml:space="preserve">p064 · att1 p.10  </w:t>
      </w:r>
      <w:r>
        <w:t>We further recommend CDRH require sample-based chart review conducted by practicing clinicians independent of the sponsor, not technical re-benchmarking alone, as a standing element of post market monitoring. Existing quality-improvement infrastructure including AHRQ-listed Patient Safety Organizations and the peer-review and quality-measurement frameworks that are already operated inside health systems offers CDRH a ready adjudication model rather than one newly built for this purpose.</w:t>
      </w:r>
    </w:p>
    <w:p>
      <w:r>
        <w:rPr>
          <w:color w:val="777777"/>
          <w:sz w:val="16"/>
        </w:rPr>
        <w:t xml:space="preserve">p065 · att1 p.10  </w:t>
      </w:r>
      <w:r>
        <w:t>We also recommend CDRH treat commercial and compensation structures tied to a GenAI-enabled device's outputs as a post-market monitoring risk category in their own right, distinct from technical performance degradation. In pharmacogenomic commercialization, percentage-of-volume or percentage-of-sales compensation arrangements tied to clinician-facing test orders present structural Anti-Kickback Statute exposure regardless of how compensation is routed - including through a marketing intermediary - and, separately from the legal exposure, they create incentives that can distort the very real-world performance data a post-market monitoring program relies on. A GenAI-enabled device whose adoption or usage volume is tied to compensated referral relationships may show performance or utilization signals that reflect commercial incentive rather than clinical merit. We recommend CDRH require sponsors to disclose, as part of post-market monitoring plans, whether compensation structures exist that could influence device utilization, and to account for that possibility when interpreting post-market performance signals.</w:t>
      </w:r>
    </w:p>
    <w:p>
      <w:r>
        <w:rPr>
          <w:color w:val="777777"/>
          <w:sz w:val="16"/>
        </w:rPr>
        <w:t xml:space="preserve">p066 · att1 p.10  </w:t>
      </w:r>
      <w:r>
        <w:t>Section VII - Foundation Model MAFs and Agentic AI (Question 26) — Question 26 - What additional considerations apply to agentic GenAI-enabled devices, beyond non-agentic devices, and how should elevated autonomy risk be reflected in acceptance criteria and oversight?</w:t>
      </w:r>
    </w:p>
    <w:p>
      <w:r>
        <w:rPr>
          <w:color w:val="777777"/>
          <w:sz w:val="16"/>
        </w:rPr>
        <w:t xml:space="preserve">p067 · att1 p.10  </w:t>
      </w:r>
      <w:r>
        <w:t>Through Arockia AI's clinical decision support work, we would encourage CDRH to anchor its agentic AI oversight approach explicitly to the existing clinical decision support exclusion criteria under section 520(o)(1)(E) of the FD&amp;C Act - in particular the independent-review criterion the paper itself references in footnote 13. As agentic systems increasingly plan and execute multi-step action sequences, the practical question for a deploying clinician or facility becomes whether a human retains a genuine, informed opportunity to independently review and reject a planned action sequence before it executes, not merely whether a human is nominally “in the loop.”</w:t>
      </w:r>
    </w:p>
    <w:p>
      <w:r>
        <w:rPr>
          <w:color w:val="777777"/>
          <w:sz w:val="16"/>
        </w:rPr>
        <w:t xml:space="preserve">p068 · att1 p.10  </w:t>
      </w:r>
      <w:r>
        <w:t>We recommend CDRH develop a bright-line operational test for what constitutes meaningful independent review of an agentic action sequence - including minimum information the system must surface to the reviewing human before an irreversible or high-consequence action - rather than treating “human-oversight checkpoint” as self-defining. Small and rural facilities, which are Arockia AI's primary go-to-market channel, are the deployment settings most likely to have thinner staffing available to perform that review function meaningfully, and we recommend CDRH's acceptance criteria account for that reality.</w:t>
      </w:r>
    </w:p>
    <w:p>
      <w:r>
        <w:rPr>
          <w:color w:val="777777"/>
          <w:sz w:val="16"/>
        </w:rPr>
        <w:t xml:space="preserve">p069 · att1 p.10  </w:t>
      </w:r>
      <w:r>
        <w:t>We would also urge CDRH to hold the line on the device definition itself as agentic systems proliferate. Many agentic healthcare AI functions - care coordination, documentation, scheduling, and administrative orchestration - are, by the paper's own description, not necessarily functions that are the focus of FDA's device regulatory oversight.</w:t>
      </w:r>
    </w:p>
    <w:p>
      <w:r>
        <w:rPr>
          <w:color w:val="777777"/>
          <w:sz w:val="16"/>
        </w:rPr>
        <w:t xml:space="preserve">p070 · att1 p.10  </w:t>
      </w:r>
      <w:r>
        <w:t>As these systems increasingly bundle device and non-device functions together, we recommend CDRH reaffirm, rather than erode, the existing multiple-function device product framework: the presence of agentic orchestration around a non-device function should not, on its own, pull that function into device regulation.</w:t>
      </w:r>
    </w:p>
    <w:p>
      <w:r>
        <w:rPr>
          <w:color w:val="777777"/>
          <w:sz w:val="16"/>
        </w:rPr>
        <w:t xml:space="preserve">p071 · att1 p.11  </w:t>
      </w:r>
      <w:r>
        <w:t>This distinction matters disproportionately to early-stage companies, which are more likely than incumbents to be building narrow, single-purpose agentic tools that never touch a device function at all, and which cannot absorb the cost of a premarket submission triggered by regulatory ambiguity rather than by genuine patient risk.</w:t>
      </w:r>
    </w:p>
    <w:p>
      <w:r>
        <w:rPr>
          <w:color w:val="777777"/>
          <w:sz w:val="16"/>
        </w:rPr>
        <w:t xml:space="preserve">p072 · att1 p.11  </w:t>
      </w:r>
      <w:r>
        <w:t>Conclusion and Offer of Collaboration — CDRH's discussion paper correctly recognizes that GenAI-enabled devices require an evidentiary approach inspired by, but adapted from, how the healthcare system already evaluates clinical evidence and credentials human clinicians. We would encourage CDRH to draw that inspiration not only from clinician credentialing, but from the layered analytic validity / clinical validity / clinical utility discipline that diagnostic and genomic testing has already developed and been regulated under for years.</w:t>
      </w:r>
    </w:p>
    <w:p>
      <w:r>
        <w:rPr>
          <w:color w:val="777777"/>
          <w:sz w:val="16"/>
        </w:rPr>
        <w:t xml:space="preserve">p073 · att1 p.11  </w:t>
      </w:r>
      <w:r>
        <w:t>At the same time, we would ask CDRH to hold itself to the same discipline it is asking of sponsors: match the level of evidence and oversight to the level of risk, no more and no less. A framework that is rigorous where risk is genuinely high and light-touch where it is not will do more to protect patients, and more to sustain a competitive field of innovators capable of bringing safe GenAI-enabled devices to market, than one that applies uniform, maximal evidentiary burden regardless of actual risk.</w:t>
      </w:r>
    </w:p>
    <w:p>
      <w:r>
        <w:rPr>
          <w:color w:val="777777"/>
          <w:sz w:val="16"/>
        </w:rPr>
        <w:t xml:space="preserve">p074 · att1 p.11  </w:t>
      </w:r>
      <w:r>
        <w:t>We would welcome the opportunity to make Labarium's multi-site CLIA/CAP laboratory infrastructure, Proove Biosciences' and Proove Genomics' historical and ongoing clinical-genetic evidence generation, HumAInity's certified worker-extender deployment and CMS Ecosystem experience, as well as Arockia’s ability to interject and measure quality outcomes at the point-of-care available to CDRH as a case study, pilot partner, or public workshop participant as this framework develops further.</w:t>
      </w:r>
    </w:p>
    <w:p>
      <w:r>
        <w:rPr>
          <w:color w:val="777777"/>
          <w:sz w:val="16"/>
        </w:rPr>
        <w:t xml:space="preserve">p075 · att1 p.11  </w:t>
      </w:r>
      <w:r>
        <w:t>Thank you for the opportunity to comment on this important discussion paper. We are available to provide additional detail on any of the above at CDRH's convenience.</w:t>
      </w:r>
    </w:p>
    <w:p>
      <w:r>
        <w:rPr>
          <w:color w:val="777777"/>
          <w:sz w:val="16"/>
        </w:rPr>
        <w:t xml:space="preserve">p076 · att1 p.11  </w:t>
      </w:r>
      <w:r>
        <w:t>Respectfully submitted,</w:t>
      </w:r>
    </w:p>
    <w:p>
      <w:r>
        <w:rPr>
          <w:color w:val="777777"/>
          <w:sz w:val="16"/>
        </w:rPr>
        <w:t xml:space="preserve">p077 · att1 p.11  </w:t>
      </w:r>
      <w:r>
        <w:t>Brian Meshkin Managing Partner, Profound Ventures Chairman, President &amp; CEO, Labarium Diagnostic Systems, Inc. | Co-Founder, HumAInity | Co-Founder, Arockia AI, Inc. Destin, Florida</w:t>
      </w:r>
    </w:p>
    <w:p>
      <w:r>
        <w:rPr>
          <w:color w:val="777777"/>
          <w:sz w:val="16"/>
        </w:rPr>
        <w:t xml:space="preserve">p078 · att1 p.11  </w:t>
      </w:r>
      <w:r>
        <w:t>Anita Monteiro, RN, MA, MSHCA, MBA, ACC CEO &amp; Co-Founder, Guidance Global Consulting Co-Founder, Arockia AI, Inc. Advisory Board Member, HumAInity | Proove Genomics | Labarium Diagnostic Systems, Inc. Fulton, Maryland</w:t>
      </w:r>
    </w:p>
    <w:p>
      <w:pPr>
        <w:pStyle w:val="Heading1"/>
        <w:pageBreakBefore/>
      </w:pPr>
      <w:r>
        <w:t>FDA-2026-N-7874-0095</w:t>
      </w:r>
    </w:p>
    <w:p>
      <w:r>
        <w:t>Comment from Rohith Reddy Bellibatlu</w:t>
      </w:r>
    </w:p>
    <w:p>
      <w:r>
        <w:rPr>
          <w:color w:val="777777"/>
          <w:sz w:val="18"/>
        </w:rPr>
        <w:t>Academia - E0007 · received 2026-09-14 · attachments: attachment_1.pdf (4 pp)</w:t>
      </w:r>
    </w:p>
    <w:p>
      <w:r>
        <w:rPr>
          <w:color w:val="777777"/>
          <w:sz w:val="16"/>
        </w:rPr>
        <w:t xml:space="preserve">p001 · body  </w:t>
      </w:r>
      <w:r>
        <w:t>Comment on Docket FDA-2026-N-7874, addressing Questions 10, 12, 13, 19, 20 and 26. The attached PDF gives the full version.</w:t>
      </w:r>
    </w:p>
    <w:p>
      <w:r>
        <w:rPr>
          <w:color w:val="777777"/>
          <w:sz w:val="16"/>
        </w:rPr>
        <w:t xml:space="preserve">p002 · body  </w:t>
      </w:r>
      <w:r>
        <w:t>I support the competency-based approach in Section V and the postmarket framework in Section VI, and I ask CDRH to add one requirement to both.</w:t>
      </w:r>
    </w:p>
    <w:p>
      <w:r>
        <w:rPr>
          <w:color w:val="777777"/>
          <w:sz w:val="16"/>
        </w:rPr>
        <w:t xml:space="preserve">p003 · body  </w:t>
      </w:r>
      <w:r>
        <w:t>A sponsor should report, alongside any performance estimate for a generative device, the variation that same device produces when run repeatedly on identical inputs. Call it the reproducibility floor. Where a reported difference does not exceed that floor, the evaluation should be treated as uninformative for that endpoint, rather than as evidence of equivalence, of stable performance, or of no disparity.</w:t>
      </w:r>
    </w:p>
    <w:p>
      <w:r>
        <w:rPr>
          <w:color w:val="777777"/>
          <w:sz w:val="16"/>
        </w:rPr>
        <w:t xml:space="preserve">p004 · body  </w:t>
      </w:r>
      <w:r>
        <w:t>The reason is that every evaluation in the discussion paper reports a difference. Benchmarking compares a device against a threshold. Clinical confirmation compares outcomes with and without the device. Postmarket monitoring compares today against a baseline. Subgroup analysis compares one population against another. A difference cannot be interpreted without knowing how much the same system moves when nothing changes. For deterministic software that quantity is zero. For generative models it is not zero.</w:t>
      </w:r>
    </w:p>
    <w:p>
      <w:r>
        <w:rPr>
          <w:color w:val="777777"/>
          <w:sz w:val="16"/>
        </w:rPr>
        <w:t xml:space="preserve">p005 · body  </w:t>
      </w:r>
      <w:r>
        <w:t>EVIDENCE. In a study of counterfactual fairness auditing in multi-step clinical LLM agents (arXiv:2609.03221), sixteen synthetic vignettes were run through a six-stage agent trajectory. An identical condition, same narrative and same patient descriptor with nothing varied, was re-run ten times. Across 4,320 outcome-vignette cells the agent's action changed in 8.7 percent of cells. Instability was not uniform: it ranged from 0.022 for intensive care escalation to 0.179 for controlled-substance caution, a factor of eight. A second model gave a pooled floor of 6.7 percent. No demographic contrast was distinguishable from the floor, so that study claims no disparity finding and none should be read into this comment. The vignettes were synthetic, two models were examined, and the system was a research harness rather than a regulated device; the harness and protocol are public.</w:t>
      </w:r>
    </w:p>
    <w:p>
      <w:r>
        <w:rPr>
          <w:color w:val="777777"/>
          <w:sz w:val="16"/>
        </w:rPr>
        <w:t xml:space="preserve">p006 · body  </w:t>
      </w:r>
      <w:r>
        <w:t>Q12, statistically meaningful measurement. The right null is not zero difference but the difference the device produces against itself. Report a floor per graded endpoint, measured on identical inputs under the marketed configuration. Report it per endpoint, not pooled: a pooled 8.7 percent would have hidden a range from 2.2 to 17.9 percent.</w:t>
      </w:r>
    </w:p>
    <w:p>
      <w:r>
        <w:rPr>
          <w:color w:val="777777"/>
          <w:sz w:val="16"/>
        </w:rPr>
        <w:t xml:space="preserve">p007 · body  </w:t>
      </w:r>
      <w:r>
        <w:t>Q10, benchmark construct validity. A benchmark score is one draw from a stochastic process. Two devices differing by less than the benchmark's own floor have not been distinguished by it. A benchmark gating a regulatory decision should carry a documented floor. This also sharpens saturation: a benchmark stops being useful when the spread between devices drops below its own noise, which arrives before scores crowd the ceiling.</w:t>
      </w:r>
    </w:p>
    <w:p>
      <w:r>
        <w:rPr>
          <w:color w:val="777777"/>
          <w:sz w:val="16"/>
        </w:rPr>
        <w:t xml:space="preserve">p008 · body  </w:t>
      </w:r>
      <w:r>
        <w:t>Q13, synthetic data and underrepresented subgroups. Require sponsors to state the minimum detectable difference. In the measurements above no demographic contrast was distinguishable from the floor, which is easy to misread as evidence of fairness. It establishes only that any difference was smaller than the instrument could resolve. Without a stated minimum detectable difference a null subgroup result carries no information, and the subgroups most likely to be harmed have the smallest samples and least power.</w:t>
      </w:r>
    </w:p>
    <w:p>
      <w:r>
        <w:rPr>
          <w:color w:val="777777"/>
          <w:sz w:val="16"/>
        </w:rPr>
        <w:t xml:space="preserve">p009 · body  </w:t>
      </w:r>
      <w:r>
        <w:t>Q19, monitoring cadence and triggers. A trigger below the floor fires on noise; one above it cannot detect drift smaller than the floor. The floor should set the minimum detectable effect, which should drive sampling volume and threshold. A floor is a property of model, configuration and context together, so re-establish it after a model change.</w:t>
      </w:r>
    </w:p>
    <w:p>
      <w:r>
        <w:rPr>
          <w:color w:val="777777"/>
          <w:sz w:val="16"/>
        </w:rPr>
        <w:t xml:space="preserve">p010 · body  </w:t>
      </w:r>
      <w:r>
        <w:t>Q20, supervisory agents. In a study of language models used as evaluation judges (arXiv:2604.23478), verdicts moved under semantically equivalent rephrasings of the evaluation prompt, pairwise comparisons showed position bias, and model scale was not a reliable proxy for consistency. So a supervisory agent should not be accepted for changes smaller than its own measured instability; the supervisory prompt belongs under change control; and where supervisor and device share a foundation model their errors should not be assumed independent.</w:t>
      </w:r>
    </w:p>
    <w:p>
      <w:r>
        <w:rPr>
          <w:color w:val="777777"/>
          <w:sz w:val="16"/>
        </w:rPr>
        <w:t xml:space="preserve">p011 · body  </w:t>
      </w:r>
      <w:r>
        <w:t>Q26, agentic devices. Instability differed across actions by a factor of eight, so acceptance criteria should be set per action, with the highest-consequence actions measured most carefully. Measuring at each decision point costs nothing extra since the trajectory runs either way.</w:t>
      </w:r>
    </w:p>
    <w:p>
      <w:r>
        <w:rPr>
          <w:color w:val="777777"/>
          <w:sz w:val="16"/>
        </w:rPr>
        <w:t xml:space="preserve">p012 · body  </w:t>
      </w:r>
      <w:r>
        <w:t>I do not propose a numerical threshold for acceptable instability; that depends on the action and its consequences, and Section IV is a sensible structure for that call. Nor am I claiming generative devices are unacceptably unstable. My argument is that the quantity should be measured and reported, so the call can be made on evidence.</w:t>
      </w:r>
    </w:p>
    <w:p>
      <w:r>
        <w:rPr>
          <w:color w:val="777777"/>
          <w:sz w:val="16"/>
        </w:rPr>
        <w:t xml:space="preserve">p013 · body  </w:t>
      </w:r>
      <w:r>
        <w:t>Rohith Reddy Bellibatlu, independent researcher, clinical AI evaluation methodology. ORCID 0009-0003-6083-0364.</w:t>
      </w:r>
    </w:p>
    <w:p>
      <w:r>
        <w:rPr>
          <w:color w:val="777777"/>
          <w:sz w:val="16"/>
        </w:rPr>
        <w:t xml:space="preserve">p014 · att1 p.1  </w:t>
      </w:r>
      <w:r>
        <w:t>Comment on Docket FDA-2026-N-7874 — Considerations for the Regulation of Generative AI-Enabled Medical Devices: Discussion Paper and Request for Feedback</w:t>
      </w:r>
    </w:p>
    <w:p>
      <w:r>
        <w:rPr>
          <w:color w:val="777777"/>
          <w:sz w:val="16"/>
        </w:rPr>
        <w:t xml:space="preserve">p015 · att1 p.1  </w:t>
      </w:r>
      <w:r>
        <w:t>Rohith Reddy Bellibatlu, independent researcher, clinical AI evaluation methodology rohithreddybc@gmail.com · ORCID 0009-0003-6083-0364</w:t>
      </w:r>
    </w:p>
    <w:p>
      <w:r>
        <w:rPr>
          <w:color w:val="777777"/>
          <w:sz w:val="16"/>
        </w:rPr>
        <w:t xml:space="preserve">p016 · att1 p.1  </w:t>
      </w:r>
      <w:r>
        <w:t>What I am recommending — I support the competency-based approach in Section V and the postmarket framework in Section VI. This comment asks CDRH to add one requirement to both.</w:t>
      </w:r>
    </w:p>
    <w:p>
      <w:r>
        <w:rPr>
          <w:color w:val="777777"/>
          <w:sz w:val="16"/>
        </w:rPr>
        <w:t xml:space="preserve">p017 · att1 p.1  </w:t>
      </w:r>
      <w:r>
        <w:t>A sponsor should report, alongside any performance estimate for a generative device, the variation that same device produces when run repeatedly on identical inputs. Call it the reproducibility floor. Where a reported difference does not exceed that floor, the evaluation should be treated as uninformative for that endpoint, rather than as evidence of equivalence, of stable performance, or of no disparity.</w:t>
      </w:r>
    </w:p>
    <w:p>
      <w:r>
        <w:rPr>
          <w:color w:val="777777"/>
          <w:sz w:val="16"/>
        </w:rPr>
        <w:t xml:space="preserve">p018 · att1 p.1  </w:t>
      </w:r>
      <w:r>
        <w:t>The reason is simple. Every evaluation in the discussion paper reports a difference. Benchmarking compares a device against a threshold. Clinical confirmation compares outcomes with and without the device. Postmarket monitoring compares today against a baseline. Subgroup analysis compares one population against another.</w:t>
      </w:r>
    </w:p>
    <w:p>
      <w:r>
        <w:rPr>
          <w:color w:val="777777"/>
          <w:sz w:val="16"/>
        </w:rPr>
        <w:t xml:space="preserve">p019 · att1 p.1  </w:t>
      </w:r>
      <w:r>
        <w:t>A difference cannot be interpreted without knowing how much the same system moves when nothing changes. For deterministic software that quantity is zero, which is why it has never needed stating. For generative models it is not zero, and in the measurements below it was larger than the differences the evaluation was built to detect.</w:t>
      </w:r>
    </w:p>
    <w:p>
      <w:r>
        <w:rPr>
          <w:color w:val="777777"/>
          <w:sz w:val="16"/>
        </w:rPr>
        <w:t xml:space="preserve">p020 · att1 p.1  </w:t>
      </w:r>
      <w:r>
        <w:t>This comment addresses Questions 10, 12, 13, 19, 20 and 26.</w:t>
      </w:r>
    </w:p>
    <w:p>
      <w:r>
        <w:rPr>
          <w:color w:val="777777"/>
          <w:sz w:val="16"/>
        </w:rPr>
        <w:t xml:space="preserve">p021 · att1 p.1  </w:t>
      </w:r>
      <w:r>
        <w:t>The evidence — From a study of counterfactual fairness auditing in multi-step clinical LLM agents (arXiv:2609.03221).</w:t>
      </w:r>
    </w:p>
    <w:p>
      <w:r>
        <w:rPr>
          <w:color w:val="777777"/>
          <w:sz w:val="16"/>
        </w:rPr>
        <w:t xml:space="preserve">p022 · att1 p.1  </w:t>
      </w:r>
      <w:r>
        <w:t>Sixteen synthetic clinical vignettes were run through a six-stage agent trajectory. An identical condition, meaning the same narrative and the same patient descriptor with nothing varied, was re-run ten times. Across 4,320 outcome-vignette cells, the agent's action changed in 8.7 percent of cells.</w:t>
      </w:r>
    </w:p>
    <w:p>
      <w:r>
        <w:rPr>
          <w:color w:val="777777"/>
          <w:sz w:val="16"/>
        </w:rPr>
        <w:t xml:space="preserve">p023 · att1 p.1  </w:t>
      </w:r>
      <w:r>
        <w:t>Three things about that number matter here.</w:t>
      </w:r>
    </w:p>
    <w:p>
      <w:r>
        <w:rPr>
          <w:color w:val="777777"/>
          <w:sz w:val="16"/>
        </w:rPr>
        <w:t xml:space="preserve">p024 · att1 p.1  </w:t>
      </w:r>
      <w:r>
        <w:t>It was not uniform across actions. Instability ranged from 0.022 for intensive care escalation to 0.179 for controlled-substance caution, a factor of eight. A single device-level figure would have badly misstated both ends.</w:t>
      </w:r>
    </w:p>
    <w:p>
      <w:r>
        <w:rPr>
          <w:color w:val="777777"/>
          <w:sz w:val="16"/>
        </w:rPr>
        <w:t xml:space="preserve">p025 · att1 p.1  </w:t>
      </w:r>
      <w:r>
        <w:t>It was not one system's quirk. A second model gave a pooled floor of 6.7 percent and ranked the six actions in nearly the same order (Spearman 0.94, exact p = 0.017).</w:t>
      </w:r>
    </w:p>
    <w:p>
      <w:r>
        <w:rPr>
          <w:color w:val="777777"/>
          <w:sz w:val="16"/>
        </w:rPr>
        <w:t xml:space="preserve">p026 · att1 p.1  </w:t>
      </w:r>
      <w:r>
        <w:t>Replication reduced it but did not remove it. Majority voting over five draws removed 39 percent of the floor and then flattened.</w:t>
      </w:r>
    </w:p>
    <w:p>
      <w:r>
        <w:rPr>
          <w:color w:val="777777"/>
          <w:sz w:val="16"/>
        </w:rPr>
        <w:t xml:space="preserve">p027 · att1 p.2  </w:t>
      </w:r>
      <w:r>
        <w:t>No demographic contrast in that data was distinguishable from the floor, so the study claims no disparity finding and none should be read into this comment.</w:t>
      </w:r>
    </w:p>
    <w:p>
      <w:r>
        <w:rPr>
          <w:color w:val="777777"/>
          <w:sz w:val="16"/>
        </w:rPr>
        <w:t xml:space="preserve">p028 · att1 p.2  </w:t>
      </w:r>
      <w:r>
        <w:t>What this evidence is not: the vignettes were synthetic, two models were examined, and the system was a research harness rather than a regulated device. The harness and the protocol are publicly released, so the same measurement can be made on a device, and the numbers will be that device's own.</w:t>
      </w:r>
    </w:p>
    <w:p>
      <w:r>
        <w:rPr>
          <w:color w:val="777777"/>
          <w:sz w:val="16"/>
        </w:rPr>
        <w:t xml:space="preserve">p029 · att1 p.2  </w:t>
      </w:r>
      <w:r>
        <w:t>Question 12, on statistically meaningful performance measurement — Statistical meaning requires a null. For a generative device the right null is not zero difference but the difference the device produces against itself.</w:t>
      </w:r>
    </w:p>
    <w:p>
      <w:r>
        <w:rPr>
          <w:color w:val="777777"/>
          <w:sz w:val="16"/>
        </w:rPr>
        <w:t xml:space="preserve">p030 · att1 p.2  </w:t>
      </w:r>
      <w:r>
        <w:t>Sponsors should report a reproducibility floor for each graded endpoint, measured on identical inputs under the configuration proposed for marketing, and compare performance differences against that floor rather than against zero. Where a confidence interval overlaps the floor, the study lacked the resolution to separate the device from its own variability.</w:t>
      </w:r>
    </w:p>
    <w:p>
      <w:r>
        <w:rPr>
          <w:color w:val="777777"/>
          <w:sz w:val="16"/>
        </w:rPr>
        <w:t xml:space="preserve">p031 · att1 p.2  </w:t>
      </w:r>
      <w:r>
        <w:t>Report it per endpoint, not pooled. In the measurements above, a pooled 8.7 percent would have hidden a range from 2.2 to 17.9 percent, and the least stable endpoints were not the ones a reviewer would have guessed.</w:t>
      </w:r>
    </w:p>
    <w:p>
      <w:r>
        <w:rPr>
          <w:color w:val="777777"/>
          <w:sz w:val="16"/>
        </w:rPr>
        <w:t xml:space="preserve">p032 · att1 p.2  </w:t>
      </w:r>
      <w:r>
        <w:t>This adds cost, and the cost is real: measuring a floor means running the evaluation set repeatedly. It is bounded, and it falls where the evaluation is already being built.</w:t>
      </w:r>
    </w:p>
    <w:p>
      <w:r>
        <w:rPr>
          <w:color w:val="777777"/>
          <w:sz w:val="16"/>
        </w:rPr>
        <w:t xml:space="preserve">p033 · att1 p.2  </w:t>
      </w:r>
      <w:r>
        <w:t>Question 10, on benchmark construct validity — A benchmark score for a generative system is one draw from a stochastic process. Two devices whose scores differ by less than the benchmark's own reproducibility floor have not been distinguished by it, and a device exceeding a threshold by less than the floor has not been shown to exceed it.</w:t>
      </w:r>
    </w:p>
    <w:p>
      <w:r>
        <w:rPr>
          <w:color w:val="777777"/>
          <w:sz w:val="16"/>
        </w:rPr>
        <w:t xml:space="preserve">p034 · att1 p.2  </w:t>
      </w:r>
      <w:r>
        <w:t>A benchmark used to gate a regulatory decision should therefore carry a documented floor, measured the same way each time, so a reviewer can see what difference the instrument can actually resolve.</w:t>
      </w:r>
    </w:p>
    <w:p>
      <w:r>
        <w:rPr>
          <w:color w:val="777777"/>
          <w:sz w:val="16"/>
        </w:rPr>
        <w:t xml:space="preserve">p035 · att1 p.2  </w:t>
      </w:r>
      <w:r>
        <w:t>This also sharpens the saturation concern in the same question. A benchmark stops being useful not only when scores crowd the ceiling, but when the spread between competing devices drops below its own noise. The second condition arrives first and is measurable.</w:t>
      </w:r>
    </w:p>
    <w:p>
      <w:r>
        <w:rPr>
          <w:color w:val="777777"/>
          <w:sz w:val="16"/>
        </w:rPr>
        <w:t xml:space="preserve">p036 · att1 p.2  </w:t>
      </w:r>
      <w:r>
        <w:t>Question 13, on synthetic data and underrepresented subgroups — CDRH asks how to keep an evaluation from missing performance gaps in underrepresented subgroups. One safeguard is to require sponsors to state what size of gap their evaluation could have detected.</w:t>
      </w:r>
    </w:p>
    <w:p>
      <w:r>
        <w:rPr>
          <w:color w:val="777777"/>
          <w:sz w:val="16"/>
        </w:rPr>
        <w:t xml:space="preserve">p037 · att1 p.2  </w:t>
      </w:r>
      <w:r>
        <w:t>In the measurements above, no demographic contrast was distinguishable from the floor. That is easy to misread as evidence the agent treated groups alike. It is not. It establishes only that any difference present was smaller than the instrument could resolve. The audit was underpowered; the system was not shown to be fair.</w:t>
      </w:r>
    </w:p>
    <w:p>
      <w:r>
        <w:rPr>
          <w:color w:val="777777"/>
          <w:sz w:val="16"/>
        </w:rPr>
        <w:t xml:space="preserve">p038 · att1 p.2  </w:t>
      </w:r>
      <w:r>
        <w:t>A submission reporting no subgroup difference should state the minimum detectable difference for that analysis. Without it a null result carries no information, and the subgroups most likely to be harmed are the ones with the smallest samples and the least power.</w:t>
      </w:r>
    </w:p>
    <w:p>
      <w:r>
        <w:rPr>
          <w:color w:val="777777"/>
          <w:sz w:val="16"/>
        </w:rPr>
        <w:t xml:space="preserve">p039 · att1 p.3  </w:t>
      </w:r>
      <w:r>
        <w:t>Question 19, on postmarket monitoring cadence and triggers — A degradation trigger set below the floor fires on noise. One set above it cannot detect drift smaller than the floor at the sampling in use. Both failures come from the same unmeasured quantity.</w:t>
      </w:r>
    </w:p>
    <w:p>
      <w:r>
        <w:rPr>
          <w:color w:val="777777"/>
          <w:sz w:val="16"/>
        </w:rPr>
        <w:t xml:space="preserve">p040 · att1 p.3  </w:t>
      </w:r>
      <w:r>
        <w:t>The floor should set the minimum detectable effect for monitoring, and that in turn should drive both sampling volume and trigger threshold. Where a sponsor proposes a cadence, the evidence should show what size of degradation that cadence could catch, and over what period.</w:t>
      </w:r>
    </w:p>
    <w:p>
      <w:r>
        <w:rPr>
          <w:color w:val="777777"/>
          <w:sz w:val="16"/>
        </w:rPr>
        <w:t xml:space="preserve">p041 · att1 p.3  </w:t>
      </w:r>
      <w:r>
        <w:t>A floor is a property of a model, its configuration and its deployment context together, so it should be re-established after a model change rather than carried forward from the premarket submission.</w:t>
      </w:r>
    </w:p>
    <w:p>
      <w:r>
        <w:rPr>
          <w:color w:val="777777"/>
          <w:sz w:val="16"/>
        </w:rPr>
        <w:t xml:space="preserve">p042 · att1 p.3  </w:t>
      </w:r>
      <w:r>
        <w:t>Question 20, on machine-based supervisory agents — CDRH asks what considerations apply to the reliability of a supervisory agent itself. The argument above applies to the supervisor unchanged, and there is direct evidence.</w:t>
      </w:r>
    </w:p>
    <w:p>
      <w:r>
        <w:rPr>
          <w:color w:val="777777"/>
          <w:sz w:val="16"/>
        </w:rPr>
        <w:t xml:space="preserve">p043 · att1 p.3  </w:t>
      </w:r>
      <w:r>
        <w:t>In a study of language models used as automated evaluation judges (arXiv:2604.23478), verdicts moved under semantically equivalent rephrasings of the evaluation prompt, pairwise comparisons showed position bias, and model scale was not a reliable proxy for consistency: the largest and newest models were not the most consistent.</w:t>
      </w:r>
    </w:p>
    <w:p>
      <w:r>
        <w:rPr>
          <w:color w:val="777777"/>
          <w:sz w:val="16"/>
        </w:rPr>
        <w:t xml:space="preserve">p044 · att1 p.3  </w:t>
      </w:r>
      <w:r>
        <w:t>Three consequences. A supervisory agent should not be accepted as a monitoring mechanism for changes smaller than its own measured instability. The supervisory prompt should sit under change control, because rephrasing it can move verdicts with no change whatever to the supervised device. And where supervisor and device come from the same foundation model, their errors should not be assumed independent, since CDRH's own concern in Question 13, that an instrument may reproduce the gaps it was built to detect, applies equally to a supervisor sharing its subject's architecture.</w:t>
      </w:r>
    </w:p>
    <w:p>
      <w:r>
        <w:rPr>
          <w:color w:val="777777"/>
          <w:sz w:val="16"/>
        </w:rPr>
        <w:t xml:space="preserve">p045 · att1 p.3  </w:t>
      </w:r>
      <w:r>
        <w:t>Question 26, on agentic devices — Agentic operation strengthens the case for per-action measurement. The study above measured a six-stage trajectory, and instability differed across actions by a factor of eight. A device-level aggregate would be dominated by the most frequent decisions rather than the most consequential.</w:t>
      </w:r>
    </w:p>
    <w:p>
      <w:r>
        <w:rPr>
          <w:color w:val="777777"/>
          <w:sz w:val="16"/>
        </w:rPr>
        <w:t xml:space="preserve">p046 · att1 p.3  </w:t>
      </w:r>
      <w:r>
        <w:t>Acceptance criteria for an agentic device should be set against the floor for each action it can take, with the highest-consequence actions measured most carefully. Multi-step operation also compounds: the stability of a final action depends on every step, and a floor measured only at the endpoint cannot say which step is responsible. Measuring at each decision point costs nothing extra, since the trajectory runs either way.</w:t>
      </w:r>
    </w:p>
    <w:p>
      <w:r>
        <w:rPr>
          <w:color w:val="777777"/>
          <w:sz w:val="16"/>
        </w:rPr>
        <w:t xml:space="preserve">p047 · att1 p.3  </w:t>
      </w:r>
      <w:r>
        <w:t>What I am not claiming — I do not propose a numerical threshold for acceptable instability. That depends on the action, its consequence, and what review stands downstream, and the two-axis framework in Section IV is a sensible structure for making that call. My argument is only that the quantity should be measured and reported, so the call can be made on evidence.</w:t>
      </w:r>
    </w:p>
    <w:p>
      <w:r>
        <w:rPr>
          <w:color w:val="777777"/>
          <w:sz w:val="16"/>
        </w:rPr>
        <w:t xml:space="preserve">p048 · att1 p.4  </w:t>
      </w:r>
      <w:r>
        <w:t>Nor am I claiming generative devices are unacceptably unstable. These measurements come from a research harness, and a device built with instability in mind may do far better. That is exactly why the number should be reported rather than assumed in either direction.</w:t>
      </w:r>
    </w:p>
    <w:p>
      <w:r>
        <w:rPr>
          <w:color w:val="777777"/>
          <w:sz w:val="16"/>
        </w:rPr>
        <w:t xml:space="preserve">p049 · att1 p.4  </w:t>
      </w:r>
      <w:r>
        <w:t>Respectfully submitted,</w:t>
      </w:r>
    </w:p>
    <w:p>
      <w:r>
        <w:rPr>
          <w:color w:val="777777"/>
          <w:sz w:val="16"/>
        </w:rPr>
        <w:t xml:space="preserve">p050 · att1 p.4  </w:t>
      </w:r>
      <w:r>
        <w:t>Rohith Reddy Bellibatlu</w:t>
      </w:r>
    </w:p>
    <w:p>
      <w:pPr>
        <w:pStyle w:val="Heading1"/>
        <w:pageBreakBefore/>
      </w:pPr>
      <w:r>
        <w:t>FDA-2026-N-7874-0096</w:t>
      </w:r>
    </w:p>
    <w:p>
      <w:r>
        <w:t>Comment from Saurabh Sharma</w:t>
      </w:r>
    </w:p>
    <w:p>
      <w:r>
        <w:rPr>
          <w:color w:val="777777"/>
          <w:sz w:val="18"/>
        </w:rPr>
        <w:t>Individual Consumer · received 2026-09-14</w:t>
      </w:r>
    </w:p>
    <w:p>
      <w:r>
        <w:rPr>
          <w:color w:val="777777"/>
          <w:sz w:val="16"/>
        </w:rPr>
        <w:t xml:space="preserve">p001 · body  </w:t>
      </w:r>
      <w:r>
        <w:t>Title: Comment on Considerations for the Regulation of Generative AI-Enabled Medical Devices (Docket FDA-2026-N-7874)</w:t>
      </w:r>
    </w:p>
    <w:p>
      <w:r>
        <w:rPr>
          <w:color w:val="777777"/>
          <w:sz w:val="16"/>
        </w:rPr>
        <w:t xml:space="preserve">p002 · body  </w:t>
      </w:r>
      <w:r>
        <w:t>Target Question: Discussion Question 24 – Detection, Evaluation, and Response to Third-Party Model Updates</w:t>
      </w:r>
    </w:p>
    <w:p>
      <w:r>
        <w:rPr>
          <w:color w:val="777777"/>
          <w:sz w:val="16"/>
        </w:rPr>
        <w:t xml:space="preserve">p003 · body  </w:t>
      </w:r>
      <w:r>
        <w:t>Executive Summary — As Generative AI (GenAI) and foundation models are integrated into medical devices, managing risk around unannounced upstream updates by third-party API providers represents a critical regulatory and operational hurdle. While static software components follow traditional change-control protocols, hosted foundation models often undergo silent weight adjustments or fine-tuning updates.</w:t>
      </w:r>
    </w:p>
    <w:p>
      <w:r>
        <w:rPr>
          <w:color w:val="777777"/>
          <w:sz w:val="16"/>
        </w:rPr>
        <w:t xml:space="preserve">p004 · body  </w:t>
      </w:r>
      <w:r>
        <w:t>To ensure continuous safety, effectiveness, and auditability, manufacturers must employ combination strategies involving localized model locking, strict QMS version lifecycle management, and continuous automated drift detection.</w:t>
      </w:r>
    </w:p>
    <w:p>
      <w:r>
        <w:rPr>
          <w:color w:val="777777"/>
          <w:sz w:val="16"/>
        </w:rPr>
        <w:t xml:space="preserve">p005 · body  </w:t>
      </w:r>
      <w:r>
        <w:t>Key Recommendations &amp; Technical Approaches — 1. On-Device &amp; Private Cloud Model Locking (Mitigation of Silent Updates)</w:t>
      </w:r>
    </w:p>
    <w:p>
      <w:r>
        <w:rPr>
          <w:color w:val="777777"/>
          <w:sz w:val="16"/>
        </w:rPr>
        <w:t xml:space="preserve">p006 · body  </w:t>
      </w:r>
      <w:r>
        <w:t>Local SLM Architecture: Where clinical utility permits, manufacturers should deploy domain-specific Small Language Models (SLMs) locally on-device or within private, locked environments.</w:t>
      </w:r>
    </w:p>
    <w:p>
      <w:r>
        <w:rPr>
          <w:color w:val="777777"/>
          <w:sz w:val="16"/>
        </w:rPr>
        <w:t xml:space="preserve">p007 · body  </w:t>
      </w:r>
      <w:r>
        <w:t>Control of Update Cycles: Local hosting isolates the medical device from unannounced third-party API changes, ensuring that model weight updates occur exclusively through controlled, validated manufacturer release cycles.</w:t>
      </w:r>
    </w:p>
    <w:p>
      <w:r>
        <w:rPr>
          <w:color w:val="777777"/>
          <w:sz w:val="16"/>
        </w:rPr>
        <w:t xml:space="preserve">p008 · body  </w:t>
      </w:r>
      <w:r>
        <w:t>2. Managing Multi-Version Lifecycle Proliferation in the QMS — Version Support Matrix: Recognizing that healthcare facilities and clinical sites upgrade software asynchronously, local model locking shifts the operational burden to multi-version lifecycle management.</w:t>
      </w:r>
    </w:p>
    <w:p>
      <w:r>
        <w:rPr>
          <w:color w:val="777777"/>
          <w:sz w:val="16"/>
        </w:rPr>
        <w:t xml:space="preserve">p009 · body  </w:t>
      </w:r>
      <w:r>
        <w:t>Quality System Expectations: The FDA should encourage manufacturers to incorporate strict backward-compatibility testing matrices, automated re-validation suites, and clear deprecation schedules directly into their Quality Management System (QMS) to support multiple active field baselines transparently during audits.</w:t>
      </w:r>
    </w:p>
    <w:p>
      <w:r>
        <w:rPr>
          <w:color w:val="777777"/>
          <w:sz w:val="16"/>
        </w:rPr>
        <w:t xml:space="preserve">p010 · body  </w:t>
      </w:r>
      <w:r>
        <w:t>3. Automated Detection Protocols for Hosted Third-Party APIs — When reliance on hosted third-party foundation model APIs is unavoidable, manufacturers must establish proactive detection mechanisms to catch upstream model behavior shifts before they impact clinical care:</w:t>
      </w:r>
    </w:p>
    <w:p>
      <w:r>
        <w:rPr>
          <w:color w:val="777777"/>
          <w:sz w:val="16"/>
        </w:rPr>
        <w:t xml:space="preserve">p011 · body  </w:t>
      </w:r>
      <w:r>
        <w:t>Golden Synthetic Benchmark Suites: Automated CI/CD pipelines running fixed, representative clinical benchmark datasets (prompts/inputs paired with expected standard outputs) on a regular cadence (e.g., daily/weekly) to flag output drift beyond clinical tolerance thresholds.</w:t>
      </w:r>
    </w:p>
    <w:p>
      <w:r>
        <w:rPr>
          <w:color w:val="777777"/>
          <w:sz w:val="16"/>
        </w:rPr>
        <w:t xml:space="preserve">p012 · body  </w:t>
      </w:r>
      <w:r>
        <w:t>Semantic Drift Analysis: Embeddings-based tracking of production inputs and outputs to measure statistical similarity over time, catching subtle reasoning shifts or vocabulary changes.</w:t>
      </w:r>
    </w:p>
    <w:p>
      <w:r>
        <w:rPr>
          <w:color w:val="777777"/>
          <w:sz w:val="16"/>
        </w:rPr>
        <w:t xml:space="preserve">p013 · body  </w:t>
      </w:r>
      <w:r>
        <w:t>Guardrail &amp; Validator Telemetry: Real-time monitoring of post-processing guardrail trigger rates and rule-based validation failures to signal unexpected changes in model behavior.</w:t>
      </w:r>
    </w:p>
    <w:p>
      <w:r>
        <w:rPr>
          <w:color w:val="777777"/>
          <w:sz w:val="16"/>
        </w:rPr>
        <w:t xml:space="preserve">p014 · body  </w:t>
      </w:r>
      <w:r>
        <w:t>Suggested FDA Guidance Action — The FDA should provide clear regulatory frameworks that:</w:t>
      </w:r>
    </w:p>
    <w:p>
      <w:r>
        <w:rPr>
          <w:color w:val="777777"/>
          <w:sz w:val="16"/>
        </w:rPr>
        <w:t xml:space="preserve">p015 · body  </w:t>
      </w:r>
      <w:r>
        <w:t>Recognize localized version locking (e.g., on-edge SLMs) as an acceptable risk-mitigation strategy for change control under Premarket Approval (PMA) or 510(k) modifications.</w:t>
      </w:r>
    </w:p>
    <w:p>
      <w:r>
        <w:rPr>
          <w:color w:val="777777"/>
          <w:sz w:val="16"/>
        </w:rPr>
        <w:t xml:space="preserve">p016 · body  </w:t>
      </w:r>
      <w:r>
        <w:t>Define acceptable validation standards for continuous automated benchmarking when hosted third-party APIs are utilized.</w:t>
      </w:r>
    </w:p>
    <w:p>
      <w:r>
        <w:rPr>
          <w:color w:val="777777"/>
          <w:sz w:val="16"/>
        </w:rPr>
        <w:t xml:space="preserve">p017 · body  </w:t>
      </w:r>
      <w:r>
        <w:t>Establish clear documentation expectations for supporting multi-version active deployments across fragmented clinical sites.</w:t>
      </w:r>
    </w:p>
    <w:p>
      <w:pPr>
        <w:pStyle w:val="Heading1"/>
        <w:pageBreakBefore/>
      </w:pPr>
      <w:r>
        <w:t>FDA-2026-N-7874-0097</w:t>
      </w:r>
    </w:p>
    <w:p>
      <w:r>
        <w:t>Comment from Stephanie Lewis</w:t>
      </w:r>
    </w:p>
    <w:p>
      <w:r>
        <w:rPr>
          <w:color w:val="777777"/>
          <w:sz w:val="18"/>
        </w:rPr>
        <w:t>Health Professional - A0007 · received 2026-09-15</w:t>
      </w:r>
    </w:p>
    <w:p>
      <w:r>
        <w:rPr>
          <w:color w:val="777777"/>
          <w:sz w:val="16"/>
        </w:rPr>
        <w:t xml:space="preserve">p001 · body  </w:t>
      </w:r>
      <w:r>
        <w:t>I am a practicing physician submitting this comment regarding the regulation of generative and increasingly autonomous artificial intelligence in medicine.</w:t>
      </w:r>
    </w:p>
    <w:p>
      <w:r>
        <w:rPr>
          <w:color w:val="777777"/>
          <w:sz w:val="16"/>
        </w:rPr>
        <w:t xml:space="preserve">p002 · body  </w:t>
      </w:r>
      <w:r>
        <w:t>I strongly support responsible medical AI. AI has tremendous potential to assist physicians with documentation, information retrieval, clinical decision support, identification of errors, and other tasks that improve efficiency and allow more time for direct patient care. However, there must be a clear regulatory distinction between AI that augments a licensed physician and AI that replaces physician judgment.</w:t>
      </w:r>
    </w:p>
    <w:p>
      <w:r>
        <w:rPr>
          <w:color w:val="777777"/>
          <w:sz w:val="16"/>
        </w:rPr>
        <w:t xml:space="preserve">p003 · body  </w:t>
      </w:r>
      <w:r>
        <w:t>I am particularly concerned about AI systems that independently diagnose patients, determine treatment, prescribe or manage medications, determine disposition, or perform other consequential clinical functions without meaningful physician oversight.</w:t>
      </w:r>
    </w:p>
    <w:p>
      <w:r>
        <w:rPr>
          <w:color w:val="777777"/>
          <w:sz w:val="16"/>
        </w:rPr>
        <w:t xml:space="preserve">p004 · body  </w:t>
      </w:r>
      <w:r>
        <w:t>Overall accuracy is not sufficient to establish safety. A medical AI system could perform correctly in most cases while still making uncommon but catastrophic errors. Missing a time-sensitive diagnosis or incorrectly advising a patient that emergency evaluation is unnecessary can result in permanent disability or death. Risk assessment must consider not only how often AI is wrong, but the severity of its errors.</w:t>
      </w:r>
    </w:p>
    <w:p>
      <w:r>
        <w:rPr>
          <w:color w:val="777777"/>
          <w:sz w:val="16"/>
        </w:rPr>
        <w:t xml:space="preserve">p005 · body  </w:t>
      </w:r>
      <w:r>
        <w:t>AI should be tested under realistic clinical conditions, including atypical presentations, incomplete or contradictory histories, medically complex patients, multiple illnesses, and vulnerable populations. Benchmark examinations and retrospective datasets cannot fully reproduce clinical medicine. Patients do not arrive as complete clinical vignettes.</w:t>
      </w:r>
    </w:p>
    <w:p>
      <w:r>
        <w:rPr>
          <w:color w:val="777777"/>
          <w:sz w:val="16"/>
        </w:rPr>
        <w:t xml:space="preserve">p006 · body  </w:t>
      </w:r>
      <w:r>
        <w:t>I am especially concerned about agentic AI capable of autonomously planning and executing clinical actions. As autonomy increases, regulatory safeguards should increase accordingly. Systems capable of initiating or modifying treatment, prescribing medications, determining whether emergency evaluation is necessary, or making other high-consequence decisions should undergo rigorous prospective clinical validation. For high-risk decisions, meaningful review by an appropriately licensed clinician should remain required.</w:t>
      </w:r>
    </w:p>
    <w:p>
      <w:r>
        <w:rPr>
          <w:color w:val="777777"/>
          <w:sz w:val="16"/>
        </w:rPr>
        <w:t xml:space="preserve">p007 · body  </w:t>
      </w:r>
      <w:r>
        <w:t>Post-deployment surveillance is essential. High-risk systems should be monitored for performance deterioration, unexpected behavior, significant errors, and adverse patient outcomes. Significant AI-associated adverse events should be reportable and investigated.</w:t>
      </w:r>
    </w:p>
    <w:p>
      <w:r>
        <w:rPr>
          <w:color w:val="777777"/>
          <w:sz w:val="16"/>
        </w:rPr>
        <w:t xml:space="preserve">p008 · body  </w:t>
      </w:r>
      <w:r>
        <w:t>Accountability must also be clearly established. Physicians should not automatically bear responsibility for failures of AI systems selected, purchased, mandated, or deployed by healthcare organizations. AI developers and healthcare institutions should bear appropriate responsibility for harms attributable to their products and implementation. Physicians must retain genuine authority to override AI recommendations without institutional or financial pressure.</w:t>
      </w:r>
    </w:p>
    <w:p>
      <w:r>
        <w:rPr>
          <w:color w:val="777777"/>
          <w:sz w:val="16"/>
        </w:rPr>
        <w:t xml:space="preserve">p009 · body  </w:t>
      </w:r>
      <w:r>
        <w:t>I am also deeply concerned about economic incentives surrounding autonomous medical AI. Healthcare organizations, insurers, and technology companies may obtain substantial financial benefits if AI allows clinical work to be performed with fewer physicians. Efficiency is a legitimate goal, but reduced labor costs must never be mistaken for evidence that replacing appropriate physician staffing is clinically safe.</w:t>
      </w:r>
    </w:p>
    <w:p>
      <w:r>
        <w:rPr>
          <w:color w:val="777777"/>
          <w:sz w:val="16"/>
        </w:rPr>
        <w:t xml:space="preserve">p010 · body  </w:t>
      </w:r>
      <w:r>
        <w:t>AI should not be considered an adequate substitute for physician care simply because it is less expensive or performs correctly most of the time. Regulators should recognize that financial incentives may encourage deployment of autonomous AI beyond what safety evidence supports. Patient safety—not cost savings or workforce reduction—must remain the priority.</w:t>
      </w:r>
    </w:p>
    <w:p>
      <w:r>
        <w:rPr>
          <w:color w:val="777777"/>
          <w:sz w:val="16"/>
        </w:rPr>
        <w:t xml:space="preserve">p011 · body  </w:t>
      </w:r>
      <w:r>
        <w:t>Patients deserve transparency when AI substantially participates in their diagnosis or treatment and should know whether an appropriately licensed clinician reviewed consequential recommendations or decisions.</w:t>
      </w:r>
    </w:p>
    <w:p>
      <w:r>
        <w:rPr>
          <w:color w:val="777777"/>
          <w:sz w:val="16"/>
        </w:rPr>
        <w:t xml:space="preserve">p012 · body  </w:t>
      </w:r>
      <w:r>
        <w:t>AI can become one of medicine's most valuable tools. The appropriate objective should be physician-led, AI-assisted healthcare—not replacement of accountable medical professionals simply because autonomous technology becomes technically possible or economically attractive.</w:t>
      </w:r>
    </w:p>
    <w:p>
      <w:r>
        <w:rPr>
          <w:color w:val="777777"/>
          <w:sz w:val="16"/>
        </w:rPr>
        <w:t xml:space="preserve">p013 · body  </w:t>
      </w:r>
      <w:r>
        <w:t>I respectfully urge the FDA to preserve meaningful physician oversight for consequential clinical decisions; require rigorous real-world validation and post-market surveillance; establish clear accountability for AI-associated harm; protect physicians' independent clinical judgment; and protect patients from premature substitution of autonomous AI for trained medical professionals.</w:t>
      </w:r>
    </w:p>
    <w:p>
      <w:r>
        <w:rPr>
          <w:color w:val="777777"/>
          <w:sz w:val="16"/>
        </w:rPr>
        <w:t xml:space="preserve">p014 · body  </w:t>
      </w:r>
      <w:r>
        <w:t>The ultimate purpose of medical technology must remain the health and safety of patients. Technological advancement, cost savings, and workforce reduction should never supersede that obligation.</w:t>
      </w:r>
    </w:p>
    <w:p>
      <w:r>
        <w:rPr>
          <w:color w:val="777777"/>
          <w:sz w:val="16"/>
        </w:rPr>
        <w:t xml:space="preserve">p015 · body  </w:t>
      </w:r>
      <w:r>
        <w:t>Respectfully submitted,</w:t>
      </w:r>
    </w:p>
    <w:p>
      <w:r>
        <w:rPr>
          <w:color w:val="777777"/>
          <w:sz w:val="16"/>
        </w:rPr>
        <w:t xml:space="preserve">p016 · body  </w:t>
      </w:r>
      <w:r>
        <w:t>Stephanie Lewis, M.D.</w:t>
      </w:r>
    </w:p>
    <w:p>
      <w:r>
        <w:rPr>
          <w:color w:val="777777"/>
          <w:sz w:val="16"/>
        </w:rPr>
        <w:t xml:space="preserve">p017 · body  </w:t>
      </w:r>
      <w:r>
        <w:t>Practicing Physician</w:t>
      </w:r>
    </w:p>
    <w:p>
      <w:pPr>
        <w:pStyle w:val="Heading1"/>
        <w:pageBreakBefore/>
      </w:pPr>
      <w:r>
        <w:t>FDA-2026-N-7874-0098</w:t>
      </w:r>
    </w:p>
    <w:p>
      <w:r>
        <w:t>Comment from Ray O'Sullivan</w:t>
      </w:r>
    </w:p>
    <w:p>
      <w:r>
        <w:rPr>
          <w:color w:val="777777"/>
          <w:sz w:val="18"/>
        </w:rPr>
        <w:t>Academia - E0007 · received 2026-09-15 · attachments: attachment_1.pdf (7 pp)</w:t>
      </w:r>
    </w:p>
    <w:p>
      <w:r>
        <w:rPr>
          <w:color w:val="777777"/>
          <w:sz w:val="16"/>
        </w:rPr>
        <w:t xml:space="preserve">p001 · body  </w:t>
      </w:r>
      <w:r>
        <w:t>Over the past year my team has designed, implemented, and adversarially red-teamed a specific technical architecture for exactly the class of device this discussion paper addresses: a three-layer Deterministic–Stochastic–Deterministic (D-S-D) verification pipeline (working name VERITAS), paired with a governance and safety-escalation bundle (working name TRUST ANCHOR) that we build into every new condition-specific patient assistant we deploy.</w:t>
      </w:r>
    </w:p>
    <w:p>
      <w:r>
        <w:rPr>
          <w:color w:val="777777"/>
          <w:sz w:val="16"/>
        </w:rPr>
        <w:t xml:space="preserve">p002 · body  </w:t>
      </w:r>
      <w:r>
        <w:t>This comment draws on that practical, adversarial build-and-test experience rather than on abstract policy preference, and it is scoped to the discussion questions in Sections IV, V, VI, and VII.B where that experience is most directly relevant. Consistent with CDRH's invitation, we do not respond to every discussion question; we focus on the subset where we can offer specific, technically grounded input rather than general commentary.</w:t>
      </w:r>
    </w:p>
    <w:p>
      <w:r>
        <w:rPr>
          <w:color w:val="777777"/>
          <w:sz w:val="16"/>
        </w:rPr>
        <w:t xml:space="preserve">p003 · body  </w:t>
      </w:r>
      <w:r>
        <w:t>Our central point is procedural rather than substantive. The discussion paper repeatedly treats human involvement in a GenAI-enabled device's operation — described variously as “HCP-Supervised” activity, “clinical deferral”, “expert adjudicators”, and “human-oversight checkpoints” — as a single risk-reducing category. In our experience building and stress-testing systems in this class, that category is not homogeneous, and the difference between its strong and weak forms is exactly where safety-relevant failures occur in practice. Section III below proposes a technical vocabulary for this distinction; Sections IV–VIII apply it to specific discussion questions and appendix elements, citing patterns we have directly encountered.</w:t>
      </w:r>
    </w:p>
    <w:p>
      <w:r>
        <w:rPr>
          <w:color w:val="777777"/>
          <w:sz w:val="16"/>
        </w:rPr>
        <w:t xml:space="preserve">p004 · att1 p.1  </w:t>
      </w:r>
      <w:r>
        <w:t>Public Comment — Considerations for the Regulation of Generative AI-Enabled Medical Devices: Discussion Paper and Request for Feedback FDA Center for Devices and Radiological Health (CDRH) — August 2026</w:t>
      </w:r>
    </w:p>
    <w:p>
      <w:r>
        <w:rPr>
          <w:color w:val="777777"/>
          <w:sz w:val="16"/>
        </w:rPr>
        <w:t xml:space="preserve">p005 · att1 p.1  </w:t>
      </w:r>
      <w:r>
        <w:t>Docket No.: FDA-2026-N-7874 Submitted via: Regulations.gov Comment period closes: October 19, 2026 Submitted by: Prof. Ray O'Sullivan —Royal College of Surgeons Ireland, Vox / VoxMedical Date: September 15, 2026</w:t>
      </w:r>
    </w:p>
    <w:p>
      <w:r>
        <w:rPr>
          <w:color w:val="777777"/>
          <w:sz w:val="16"/>
        </w:rPr>
        <w:t xml:space="preserve">p006 · att1 p.1  </w:t>
      </w:r>
      <w:r>
        <w:t>I. Introduction and Basis for This Comment — I am a clinician-entrepreneur developing patient-facing generative AI systems for medical education and patient support, including condition-specific assistants in oncology and women's health ,through Vox and its VoxMedical product portfolio, in collaboration with academic and clinical partners. Over the past year my team has designed, implemented, and adversarially red-teamed a specific technical architecture for exactly the class of device this discussion paper addresses: a three-layer Deterministic–Stochastic–Deterministic (D-S-D) verification pipeline (working name VERITAS), paired with a governance and safety-escalation bundle (working name TRUST ANCHOR) that we build into every new condition-specific patient assistant we deploy.</w:t>
      </w:r>
    </w:p>
    <w:p>
      <w:r>
        <w:rPr>
          <w:color w:val="777777"/>
          <w:sz w:val="16"/>
        </w:rPr>
        <w:t xml:space="preserve">p007 · att1 p.1  </w:t>
      </w:r>
      <w:r>
        <w:t>This comment draws on that practical, adversarial build-and-test experience rather than on abstract policy preference, and it is scoped to the discussion questions in Sections IV, V, VI, and VII.B where that experience is most directly relevant. Consistent with CDRH's invitation, we do not respond to every discussion question; we focus on the subset where we can offer specific, technically grounded input rather than general commentary.</w:t>
      </w:r>
    </w:p>
    <w:p>
      <w:r>
        <w:rPr>
          <w:color w:val="777777"/>
          <w:sz w:val="16"/>
        </w:rPr>
        <w:t xml:space="preserve">p008 · att1 p.1  </w:t>
      </w:r>
      <w:r>
        <w:t>Our central point is procedural rather than substantive. The discussion paper repeatedly treats human involvement in a GenAI-enabled device's operation — described variously as “HCP-Supervised” activity, “clinical deferral”, “expert adjudicators”, and “human-oversight checkpoints” — as a single risk-reducing category. In our experience building and stress-testing systems in this class, that category is not homogeneous, and the difference between its strong and weak forms is exactly where safety-relevant failures occur in practice. Section III below proposes a technical vocabulary for this distinction; Sections IV–VIII apply it to specific discussion questions and appendix elements, citing patterns we have directly encountered.</w:t>
      </w:r>
    </w:p>
    <w:p>
      <w:r>
        <w:rPr>
          <w:color w:val="777777"/>
          <w:sz w:val="16"/>
        </w:rPr>
        <w:t xml:space="preserve">p009 · att1 p.1  </w:t>
      </w:r>
      <w:r>
        <w:t>II. Summary of Recommendations — For ease of reference, we recommend that CDRH:</w:t>
      </w:r>
    </w:p>
    <w:p>
      <w:r>
        <w:rPr>
          <w:color w:val="777777"/>
          <w:sz w:val="16"/>
        </w:rPr>
        <w:t xml:space="preserve">p010 · att1 p.1  </w:t>
      </w:r>
      <w:r>
        <w:t>1.​ Require sponsors to characterize any claimed human-in-the-loop control against explicit domain-match, independence, triggering, and timing criteria, rather than crediting “human oversight” as a single undifferentiated category on the activity axis (Section III; Section IV.A).</w:t>
      </w:r>
    </w:p>
    <w:p>
      <w:r>
        <w:rPr>
          <w:color w:val="777777"/>
          <w:sz w:val="16"/>
        </w:rPr>
        <w:t xml:space="preserve">p011 · att1 p.2  </w:t>
      </w:r>
      <w:r>
        <w:t>2.​ Add an explicit benchmarking sub-element requiring sponsors to disclose and test the fail-open vs. fail-closed behavior of every escalation-relevant subsystem under fault conditions, not only under normal operation (Section IV.B; Appendix A, S.1).</w:t>
      </w:r>
    </w:p>
    <w:p>
      <w:r>
        <w:rPr>
          <w:color w:val="777777"/>
          <w:sz w:val="16"/>
        </w:rPr>
        <w:t xml:space="preserve">p012 · att1 p.2  </w:t>
      </w:r>
      <w:r>
        <w:t>3.​ Require multi-turn scope-drift testing to run as a separate gate over cumulative conversation state, distinct from per-turn boundary testing (Section IV.C; Appendix A, S.2).</w:t>
      </w:r>
    </w:p>
    <w:p>
      <w:r>
        <w:rPr>
          <w:color w:val="777777"/>
          <w:sz w:val="16"/>
        </w:rPr>
        <w:t xml:space="preserve">p013 · att1 p.2  </w:t>
      </w:r>
      <w:r>
        <w:t>4.​ Add a distinct Safety benchmarking element for resistance to sycophantic validation of unsafe or clinically discordant patient- or caregiver-initiated decisions, separate from escalation and boundary adherence (Section IV.D).</w:t>
      </w:r>
    </w:p>
    <w:p>
      <w:r>
        <w:rPr>
          <w:color w:val="777777"/>
          <w:sz w:val="16"/>
        </w:rPr>
        <w:t xml:space="preserve">p014 · att1 p.2  </w:t>
      </w:r>
      <w:r>
        <w:t>5.​ Where an expert adjudicator is itself an LLM, require disclosure of the model-family relationship, decoding mode, and training lineage between the generating model and the adjudicating model as minimum independence criteria (Section V.A).</w:t>
      </w:r>
    </w:p>
    <w:p>
      <w:r>
        <w:rPr>
          <w:color w:val="777777"/>
          <w:sz w:val="16"/>
        </w:rPr>
        <w:t xml:space="preserve">p015 · att1 p.2  </w:t>
      </w:r>
      <w:r>
        <w:t>6.​ Require a three-state (supported / contradicted / unverifiable) output classification with prespecified, non-negotiable deferral on the “unverifiable” state, scored as its own competency rather than folded into aggregate accuracy (Section V.B; Appendix A, S.3).</w:t>
      </w:r>
    </w:p>
    <w:p>
      <w:r>
        <w:rPr>
          <w:color w:val="777777"/>
          <w:sz w:val="16"/>
        </w:rPr>
        <w:t xml:space="preserve">p016 · att1 p.2  </w:t>
      </w:r>
      <w:r>
        <w:t>7.​ Require sponsors to disclose where a verification gate sits in the runtime data flow relative to any user-facing display — specifically, whether streamed or partial output can reach a user before verification completes — as a discrete premarket disclosure item (Section VI).</w:t>
      </w:r>
    </w:p>
    <w:p>
      <w:r>
        <w:rPr>
          <w:color w:val="777777"/>
          <w:sz w:val="16"/>
        </w:rPr>
        <w:t xml:space="preserve">p017 · att1 p.2  </w:t>
      </w:r>
      <w:r>
        <w:t>8.​ Treat persistent, structured logging of safety-relevant decisions (verification verdicts, triage levels, escalation triggers) — not merely the conversational transcript — as a minimum precondition for any postmarket monitoring credit (Section VII).</w:t>
      </w:r>
    </w:p>
    <w:p>
      <w:r>
        <w:rPr>
          <w:color w:val="777777"/>
          <w:sz w:val="16"/>
        </w:rPr>
        <w:t xml:space="preserve">p018 · att1 p.2  </w:t>
      </w:r>
      <w:r>
        <w:t>9.​ Apply the same domain-match, independence, deterministic-triggering, and pre-action-gating criteria to agentic “human-oversight checkpoints” before irreversible or high-consequence actions (Section VIII).</w:t>
      </w:r>
    </w:p>
    <w:p>
      <w:r>
        <w:rPr>
          <w:color w:val="777777"/>
          <w:sz w:val="16"/>
        </w:rPr>
        <w:t xml:space="preserve">p019 · att1 p.2  </w:t>
      </w:r>
      <w:r>
        <w:t>III. A Missing Distinction: Human-in-the-Loop vs. Expert-in-the-Loop — The discussion paper's risk and evaluation frameworks lean heavily on human involvement as a mitigating factor: the activity axis of the two-axis risk framework treats “Action-Taking: HCP-Supervised” as materially lower risk than “Action-Taking: Fully Autonomous” (p.6); the competency-based approach relies on “qualified expert adjudicators” (p.13); postmarket monitoring proposes “periodic sample-based clinician review” (p.19); and agentic-system benchmarking requires “human-oversight checkpoints before irreversible or high-consequence actions” (Appendix A.1, p.26). In each case, the paper uses human-in-the-loop (HITL) — a human is somewhere in the pipeline — as an implicit proxy for risk reduction, without specifying what makes that involvement effective.</w:t>
      </w:r>
    </w:p>
    <w:p>
      <w:r>
        <w:rPr>
          <w:color w:val="777777"/>
          <w:sz w:val="16"/>
        </w:rPr>
        <w:t xml:space="preserve">p020 · att1 p.2  </w:t>
      </w:r>
      <w:r>
        <w:t>In building and red-teaming our own patient-facing systems, we found this distinction is not academic. We propose CDRH separate generic HITL from what we term Expert-in-the-Loop (EITL): a human review or adjudication path that satisfies four structural properties. We do not use “EITL” as an existing regulatory term — we introduce it here as shorthand for a bundle of properties we believe the paper's frameworks should require explicitly wherever they currently credit undifferentiated “human oversight” or “supervision.”</w:t>
      </w:r>
    </w:p>
    <w:p>
      <w:r>
        <w:rPr>
          <w:color w:val="777777"/>
          <w:sz w:val="16"/>
        </w:rPr>
        <w:t xml:space="preserve">p021 · att1 p.2  </w:t>
      </w:r>
      <w:r>
        <w:t>1.​ Domain-matched qualification. The reviewer's expertise must match the specific clinical domain and question at issue, not “a clinician” in the abstract. This is precisely the concern the paper raises in Discussion</w:t>
      </w:r>
    </w:p>
    <w:p>
      <w:r>
        <w:rPr>
          <w:color w:val="777777"/>
          <w:sz w:val="16"/>
        </w:rPr>
        <w:t xml:space="preserve">p022 · att1 p.3  </w:t>
      </w:r>
      <w:r>
        <w:t>Question 4 regarding generalist HCPs receiving specialist-level output — the same gap applies with equal force to the human reviewer in a supervision or adjudication role.</w:t>
      </w:r>
    </w:p>
    <w:p>
      <w:r>
        <w:rPr>
          <w:color w:val="777777"/>
          <w:sz w:val="16"/>
        </w:rPr>
        <w:t xml:space="preserve">p023 · att1 p.3  </w:t>
      </w:r>
      <w:r>
        <w:t>2.​ Structural independence from the generating pipeline. The reviewer or adjudicator must not share the failure modes of the system it is checking. The paper's own general principle for benchmarking (p.14) already requires adjudicators to be “structurally independent from the device sponsor and, where the device incorporates a third-party model, from the developer of that model,” and separately notes this “would still be applicable when the expert adjudicator is itself an LLM” — but stops short of specifying what independence means once the adjudicator is a model rather than a person. We return to this gap in Section V.A.</w:t>
      </w:r>
    </w:p>
    <w:p>
      <w:r>
        <w:rPr>
          <w:color w:val="777777"/>
          <w:sz w:val="16"/>
        </w:rPr>
        <w:t xml:space="preserve">p024 · att1 p.3  </w:t>
      </w:r>
      <w:r>
        <w:t>3.​ Deterministic triggering. The loop must fire automatically whenever defined risk or uncertainty conditions are met. A supervision arrangement that depends on a busy HCP noticing a problem, or on an autonomous workflow electively pausing for review, is not equivalent to one that is triggered by a rule or classifier the system cannot bypass.</w:t>
      </w:r>
    </w:p>
    <w:p>
      <w:r>
        <w:rPr>
          <w:color w:val="777777"/>
          <w:sz w:val="16"/>
        </w:rPr>
        <w:t xml:space="preserve">p025 · att1 p.3  </w:t>
      </w:r>
      <w:r>
        <w:t>4.​ Pre-delivery gating. The check must occur before the output reaches its recipient, not only as post-hoc sampling. Post-hoc review (e.g., periodic sample-based clinician review, Section VI.A) is valuable for postmarket surveillance but does not prevent the harm the premarket risk framework is meant to bound.</w:t>
      </w:r>
    </w:p>
    <w:p>
      <w:r>
        <w:rPr>
          <w:color w:val="777777"/>
          <w:sz w:val="16"/>
        </w:rPr>
        <w:t xml:space="preserve">p026 · att1 p.3  </w:t>
      </w:r>
      <w:r>
        <w:t>A device can satisfy the paper's “HCP-Supervised” activity-axis category, or point to a “qualified expert adjudicator,” while failing one or more of these four properties — and, in our testing experience, this is exactly where risk hides. We recommend CDRH require sponsors to characterize any claimed human-in-the-loop control against these four properties explicitly, as part of both the two-axis risk assessment (Section IV) and the competency-based benchmarking exercise (Section V), rather than treating “human oversight” as a single qualitative checkbox.</w:t>
      </w:r>
    </w:p>
    <w:p>
      <w:r>
        <w:rPr>
          <w:color w:val="777777"/>
          <w:sz w:val="16"/>
        </w:rPr>
        <w:t xml:space="preserve">p027 · att1 p.3  </w:t>
      </w:r>
      <w:r>
        <w:t>IV. Comments on Section IV — Assessment of Risk (Discussion Questions 1, 4, 5, 6)</w:t>
      </w:r>
    </w:p>
    <w:p>
      <w:r>
        <w:rPr>
          <w:color w:val="777777"/>
          <w:sz w:val="16"/>
        </w:rPr>
        <w:t xml:space="preserve">p028 · att1 p.3  </w:t>
      </w:r>
      <w:r>
        <w:t>A. The Activity Axis Should Distinguish EITL from Generic HITL — Responding to Discussion Questions 1 and 4: the two-axis framework's activity axis (Figure 1, p.6) currently places all “HCP-Supervised” action-taking at a single point on the risk gradient, regardless of whether the supervising HCP is domain-matched to the specific clinical question, whether the review is deterministically triggered, or whether it occurs before the action takes effect. Two devices with identical activity-axis placement can have materially different real-world risk under our four EITL criteria above. We recommend the activity axis be paired with an explicit oversight-quality modifier — or, at minimum, that the competency-based benchmarking exercise (Section V) require sponsors to document their “HCP-Supervised” control against the four EITL properties rather than asserting supervision as a qualitative label.</w:t>
      </w:r>
    </w:p>
    <w:p>
      <w:r>
        <w:rPr>
          <w:color w:val="777777"/>
          <w:sz w:val="16"/>
        </w:rPr>
        <w:t xml:space="preserve">p029 · att1 p.3  </w:t>
      </w:r>
      <w:r>
        <w:t>B. Escalation Failure Modes: Fail-Open Behavior Under Fault Conditions — Responding to Discussion Question 6 and Appendix A element S.1 (Safety-critical recognition and escalation): our escalation architecture uses two layers running in parallel — deterministic keyword/rule triggers and a generative, paraphrase-based triage classifier — specifically so that the deterministic layer can act as a fail-closed backstop independent of the generative layer's availability. Testing this architecture surfaced a fault mode we believe the benchmarking framework should address explicitly: a generative triage layer that experiences an API timeout or a malformed/unparseable response can fail open (default to “no escalation needed”) unless it is deliberately engineered to fail closed instead. Under that fault condition, the deterministic keyword layer becomes the sole backstop, and a novel phrasing it was not designed to catch can pass through undetected.</w:t>
      </w:r>
    </w:p>
    <w:p>
      <w:r>
        <w:rPr>
          <w:color w:val="777777"/>
          <w:sz w:val="16"/>
        </w:rPr>
        <w:t xml:space="preserve">p030 · att1 p.4  </w:t>
      </w:r>
      <w:r>
        <w:t>This matters because S.1 as currently described (Appendix A, p.24) evaluates escalation quality under normal operating conditions (“time to escalation in evolving presentations,” “resistance to over-reassurance”). We recommend an explicit S.1 sub-element requiring sponsors to disclose and test the fail-open vs. fail-closed behavior of every escalation-relevant subsystem specifically under fault conditions — API errors, timeouts, malformed model output, rate limiting — since these are exactly the conditions under which layered safety architectures are most likely to silently degrade to their weakest component.</w:t>
      </w:r>
    </w:p>
    <w:p>
      <w:r>
        <w:rPr>
          <w:color w:val="777777"/>
          <w:sz w:val="16"/>
        </w:rPr>
        <w:t xml:space="preserve">p031 · att1 p.4  </w:t>
      </w:r>
      <w:r>
        <w:t>C. Multi-Turn Scope Drift Confirms a Real, Not Hypothetical, Risk — Responding to Discussion Question 5 and Appendix A element S.2: the appendix language describing scope-maintenance failure — “multi-turn conversations in which individual turns appear in-scope but the cumulative interaction drifts out of scope” (p.24) — closely matches a failure mode we independently identified and built a dedicated pipeline stage to address: a check for cumulative “reassurance drift,” in which a sequence of individually accurate, in-scope responses can add up to an overall impression more reassuring than clinically warranted. We note this convergence to CDRH as evidence that the risk described in Q5 and S.2 is empirically real rather than a hypothetical edge case, and that it requires its own dedicated evaluation, not incidental coverage from per-turn scope testing.</w:t>
      </w:r>
    </w:p>
    <w:p>
      <w:r>
        <w:rPr>
          <w:color w:val="777777"/>
          <w:sz w:val="16"/>
        </w:rPr>
        <w:t xml:space="preserve">p032 · att1 p.4  </w:t>
      </w:r>
      <w:r>
        <w:t>We recommend the benchmarking framework require this drift check to run over cumulative conversation state, as a gate distinct from per-turn boundary adherence, since testing per-turn compliance alone — even exhaustively — will not surface a failure that only emerges in aggregate.</w:t>
      </w:r>
    </w:p>
    <w:p>
      <w:r>
        <w:rPr>
          <w:color w:val="777777"/>
          <w:sz w:val="16"/>
        </w:rPr>
        <w:t xml:space="preserve">p033 · att1 p.4  </w:t>
      </w:r>
      <w:r>
        <w:t>D. A Missing Safety Dimension: Resistance to Sycophantic Validation — Responding to Discussion Question 1 (additional risk dimensions) and Appendix A's Safety elements: we recommend CDRH consider a failure mode that is mechanistically distinct from both under-escalation (S.1) and scope-boundary violation (S.2): a device that, without any emergency trigger firing and without exceeding its intended clinical scope, affirms or validates a risky course of action the user has already decided on or proposes, rather than surfacing the clinical stakes of that decision. In adversarial testing of comparable patient- and caregiver-facing conversational systems, we have observed exactly this pattern: a prompt describing a caregiver's intent to discontinue an ongoing therapeutic intervention for a dependent received an affirming, validating response rather than one that flagged the clinical implications of stopping.</w:t>
      </w:r>
    </w:p>
    <w:p>
      <w:r>
        <w:rPr>
          <w:color w:val="777777"/>
          <w:sz w:val="16"/>
        </w:rPr>
        <w:t xml:space="preserve">p034 · att1 p.4  </w:t>
      </w:r>
      <w:r>
        <w:t>This is not an escalation failure (no acute red-flag condition applies) and not a scope-boundary failure (the topic is within the device's intended use) — a device could pass every S.1–S.3 element as currently described while still exhibiting it. We recommend CDRH add a distinct Safety benchmarking sub-element — resistance to sycophantic validation of unsafe or clinically discordant patient- or caregiver-initiated decisions — evaluated specifically through multi-turn scenarios in which the user, not the device, initiates the risky course of action, since this population of scenarios is structurally different from the escalation scenarios S.1 already covers.</w:t>
      </w:r>
    </w:p>
    <w:p>
      <w:r>
        <w:rPr>
          <w:color w:val="777777"/>
          <w:sz w:val="16"/>
        </w:rPr>
        <w:t xml:space="preserve">p035 · att1 p.4  </w:t>
      </w:r>
      <w:r>
        <w:t>V. Comments on Section V — Competency-Based Premarket Evaluation (Discussion Questions 9, 14, 16)</w:t>
      </w:r>
    </w:p>
    <w:p>
      <w:r>
        <w:rPr>
          <w:color w:val="777777"/>
          <w:sz w:val="16"/>
        </w:rPr>
        <w:t xml:space="preserve">p036 · att1 p.4  </w:t>
      </w:r>
      <w:r>
        <w:t>A. Operationalizing “Independence” When the Adjudicator Is Itself an LLM — Responding to Discussion Questions 9, 14, and 16: we agree with the paper's instinct (p.14) that adjudicator independence requirements should apply “when the expert adjudicator is itself an LLM,” but organizational independence (a different legal entity from the sponsor or foundation-model developer) is necessary and not sufficient in that case. Our own D-S-D architecture builds the verification/adjudication step as a separate, non-agentic, deterministic-mode classification pass over the draft output — architecturally and, where feasible, in model lineage distinct from the generative model that produced the draft — precisely so that the same underlying failure distribution is not grading itself.</w:t>
      </w:r>
    </w:p>
    <w:p>
      <w:r>
        <w:rPr>
          <w:color w:val="777777"/>
          <w:sz w:val="16"/>
        </w:rPr>
        <w:t xml:space="preserve">p037 · att1 p.5  </w:t>
      </w:r>
      <w:r>
        <w:t>We recommend CDRH require sponsors proposing an LLM-based adjudicator to disclose, as minimum independence criteria: (i) the model-family/vendor relationship between the generating model and the adjudicating model; (ii) whether the adjudicator operates in a deterministic or sampled decoding mode, given that a sampled adjudicator's verdict is itself subject to run-to-run variance; and (iii) any shared training or fine-tuning lineage between the generator and the adjudicator. Without these disclosures, “independent LLM adjudicator” could describe architectures with very different real-world reliability.</w:t>
      </w:r>
    </w:p>
    <w:p>
      <w:r>
        <w:rPr>
          <w:color w:val="777777"/>
          <w:sz w:val="16"/>
        </w:rPr>
        <w:t xml:space="preserve">p038 · att1 p.5  </w:t>
      </w:r>
      <w:r>
        <w:t>B. Tri-Polarity Output Classification and Mandatory Deferral — Responding to Appendix A element S.3 (calibration, uncertainty communication, and clinical deferral) and Discussion Question 2: many evaluation approaches for GenAI clinical outputs, including much of the published hallucination-detection literature, score claims on a binary correct/incorrect or supported/unsupported basis. Our tiered verification approach instead classifies each claim into one of three states — supported, contradicted, or unverifiable (available evidence neither confirms nor rules it out) — and routes the third state to deterministic deferral rather than permitting the generative layer a further attempt to resolve its own uncertainty.</w:t>
      </w:r>
    </w:p>
    <w:p>
      <w:r>
        <w:rPr>
          <w:color w:val="777777"/>
          <w:sz w:val="16"/>
        </w:rPr>
        <w:t xml:space="preserve">p039 · att1 p.5  </w:t>
      </w:r>
      <w:r>
        <w:t>We are in the process of evaluating this approach against a subset of the MedHallu expert-labeled dataset, and our preliminary experience is that the tri-polarity distinction is operationally important: collapsing “unverifiable” into either “correct” or “incorrect” for scoring purposes obscures exactly the population of cases where deferral, not answer accuracy, is the clinically correct behavior. We recommend the competency-based benchmarking framework (Section V.B; Appendix A, S.3 and E.1) explicitly require a three-state output classification, with prespecified, non-negotiable deferral behavior on the “unverifiable” state scored as its own competency — rather than folded into an aggregate accuracy metric where it can be masked by strong performance elsewhere.</w:t>
      </w:r>
    </w:p>
    <w:p>
      <w:r>
        <w:rPr>
          <w:color w:val="777777"/>
          <w:sz w:val="16"/>
        </w:rPr>
        <w:t xml:space="preserve">p040 · att1 p.5  </w:t>
      </w:r>
      <w:r>
        <w:t>VI. A Consideration Not Currently Named: Verification-Gate Placement Relative to User-Facing Display — This point does not map to a single numbered discussion question, but we believe it is material to Sections V and VI: the discussion paper asks what evidence should accompany a claim that a device “passed” benchmarking, but does not ask where in the deployed data flow the verification gate sits relative to what the user actually sees. In our own development, we identified — and are correcting — an architectural gap of exactly this kind: a token-by-token streaming response path displayed unverified draft text to the user in real time, while the post-draft verification gate only completed after the full response had already streamed. A downstream rejection then had to retroactively overwrite text the user had already read, rather than prevent its display in the first place.</w:t>
      </w:r>
    </w:p>
    <w:p>
      <w:r>
        <w:rPr>
          <w:color w:val="777777"/>
          <w:sz w:val="16"/>
        </w:rPr>
        <w:t xml:space="preserve">p041 · att1 p.5  </w:t>
      </w:r>
      <w:r>
        <w:t>A device can pass every benchmarking element in Appendix A on the basis of its final, verified output, and still expose users to unverified intermediate content if the verification gate is positioned architecturally after rather than before user-facing display. We recommend CDRH require sponsors to disclose verification-gate placement in the runtime data flow — specifically, whether any user-facing surface can display output before verification completes — as a discrete premarket disclosure item, independent of and in addition to benchmarking accuracy metrics.</w:t>
      </w:r>
    </w:p>
    <w:p>
      <w:r>
        <w:rPr>
          <w:color w:val="777777"/>
          <w:sz w:val="16"/>
        </w:rPr>
        <w:t xml:space="preserve">p042 · att1 p.6  </w:t>
      </w:r>
      <w:r>
        <w:t>VII. Comments on Section VI — Postmarket Monitoring (Discussion Questions 19, 20) — Responding to Discussion Questions 19 and 20: periodic re-benchmarking, sample-based clinician review, and machine-based supervisory agents are all downstream consumers of a device's internal decision record — each depends on the ability to retrieve which triage, escalation, or verification decision was made, for which input, and why. In building our own governance bundle, we found this is easy to under-specify: a system can implement every safety behavior correctly at runtime while persisting only the conversational transcript, not the internal safety-relevant metadata (verification verdicts, triage levels, which escalation trigger fired and when). Where that metadata exists only in ephemeral process logs, it does not survive routine operational events such as a service restart — which defeats sample-based clinician review and any supervisory-agent approach that depends on querying past decisions, regardless of how well the underlying safety behavior actually performed.</w:t>
      </w:r>
    </w:p>
    <w:p>
      <w:r>
        <w:rPr>
          <w:color w:val="777777"/>
          <w:sz w:val="16"/>
        </w:rPr>
        <w:t xml:space="preserve">p043 · att1 p.6  </w:t>
      </w:r>
      <w:r>
        <w:t>We recommend CDRH treat persistent, structured logging of every safety-relevant decision — not merely the conversational transcript — as a minimum precondition for postmarket monitoring credit, regardless of which specific postmarket approach(es) in Section VI.A a sponsor selects. A supervisory agent (Q20) is only as reliable as the record it supervises; if that record does not exist, the reliability question is moot.</w:t>
      </w:r>
    </w:p>
    <w:p>
      <w:r>
        <w:rPr>
          <w:color w:val="777777"/>
          <w:sz w:val="16"/>
        </w:rPr>
        <w:t xml:space="preserve">p044 · att1 p.6  </w:t>
      </w:r>
      <w:r>
        <w:t>VIII. Comments on Section VII.B — Agentic AI Oversight Checkpoints (Discussion Question 26)</w:t>
      </w:r>
    </w:p>
    <w:p>
      <w:r>
        <w:rPr>
          <w:color w:val="777777"/>
          <w:sz w:val="16"/>
        </w:rPr>
        <w:t xml:space="preserve">p045 · att1 p.6  </w:t>
      </w:r>
      <w:r>
        <w:t>Responding to Discussion Question 26 and Appendix A element A.1: the agentic-competency element requires “compliance with human-oversight checkpoints before irreversible or high-consequence actions” (p.26). We urge CDRH to apply the same four EITL criteria from Section III here explicitly. An oversight checkpoint satisfied by any available human reviewer — without domain-match, structural independence, deterministic triggering, and pre-action gating — provides materially weaker protection than this language may imply, and the gap is especially consequential for agentic systems, where an action may already be irreversible by the time a reviewer becomes aware of it. We recommend the acceptance criteria contemplated in Q26 explicitly require that oversight checkpoints for irreversible or high-consequence agentic actions meet EITL, not generic HITL, standards, and that “compliance with a checkpoint” be defined to mean the action cannot proceed without an affirmative, logged, domain-matched review — not merely that a human was notified.</w:t>
      </w:r>
    </w:p>
    <w:p>
      <w:r>
        <w:rPr>
          <w:color w:val="777777"/>
          <w:sz w:val="16"/>
        </w:rPr>
        <w:t xml:space="preserve">p046 · att1 p.6  </w:t>
      </w:r>
      <w:r>
        <w:t>IX. Conclusion — The discussion paper's frameworks are, in our assessment, well-constructed and correctly identify the right categories of risk — activity, consequence, escalation, drift, adjudicator independence, and postmarket accountability. Our comment is narrower than a critique of those categories: it is that “human involvement,” wherever it appears in this paper as a mitigating factor, needs the same evidentiary rigor CDRH is already proposing to apply to the GenAI system itself. We would welcome the opportunity to share our underlying architecture and evaluation methodology with CDRH in greater technical detail — including our verification-gate specification and governance documentation — as a concrete, adversarially tested worked example in support of the Agency's continued development of this framework.</w:t>
      </w:r>
    </w:p>
    <w:p>
      <w:r>
        <w:rPr>
          <w:color w:val="777777"/>
          <w:sz w:val="16"/>
        </w:rPr>
        <w:t xml:space="preserve">p047 · att1 p.7  </w:t>
      </w:r>
      <w:r>
        <w:t>We thank CDRH for the opportunity to comment and for its continued engagement with stakeholders on this important topic.</w:t>
      </w:r>
    </w:p>
    <w:p>
      <w:r>
        <w:rPr>
          <w:color w:val="777777"/>
          <w:sz w:val="16"/>
        </w:rPr>
        <w:t xml:space="preserve">p048 · att1 p.7  </w:t>
      </w:r>
      <w:r>
        <w:t>Respectfully submitted, Prof. Ray O'Sullivan Vox / VoxMedical</w:t>
      </w:r>
    </w:p>
    <w:p>
      <w:pPr>
        <w:pStyle w:val="Heading1"/>
        <w:pageBreakBefore/>
      </w:pPr>
      <w:r>
        <w:t>FDA-2026-N-7874-0099</w:t>
      </w:r>
    </w:p>
    <w:p>
      <w:r>
        <w:t>Comment from Matthew Collins</w:t>
      </w:r>
    </w:p>
    <w:p>
      <w:r>
        <w:rPr>
          <w:color w:val="777777"/>
          <w:sz w:val="18"/>
        </w:rPr>
        <w:t>received 2026-09-15 · attachments: attachment_1.pdf (3 pp)</w:t>
      </w:r>
    </w:p>
    <w:p>
      <w:r>
        <w:rPr>
          <w:color w:val="777777"/>
          <w:sz w:val="16"/>
        </w:rPr>
        <w:t xml:space="preserve">p001 · body  </w:t>
      </w:r>
      <w:r>
        <w:t>See attached file(s): I am submitting this comment as a quality and regulatory executive with 30 years of experience across medical device, pharmaceutical, diagnostic, and combination-product quality systems. My experience includes senior quality leadership during FDA Warning Letter remediation and work within an FDA Consent Decree environment.</w:t>
      </w:r>
    </w:p>
    <w:p>
      <w:r>
        <w:rPr>
          <w:color w:val="777777"/>
          <w:sz w:val="16"/>
        </w:rPr>
        <w:t xml:space="preserve">p002 · body  </w:t>
      </w:r>
      <w:r>
        <w:t>I support the direction of this discussion paper. My attached comment addresses the two-axis risk framework, meaningful human review, accountability for third-party foundation models, change control for GenAI-specific modifications, and postmarket monitoring.</w:t>
      </w:r>
    </w:p>
    <w:p>
      <w:r>
        <w:rPr>
          <w:color w:val="777777"/>
          <w:sz w:val="16"/>
        </w:rPr>
        <w:t xml:space="preserve">p003 · body  </w:t>
      </w:r>
      <w:r>
        <w:t>My central recommendation is that CDRH make the decision criteria surrounding these controls explicit. In my experience, controls that remain implicit are applied inconsistently and are difficult to defend during an FDA inspection.</w:t>
      </w:r>
    </w:p>
    <w:p>
      <w:r>
        <w:rPr>
          <w:color w:val="777777"/>
          <w:sz w:val="16"/>
        </w:rPr>
        <w:t xml:space="preserve">p004 · att1 p.1  </w:t>
      </w:r>
      <w:r>
        <w:t>Comment on Docket FDA-2026-N-7874: Considerations for the Regulation of Generative AI-Enabled Medical Devices</w:t>
      </w:r>
    </w:p>
    <w:p>
      <w:r>
        <w:rPr>
          <w:color w:val="777777"/>
          <w:sz w:val="16"/>
        </w:rPr>
        <w:t xml:space="preserve">p005 · att1 p.1  </w:t>
      </w:r>
      <w:r>
        <w:t>Submitted by: Matthew Collins — Capacity: Quality and regulatory executive with 30 years of experience across medical device, pharmaceutical, diagnostic, and combination-product quality systems, including senior quality leadership during FDA Warning Letter remediation and experience working within an FDA Consent Decree environment.</w:t>
      </w:r>
    </w:p>
    <w:p>
      <w:r>
        <w:rPr>
          <w:color w:val="777777"/>
          <w:sz w:val="16"/>
        </w:rPr>
        <w:t xml:space="preserve">p006 · att1 p.1  </w:t>
      </w:r>
      <w:r>
        <w:t>I am submitting this comment as an individual with direct operating experience leading CAPA, complaint handling, postmarket surveillance, field actions, and quality management systems under FDA oversight, together with current work developing AI-enabled decision systems for quality and regulatory operations. I support the direction of this discussion paper and offer the following comments on specific sections, grounded in what holds up during an FDA inspection versus what appears sound on paper but fails in execution.</w:t>
      </w:r>
    </w:p>
    <w:p>
      <w:r>
        <w:rPr>
          <w:color w:val="777777"/>
          <w:sz w:val="16"/>
        </w:rPr>
        <w:t xml:space="preserve">p007 · att1 p.1  </w:t>
      </w:r>
      <w:r>
        <w:t>1. On the two-axis risk framework and additional dimensions (Discussion Question 1) — The two-axis framework, the degree and independence of device activity against the consequence of relying on an incorrect output, correctly identifies the two variables that matter most. I would encourage CDRH to treat reversibility of the resulting action as an explicit gating factor in applying the two-axis framework rather than as an optional modifier.</w:t>
      </w:r>
    </w:p>
    <w:p>
      <w:r>
        <w:rPr>
          <w:color w:val="777777"/>
          <w:sz w:val="16"/>
        </w:rPr>
        <w:t xml:space="preserve">p008 · att1 p.1  </w:t>
      </w:r>
      <w:r>
        <w:t>In my experience running field action and CAPA decisions, one of the factors that most influences how much scrutiny a decision receives, automated or human, is whether the action can be undone before harm compounds. An AI-generated recommendation that is reviewed and corrected before it reaches a patient carries fundamentally different risk than one that has already triggered an irreversible clinical action.</w:t>
      </w:r>
    </w:p>
    <w:p>
      <w:r>
        <w:rPr>
          <w:color w:val="777777"/>
          <w:sz w:val="16"/>
        </w:rPr>
        <w:t xml:space="preserve">p009 · att1 p.1  </w:t>
      </w:r>
      <w:r>
        <w:t>The paper’s agentic AI discussion in Section VII.B implicitly recognizes this by identifying “humanoversight checkpoints before irreversible or high-consequence actions” as a benchmarking consideration, but reversibility is not elevated to the same visible status as the two primary axes in Figure 1. I recommend that reversibility be evaluated explicitly before determining a function’s final risk position, particularly when an output may initiate an irreversible or high-consequence action.</w:t>
      </w:r>
    </w:p>
    <w:p>
      <w:r>
        <w:rPr>
          <w:color w:val="777777"/>
          <w:sz w:val="16"/>
        </w:rPr>
        <w:t xml:space="preserve">p010 · att1 p.1  </w:t>
      </w:r>
      <w:r>
        <w:t>2. On meaningful human review versus nominal human review (Section IV, patient-facing versus HCP- facing discussion; Discussion Questions 3 and 4)</w:t>
      </w:r>
    </w:p>
    <w:p>
      <w:r>
        <w:rPr>
          <w:color w:val="777777"/>
          <w:sz w:val="16"/>
        </w:rPr>
        <w:t xml:space="preserve">p011 · att1 p.1  </w:t>
      </w:r>
      <w:r>
        <w:t>I strongly support the paper’s recognition that a human in the loop does not automatically reduce risk. In quality systems I have run and remediated, a recurring and dangerous failure mode is not the absence of human review, but the presence of a signature without genuine evaluation behind it.</w:t>
      </w:r>
    </w:p>
    <w:p>
      <w:r>
        <w:rPr>
          <w:color w:val="777777"/>
          <w:sz w:val="16"/>
        </w:rPr>
        <w:t xml:space="preserve">p012 · att1 p.1  </w:t>
      </w:r>
      <w:r>
        <w:t>A reviewer may sign off on an AI-generated CAPA root cause narrative without independently evaluating the evidence and reasoning. Similarly, a clinician may accept an AI-generated recommendation because it is fluent and confidently stated, reflecting the paper’s concern about automation bias in Appendix A, E.4. In either case, human involvement creates the appearance of oversight without demonstrating that meaningful review occurred.</w:t>
      </w:r>
    </w:p>
    <w:p>
      <w:r>
        <w:rPr>
          <w:color w:val="777777"/>
          <w:sz w:val="16"/>
        </w:rPr>
        <w:t xml:space="preserve">p013 · att1 p.2  </w:t>
      </w:r>
      <w:r>
        <w:t>I recommend that CDRH define human review as a risk-mitigating control only when the reviewer has the competence, source information, time, authority, and documented responsibility needed to independently evaluate the output. Evidence of human review should identify what the reviewer verified, what evidence was considered, and whether the reviewer accepted, modified, escalated, or rejected the output. A signature alone does not demonstrate that meaningful review occurred.</w:t>
      </w:r>
    </w:p>
    <w:p>
      <w:r>
        <w:rPr>
          <w:color w:val="777777"/>
          <w:sz w:val="16"/>
        </w:rPr>
        <w:t xml:space="preserve">p014 · att1 p.2  </w:t>
      </w:r>
      <w:r>
        <w:t>3. On accountability and third-party foundation models (Sections VI.B and VII.A; Discussion Questions 21 and 25)</w:t>
      </w:r>
    </w:p>
    <w:p>
      <w:r>
        <w:rPr>
          <w:color w:val="777777"/>
          <w:sz w:val="16"/>
        </w:rPr>
        <w:t xml:space="preserve">p015 · att1 p.2  </w:t>
      </w:r>
      <w:r>
        <w:t>I specifically support the paper’s position that manufacturer accountability must not be diffused across the ecosystem of clinicians, institutions, and third-party model developers. I also offer a caution based on operating experience.</w:t>
      </w:r>
    </w:p>
    <w:p>
      <w:r>
        <w:rPr>
          <w:color w:val="777777"/>
          <w:sz w:val="16"/>
        </w:rPr>
        <w:t xml:space="preserve">p016 · att1 p.2  </w:t>
      </w:r>
      <w:r>
        <w:t>Across quality system failures I have investigated or remediated involving an outsourced component, whether a contract manufacturer, supplier-provided subassembly, or software vendor, a recurring root cause has been an organization treating a vendor relationship as a transfer of responsibility rather than what it actually is: a transfer of work with retained accountability.</w:t>
      </w:r>
    </w:p>
    <w:p>
      <w:r>
        <w:rPr>
          <w:color w:val="777777"/>
          <w:sz w:val="16"/>
        </w:rPr>
        <w:t xml:space="preserve">p017 · att1 p.2  </w:t>
      </w:r>
      <w:r>
        <w:t>A voluntary Foundation Model Device Master File could provide a useful mechanism for informationsharing. However, CDRH should extend its statement of sponsor responsibility explicitly across the total product lifecycle, particularly when a foundation model developer initiates a postmarket change. Reliance on a Foundation Model MAF should not shift responsibility for detecting, assessing, and controlling the effect of that change. A device manufacturer’s quality system must be designed and operated on the assumption that the manufacturer owns the outcome regardless of which layer of the technology stack originated the failure.</w:t>
      </w:r>
    </w:p>
    <w:p>
      <w:r>
        <w:rPr>
          <w:color w:val="777777"/>
          <w:sz w:val="16"/>
        </w:rPr>
        <w:t xml:space="preserve">p018 · att1 p.2  </w:t>
      </w:r>
      <w:r>
        <w:t>4. On change control for GenAI systems (Section VI.C; Discussion Questions 22 through 24)</w:t>
      </w:r>
    </w:p>
    <w:p>
      <w:r>
        <w:rPr>
          <w:color w:val="777777"/>
          <w:sz w:val="16"/>
        </w:rPr>
        <w:t xml:space="preserve">p019 · att1 p.2  </w:t>
      </w:r>
      <w:r>
        <w:t>I support the paper’s recognition that changes to a GenAI-enabled device can originate from sources beyond a traditional software update, including prompt changes, retrieval strategy changes, guardrail changes, orchestration logic changes, and passive model evolution. Based on direct quality system experience, these changes should be governed with the same risk-based discipline applied to other safety-relevant software and device changes, not treated as configuration adjustments outside the quality management system.</w:t>
      </w:r>
    </w:p>
    <w:p>
      <w:r>
        <w:rPr>
          <w:color w:val="777777"/>
          <w:sz w:val="16"/>
        </w:rPr>
        <w:t xml:space="preserve">p020 · att1 p.2  </w:t>
      </w:r>
      <w:r>
        <w:t>A prompt that materially influences what a GenAI-enabled device tells a clinician or patient can function as an executable instruction governing device behavior. When a prompt, retrieval strategy, guardrail, or orchestration change can affect device output, intended-use boundaries, or risk controls, it should be treated as controlled configuration subject to documented impact assessment, review, approval, and verification.</w:t>
      </w:r>
    </w:p>
    <w:p>
      <w:r>
        <w:rPr>
          <w:color w:val="777777"/>
          <w:sz w:val="16"/>
        </w:rPr>
        <w:t xml:space="preserve">p021 · att1 p.2  </w:t>
      </w:r>
      <w:r>
        <w:t>I recommend that CDRH state directly in future guidance that prompt, retrieval, and orchestration changes meeting this threshold are device changes subject to change control, not implementation details exempt from it. Treating them as categorically exempt would create the kind of undocumented and unassessed change that CAPA investigations repeatedly identify at the root of unexpected field performance.</w:t>
      </w:r>
    </w:p>
    <w:p>
      <w:r>
        <w:rPr>
          <w:color w:val="777777"/>
          <w:sz w:val="16"/>
        </w:rPr>
        <w:t xml:space="preserve">p022 · att1 p.3  </w:t>
      </w:r>
      <w:r>
        <w:t>5. On postmarket monitoring and reduced premarket certainty (Section VI.A; Discussion Question 18)</w:t>
      </w:r>
    </w:p>
    <w:p>
      <w:r>
        <w:rPr>
          <w:color w:val="777777"/>
          <w:sz w:val="16"/>
        </w:rPr>
        <w:t xml:space="preserve">p023 · att1 p.3  </w:t>
      </w:r>
      <w:r>
        <w:t>I support exploring greater reliance on postmarket monitoring in well-justified cases, but I caution against treating postmarket monitoring as a substitute for premarket rigor rather than a complement to it. In my experience, organizations that rely on postmarket detection because premarket evidence was incomplete may not detect problems until signals have accumulated or harm has already occurred.</w:t>
      </w:r>
    </w:p>
    <w:p>
      <w:r>
        <w:rPr>
          <w:color w:val="777777"/>
          <w:sz w:val="16"/>
        </w:rPr>
        <w:t xml:space="preserve">p024 · att1 p.3  </w:t>
      </w:r>
      <w:r>
        <w:t>Whatever conditions CDRH ultimately establishes for accepting greater premarket uncertainty should require, at minimum, a credible mechanism for detecting the specific failure modes that benchmarking did not rule out, not a general monitoring program applied uniformly regardless of the premarket evidence gaps associated with the device.</w:t>
      </w:r>
    </w:p>
    <w:p>
      <w:r>
        <w:rPr>
          <w:color w:val="777777"/>
          <w:sz w:val="16"/>
        </w:rPr>
        <w:t xml:space="preserve">p025 · att1 p.3  </w:t>
      </w:r>
      <w:r>
        <w:t>At minimum, the monitoring strategy should identify the failure modes associated with unresolved premarket uncertainty, the signals used to detect them, decision thresholds, escalation requirements, accountable owners, and criteria for intervention, rollback, or suspension.</w:t>
      </w:r>
    </w:p>
    <w:p>
      <w:r>
        <w:rPr>
          <w:color w:val="777777"/>
          <w:sz w:val="16"/>
        </w:rPr>
        <w:t xml:space="preserve">p026 · att1 p.3  </w:t>
      </w:r>
      <w:r>
        <w:t>Closing — I appreciate CDRH’s transparency in developing this framework publicly and its acknowledgment of the limits of traditional software validation for generative AI. The two-axis framework and competencybased evaluation approach are directionally sound.</w:t>
      </w:r>
    </w:p>
    <w:p>
      <w:r>
        <w:rPr>
          <w:color w:val="777777"/>
          <w:sz w:val="16"/>
        </w:rPr>
        <w:t xml:space="preserve">p027 · att1 p.3  </w:t>
      </w:r>
      <w:r>
        <w:t>My central recommendation is that CDRH make the decision criteria surrounding these controls explicit. Future guidance should clearly define when additional risk factors must be considered, what constitutes meaningful human review, how accountability is retained across third-party relationships, which noncode changes require change control, and what evidence demonstrates effective postmarket monitoring. In my experience, controls that remain implicit are applied inconsistently and are difficult to defend during an FDA inspection.</w:t>
      </w:r>
    </w:p>
    <w:p>
      <w:r>
        <w:rPr>
          <w:color w:val="777777"/>
          <w:sz w:val="16"/>
        </w:rPr>
        <w:t xml:space="preserve">p028 · att1 p.3  </w:t>
      </w:r>
      <w:r>
        <w:t>Thank you for the opportunity to comment.</w:t>
      </w:r>
    </w:p>
    <w:p>
      <w:pPr>
        <w:pStyle w:val="Heading1"/>
        <w:pageBreakBefore/>
      </w:pPr>
      <w:r>
        <w:t>FDA-2026-N-7874-0100</w:t>
      </w:r>
    </w:p>
    <w:p>
      <w:r>
        <w:t>Comment from Clearstep</w:t>
      </w:r>
    </w:p>
    <w:p>
      <w:r>
        <w:rPr>
          <w:color w:val="777777"/>
          <w:sz w:val="18"/>
        </w:rPr>
        <w:t>received 2026-09-15 · attachments: attachment_1.pdf (10 pp)</w:t>
      </w:r>
    </w:p>
    <w:p>
      <w:r>
        <w:rPr>
          <w:color w:val="777777"/>
          <w:sz w:val="16"/>
        </w:rPr>
        <w:t xml:space="preserve">p001 · body  </w:t>
      </w:r>
      <w:r>
        <w:t>Comment from Clearstep</w:t>
      </w:r>
    </w:p>
    <w:p>
      <w:r>
        <w:rPr>
          <w:color w:val="777777"/>
          <w:sz w:val="16"/>
        </w:rPr>
        <w:t xml:space="preserve">p002 · att1 p.1  </w:t>
      </w:r>
      <w:r>
        <w:t>Clearstep Inc.</w:t>
      </w:r>
    </w:p>
    <w:p>
      <w:r>
        <w:rPr>
          <w:color w:val="777777"/>
          <w:sz w:val="16"/>
        </w:rPr>
        <w:t xml:space="preserve">p003 · att1 p.1  </w:t>
      </w:r>
      <w:r>
        <w:t>Docket No. FDA-2026-N-7874 — [DATE], 2026 — Dockets Management Staff (HFA-305) — Food and Drug Administration</w:t>
      </w:r>
    </w:p>
    <w:p>
      <w:r>
        <w:rPr>
          <w:color w:val="777777"/>
          <w:sz w:val="16"/>
        </w:rPr>
        <w:t xml:space="preserve">p004 · att1 p.1  </w:t>
      </w:r>
      <w:r>
        <w:t>5630 Fishers Lane, Rm. 1061 — Rockville, MD 20852 — RE: Docket No. FDA-2026-N-7874, Considerations for the Regulation of Generative AI-Enabled Medical Devices: Discussion Paper and Request for Feedback</w:t>
      </w:r>
    </w:p>
    <w:p>
      <w:r>
        <w:rPr>
          <w:color w:val="777777"/>
          <w:sz w:val="16"/>
        </w:rPr>
        <w:t xml:space="preserve">p005 · att1 p.1  </w:t>
      </w:r>
      <w:r>
        <w:t>Dear Dockets Management Staff: On behalf of Clearstep Inc. (Clearstep), thank you for the opportunity to provide comments in response to the discussion paper issued by the Center for Devices and Radiological Health (CDRH) and its Digital Health Center of Excellence, “Considerations for the Regulation of Generative AI-Enabled Medical Devices.” Clearstep commends CDRH for seeking early stakeholder input before proposing policy, and we support the paper’s central orientation: a risk-proportionate, least-burdensome, total product life cycle approach in which evidentiary expectations scale with what a function does and the consequences of relying on an incorrect output, not with the mere presence of generative AI.</w:t>
      </w:r>
    </w:p>
    <w:p>
      <w:r>
        <w:rPr>
          <w:color w:val="777777"/>
          <w:sz w:val="16"/>
        </w:rPr>
        <w:t xml:space="preserve">p006 · att1 p.1  </w:t>
      </w:r>
      <w:r>
        <w:t>Clearstep operates one of the most widely deployed AI-driven care navigation and triage platforms in U.S. health systems, spanning patient-facing digital self-triage, voice automation for nurse advice lines and contact centers, and clinician-facing intake and decision support. We therefore have direct operating experience with nearly the full span of the two-axis risk framework the paper proposes, and with the premarket and postmarket evidence questions it raises. In summary, our comments emphasize:</w:t>
      </w:r>
    </w:p>
    <w:p>
      <w:r>
        <w:rPr>
          <w:color w:val="777777"/>
          <w:sz w:val="16"/>
        </w:rPr>
        <w:t xml:space="preserve">p007 · att1 p.1  </w:t>
      </w:r>
      <w:r>
        <w:t>• Risk framework: We support the two-axis framework and recommend two additional riskmodifying dimensions: traceability of outputs to primary clinical source material, and reversibility of the resulting action. Both are properties manufacturers can engineer for and FDA can verify.</w:t>
      </w:r>
    </w:p>
    <w:p>
      <w:r>
        <w:rPr>
          <w:color w:val="777777"/>
          <w:sz w:val="16"/>
        </w:rPr>
        <w:t xml:space="preserve">p008 · att1 p.1  </w:t>
      </w:r>
      <w:r>
        <w:t>• Care escalation: Under- and over-escalation should both be assessed, but they are not commensurable; manufacturers should prespecify and justify a clinically grounded escalation operating point, with performance reported in both directions and stratified by acuity.</w:t>
      </w:r>
    </w:p>
    <w:p>
      <w:r>
        <w:rPr>
          <w:color w:val="777777"/>
          <w:sz w:val="16"/>
        </w:rPr>
        <w:t xml:space="preserve">p009 · att1 p.1  </w:t>
      </w:r>
      <w:r>
        <w:t>• Architecture-aware evaluation: The competency-based approach should recognize architectural risk controls. Hybrid systems that anchor safety-critical behaviors (escalation, refusal, disposition) in deterministic, expert-encoded clinical logic can guarantee reproducibility properties that purely generative systems can only estimate statistically, and benchmarking burden should reflect that difference.</w:t>
      </w:r>
    </w:p>
    <w:p>
      <w:r>
        <w:rPr>
          <w:color w:val="777777"/>
          <w:sz w:val="16"/>
        </w:rPr>
        <w:t xml:space="preserve">p010 · att1 p.1  </w:t>
      </w:r>
      <w:r>
        <w:t>• Comparators: For open-ended outputs, the default comparator should reflect the care actually available to the intended user: the median clinician in practice and, where justified, the counterfactual of no device. Human-AI team performance should serve as the evaluation basis wherever the deployed workflow is human-in-the-loop.</w:t>
      </w:r>
    </w:p>
    <w:p>
      <w:r>
        <w:rPr>
          <w:color w:val="777777"/>
          <w:sz w:val="16"/>
        </w:rPr>
        <w:t xml:space="preserve">p011 · att1 p.2  </w:t>
      </w:r>
      <w:r>
        <w:t>• Postmarket rebalancing: We strongly support accepting greater premarket uncertainty in exchange for robust, prespecified postmarket monitoring, and we describe a sample-based independent clinician review program of the kind CDRH proposes that Clearstep already operates in production at scale.</w:t>
      </w:r>
    </w:p>
    <w:p>
      <w:r>
        <w:rPr>
          <w:color w:val="777777"/>
          <w:sz w:val="16"/>
        </w:rPr>
        <w:t xml:space="preserve">p012 · att1 p.2  </w:t>
      </w:r>
      <w:r>
        <w:t>• Foundation model change control: Manufacturers can and should be accountable for third-party model changes through architectural containment, version pinning with contractual notice, shadow-mode evaluation, and regression benchmarking as a promotion gate, mechanisms well suited to Predetermined Change Control Plans (PCCPs).</w:t>
      </w:r>
    </w:p>
    <w:p>
      <w:r>
        <w:rPr>
          <w:color w:val="777777"/>
          <w:sz w:val="16"/>
        </w:rPr>
        <w:t xml:space="preserve">p013 · att1 p.2  </w:t>
      </w:r>
      <w:r>
        <w:t>About Clearstep Inc.</w:t>
      </w:r>
    </w:p>
    <w:p>
      <w:r>
        <w:rPr>
          <w:color w:val="777777"/>
          <w:sz w:val="16"/>
        </w:rPr>
        <w:t xml:space="preserve">p014 · att1 p.2  </w:t>
      </w:r>
      <w:r>
        <w:t>Clearstep is a leader in AI-driven healthcare access and navigation solutions, offering one of the most prevalently implemented AI self-triage systems on U.S. health system websites, as documented in a recent study in Nature’s npj Digital Medicine. Clearstep also serves as the routing engine for the Defense Health Agency’s Digital Front Door+, supporting a diverse beneficiary population in a large, integrated delivery environment.</w:t>
      </w:r>
    </w:p>
    <w:p>
      <w:r>
        <w:rPr>
          <w:color w:val="777777"/>
          <w:sz w:val="16"/>
        </w:rPr>
        <w:t xml:space="preserve">p015 · att1 p.2  </w:t>
      </w:r>
      <w:r>
        <w:t>Our platform is built on gold-standard clinical guidelines co-authored by Dr. Barton Schmitt, a co-creator of the Schmitt-Thompson telephone triage protocols used in the majority of U.S. nurse call centers. We integrate expert-encoded systems with statistical methods, including machine learning and large language models (LLMs), in a hybrid architecture: deterministic, protocol-anchored clinical logic governs safety-critical behaviors, while generative components support communication, information elicitation, and documentation. Our predictions are designed to be explainable, interpretable, and tunable, with every triage or navigation recommendation traceable back to validated clinical best practices and subject to independent clinician review. Clearstep’s deployments include:</w:t>
      </w:r>
    </w:p>
    <w:p>
      <w:r>
        <w:rPr>
          <w:color w:val="777777"/>
          <w:sz w:val="16"/>
        </w:rPr>
        <w:t xml:space="preserve">p016 · att1 p.2  </w:t>
      </w:r>
      <w:r>
        <w:t>• AI Triage &amp; Navigation tools that guide individuals to appropriate levels and modes of care.</w:t>
      </w:r>
    </w:p>
    <w:p>
      <w:r>
        <w:rPr>
          <w:color w:val="777777"/>
          <w:sz w:val="16"/>
        </w:rPr>
        <w:t xml:space="preserve">p017 · att1 p.2  </w:t>
      </w:r>
      <w:r>
        <w:t>• AI Voice Automation that augments nurse advice lines and call centers by handling common call reasons and improving first-contact resolution.</w:t>
      </w:r>
    </w:p>
    <w:p>
      <w:r>
        <w:rPr>
          <w:color w:val="777777"/>
          <w:sz w:val="16"/>
        </w:rPr>
        <w:t xml:space="preserve">p018 · att1 p.2  </w:t>
      </w:r>
      <w:r>
        <w:t>• AI Optimized Scheduling that matches patient needs to available resources, integrated with major EHRs via standards-based APIs where feasible.</w:t>
      </w:r>
    </w:p>
    <w:p>
      <w:r>
        <w:rPr>
          <w:color w:val="777777"/>
          <w:sz w:val="16"/>
        </w:rPr>
        <w:t xml:space="preserve">p019 · att1 p.2  </w:t>
      </w:r>
      <w:r>
        <w:t>Because Clearstep’s products operate across the activity spectrum, from non-directive information through action-directing patient-facing triage to supervised voice automation embedded in clinical workflows, and are evaluated continuously in real-world deployment, our comments below draw on operating evidence rather than hypotheticals. Comments are organized by the sections and numbered discussion questions of the paper.</w:t>
      </w:r>
    </w:p>
    <w:p>
      <w:r>
        <w:rPr>
          <w:color w:val="777777"/>
          <w:sz w:val="16"/>
        </w:rPr>
        <w:t xml:space="preserve">p020 · att1 p.2  </w:t>
      </w:r>
      <w:r>
        <w:t>I. Considerations for the Assessment of Risk (Section IV; Questions 1, 2, 3, 6)</w:t>
      </w:r>
    </w:p>
    <w:p>
      <w:r>
        <w:rPr>
          <w:color w:val="777777"/>
          <w:sz w:val="16"/>
        </w:rPr>
        <w:t xml:space="preserve">p021 · att1 p.2  </w:t>
      </w:r>
      <w:r>
        <w:t>A. The two-axis framework, and two additional dimensions (Question 1) — Clearstep supports the two-axis framework. Device activity and consequence-of-reliance are the correct primary dimensions, and the framework’s implication, that evidence should scale with grid position rather than with technology label, is essential to least-burdensome regulation. We recommend that CDRH formally incorporate two of the candidate dimensions named in Question 1 as risk modifiers:</w:t>
      </w:r>
    </w:p>
    <w:p>
      <w:r>
        <w:rPr>
          <w:color w:val="777777"/>
          <w:sz w:val="16"/>
        </w:rPr>
        <w:t xml:space="preserve">p022 · att1 p.3  </w:t>
      </w:r>
      <w:r>
        <w:t>• Traceability to primary source material. An output whose basis can be independently inspected (for example, a triage disposition traceable to a specific, validated clinical protocol and decision pathway, or a summary linked to the underlying chart excerpts) permits meaningful independent review by clinicians and local governance bodies, and materially reduces the consequence of an incorrect output because errors are detectable before reliance. Traceability is an engineerable property: manufacturers can design for it, sponsors can document it, and FDA can verify it. This consideration also aligns with the independent-review criterion referenced in the paper’s discussion of clinical decision support. We recommend traceability be treated as a formal, verifiable mitigating factor on the consequences axis.</w:t>
      </w:r>
    </w:p>
    <w:p>
      <w:r>
        <w:rPr>
          <w:color w:val="777777"/>
          <w:sz w:val="16"/>
        </w:rPr>
        <w:t xml:space="preserve">p023 · att1 p.3  </w:t>
      </w:r>
      <w:r>
        <w:t>• Reversibility of the resulting action. A function whose downstream action is easily reversed or intercepted (e.g., a routing suggestion reviewed by scheduling staff) presents a different risk than one whose consequences are immediate and difficult to unwind. Reversibility interacts naturally with the activity axis and would sharpen the distinction between supervised and autonomous action-taking.</w:t>
      </w:r>
    </w:p>
    <w:p>
      <w:r>
        <w:rPr>
          <w:color w:val="777777"/>
          <w:sz w:val="16"/>
        </w:rPr>
        <w:t xml:space="preserve">p024 · att1 p.3  </w:t>
      </w:r>
      <w:r>
        <w:t>B. The directiveness continuum (Question 2) — We agree that directiveness is a continuum determined by the substance and context of an output, not solely by trigger words, and we agree that boilerplate statements such as “talk to your doctor” should not, by themselves, render an action-directing output non-directive. To give manufacturers clarity and predictability, we recommend that CDRH:</w:t>
      </w:r>
    </w:p>
    <w:p>
      <w:r>
        <w:rPr>
          <w:color w:val="777777"/>
          <w:sz w:val="16"/>
        </w:rPr>
        <w:t xml:space="preserve">p025 · att1 p.3  </w:t>
      </w:r>
      <w:r>
        <w:t>• Publish worked examples along the continuum for common function types (the paper’s four-step lisinopril illustration is a useful template), so manufacturers can deliberately design and document where each output class sits;</w:t>
      </w:r>
    </w:p>
    <w:p>
      <w:r>
        <w:rPr>
          <w:color w:val="777777"/>
          <w:sz w:val="16"/>
        </w:rPr>
        <w:t xml:space="preserve">p026 · att1 p.3  </w:t>
      </w:r>
      <w:r>
        <w:t>• Assess directiveness at the level of the function’s characterized output classes (e.g., a defined disposition set) rather than sentence-by-sentence, so that a bounded, prespecified set of dispositions, each mapped to validated clinical guidance, can be evaluated once and monitored for conformance; and</w:t>
      </w:r>
    </w:p>
    <w:p>
      <w:r>
        <w:rPr>
          <w:color w:val="777777"/>
          <w:sz w:val="16"/>
        </w:rPr>
        <w:t xml:space="preserve">p027 · att1 p.3  </w:t>
      </w:r>
      <w:r>
        <w:t>• Recognize that for the highest-consequence presentations, greater directiveness is often the clinically safer design. An emergency disposition should be unambiguous. Risk assessment should therefore evaluate whether the degree of directiveness is clinically appropriate to the situation, rather than treating directiveness as inherently disfavored.</w:t>
      </w:r>
    </w:p>
    <w:p>
      <w:r>
        <w:rPr>
          <w:color w:val="777777"/>
          <w:sz w:val="16"/>
        </w:rPr>
        <w:t xml:space="preserve">p028 · att1 p.3  </w:t>
      </w:r>
      <w:r>
        <w:t>C. Patient-facing informational functions (Question 3) — We urge CDRH to preserve the balance the paper itself strikes. Patient-facing clinical information tools meaningfully expand access: they reach people at the moment of need, including the large population whose realistic alternative is not a clinician’s assessment but an unvetted internet search, a long nurse- line queue, or no action at all. A categorical presumption that patient-facing functions are higher risk would penalize exactly the tools most capable of closing access gaps, and would embed the medical parentalism the paper cautions against.</w:t>
      </w:r>
    </w:p>
    <w:p>
      <w:r>
        <w:rPr>
          <w:color w:val="777777"/>
          <w:sz w:val="16"/>
        </w:rPr>
        <w:t xml:space="preserve">p029 · att1 p.4  </w:t>
      </w:r>
      <w:r>
        <w:t>Rather than a categorical shift on the consequences axis, we recommend CDRH evaluate patient-facing functions against the presence of specific, verifiable safeguards:</w:t>
      </w:r>
    </w:p>
    <w:p>
      <w:r>
        <w:rPr>
          <w:color w:val="777777"/>
          <w:sz w:val="16"/>
        </w:rPr>
        <w:t xml:space="preserve">p030 · att1 p.4  </w:t>
      </w:r>
      <w:r>
        <w:t>• Outputs anchored to validated clinical protocols, with traceability available for independent and institutional review;</w:t>
      </w:r>
    </w:p>
    <w:p>
      <w:r>
        <w:rPr>
          <w:color w:val="777777"/>
          <w:sz w:val="16"/>
        </w:rPr>
        <w:t xml:space="preserve">p031 · att1 p.4  </w:t>
      </w:r>
      <w:r>
        <w:t>• Deterministic escalation safety nets that trigger on emergency presentations regardless of conversational context, and that cannot be suppressed by conversational drift;</w:t>
      </w:r>
    </w:p>
    <w:p>
      <w:r>
        <w:rPr>
          <w:color w:val="777777"/>
          <w:sz w:val="16"/>
        </w:rPr>
        <w:t xml:space="preserve">p032 · att1 p.4  </w:t>
      </w:r>
      <w:r>
        <w:t>• Structured deferral pathways that connect the user to human care (nurse line, scheduling, emergency services) rather than terminating the interaction; and</w:t>
      </w:r>
    </w:p>
    <w:p>
      <w:r>
        <w:rPr>
          <w:color w:val="777777"/>
          <w:sz w:val="16"/>
        </w:rPr>
        <w:t xml:space="preserve">p033 · att1 p.4  </w:t>
      </w:r>
      <w:r>
        <w:t>• Communication validated for comprehension across health-literacy levels, consistent with the paper’s element E.4.</w:t>
      </w:r>
    </w:p>
    <w:p>
      <w:r>
        <w:rPr>
          <w:color w:val="777777"/>
          <w:sz w:val="16"/>
        </w:rPr>
        <w:t xml:space="preserve">p034 · att1 p.4  </w:t>
      </w:r>
      <w:r>
        <w:t>Where these safeguards are present and demonstrated, patient-facing delivery should not, by itself, elevate a function’s risk classification.</w:t>
      </w:r>
    </w:p>
    <w:p>
      <w:r>
        <w:rPr>
          <w:color w:val="777777"/>
          <w:sz w:val="16"/>
        </w:rPr>
        <w:t xml:space="preserve">p035 · att1 p.4  </w:t>
      </w:r>
      <w:r>
        <w:t>D. Bidirectional assessment of care escalation (Question 6) — Clearstep strongly supports assessing both under-escalation and over-escalation, and we speak to this from sustained real-world measurement. The two error directions are not commensurable: the marginal harm of a missed emergent presentation is categorically different from the marginal harm of an unnecessary urgent-care visit, and the appropriate trade-off varies by chief complaint, population, and care context. We recommend that CDRH:</w:t>
      </w:r>
    </w:p>
    <w:p>
      <w:r>
        <w:rPr>
          <w:color w:val="777777"/>
          <w:sz w:val="16"/>
        </w:rPr>
        <w:t xml:space="preserve">p036 · att1 p.4  </w:t>
      </w:r>
      <w:r>
        <w:t>• Require a prespecified, clinically justified operating point. Manufacturers should state where their escalation function is intentionally positioned, including any deliberate asymmetry toward escalation for high-severity presentations, and justify that position against validated clinical protocols and the deployment context, rather than asserting safety from one direction of error alone.</w:t>
      </w:r>
    </w:p>
    <w:p>
      <w:r>
        <w:rPr>
          <w:color w:val="777777"/>
          <w:sz w:val="16"/>
        </w:rPr>
        <w:t xml:space="preserve">p037 · att1 p.4  </w:t>
      </w:r>
      <w:r>
        <w:t>• Require reporting in both directions, stratified by acuity. Aggregate concordance conceals directionality. Under-escalation at high acuity is the paramount safety signal; over-escalation should be characterized against its own harms (unnecessary utilization, patient anxiety, erosion of trust) and evaluated for clinical justification at the acuity levels where it occurs.</w:t>
      </w:r>
    </w:p>
    <w:p>
      <w:r>
        <w:rPr>
          <w:color w:val="777777"/>
          <w:sz w:val="16"/>
        </w:rPr>
        <w:t xml:space="preserve">p038 · att1 p.4  </w:t>
      </w:r>
      <w:r>
        <w:t>• Benchmark both directions against human reference variability. Published literature and our own evaluations show meaningful disagreement between qualified human raters on triage disposition. Acceptable error bounds for a device should be set with reference to that documented human baseline, not to an assumption of a single correct answer.</w:t>
      </w:r>
    </w:p>
    <w:p>
      <w:r>
        <w:rPr>
          <w:color w:val="777777"/>
          <w:sz w:val="16"/>
        </w:rPr>
        <w:t xml:space="preserve">p039 · att1 p.4  </w:t>
      </w:r>
      <w:r>
        <w:t>II. Competency-Based Premarket Evaluation (Section V; Questions 7–10, 14–16) — A. Support for the competency-based approach (Questions 7 and 8)</w:t>
      </w:r>
    </w:p>
    <w:p>
      <w:r>
        <w:rPr>
          <w:color w:val="777777"/>
          <w:sz w:val="16"/>
        </w:rPr>
        <w:t xml:space="preserve">p040 · att1 p.5  </w:t>
      </w:r>
      <w:r>
        <w:t>Clearstep supports the competency-based structure of non-clinical device benchmarking followed by clinical confirmation, evaluated on the final user-facing device as configured for deployment. We agree the two-axis framework should calibrate the rigor, scope, and amount of evidence: the benchmarking elements exercised, the difficulty and adversarial depth of test conditions, and the rung of clinical confirmation should all be functions of grid position. We also support the paper’s recognition that clinical confirmation need not mean a prospective clinical study in every case; the enumerated ladder of retrospective evaluation, shadow deployment, standardized interactions, independent clinician adjudication of real cases, and prospective study reflects methods that are practical and already in use in responsible commercial deployments today.</w:t>
      </w:r>
    </w:p>
    <w:p>
      <w:r>
        <w:rPr>
          <w:color w:val="777777"/>
          <w:sz w:val="16"/>
        </w:rPr>
        <w:t xml:space="preserve">p041 · att1 p.5  </w:t>
      </w:r>
      <w:r>
        <w:t>B. Benchmarking elements and architectural risk controls (Question 9) — The proposed elements (S.1–S.3, E.1–E.4, R.1–R.2, A.1) are well chosen, and we particularly endorse the treatment in R.1 of variation in safety-critical behaviors (escalation, refusal, and diagnostic conclusions) as failures, while tolerating variation in non-safety-critical phrasing. We recommend one addition to how the elements are applied: the framework should explicitly recognize architectural risk controls in scoping the benchmarking burden.</w:t>
      </w:r>
    </w:p>
    <w:p>
      <w:r>
        <w:rPr>
          <w:color w:val="777777"/>
          <w:sz w:val="16"/>
        </w:rPr>
        <w:t xml:space="preserve">p042 · att1 p.5  </w:t>
      </w:r>
      <w:r>
        <w:t>GenAI-enabled devices differ fundamentally in where generative components sit. In hybrid, expertencoded architectures, safety-critical behaviors are governed by deterministic clinical logic traceable to validated protocols; generative components handle communication and information elicitation. Such systems can guarantee, by construction and verifiably, that semantically equivalent inputs yield identical escalation and disposition behavior, that outputs remain within a bounded, prespecified disposition set, and that every recommendation is traceable to a protocol pathway. A purely generative system can only estimate those same properties statistically, across samples. Evaluation of R.1 (reproducibility), S.2 (scope maintenance), and S.3 (calibration) should permit sponsors to demonstrate these properties through architectural verification plus targeted testing, rather than exclusively through exhaustive sampling. This is not a lower bar; it is a different and often stronger form of evidence, and recognizing it would encourage the industry toward designs that place generative capability where variance is tolerable and deterministic logic where it is not.</w:t>
      </w:r>
    </w:p>
    <w:p>
      <w:r>
        <w:rPr>
          <w:color w:val="777777"/>
          <w:sz w:val="16"/>
        </w:rPr>
        <w:t xml:space="preserve">p043 · att1 p.5  </w:t>
      </w:r>
      <w:r>
        <w:t>C. Benchmark construct validity (Question 10) — We share CDRH’s concern about contamination, saturation, and limited representativeness of public benchmarks. In our experience, the strongest evidence that a benchmark predicts real-world behavior is a demonstrated linkage between benchmark performance and independently adjudicated real-world performance in the same deployed configuration. We recommend that sponsors be permitted, and expected, to establish construct validity by:</w:t>
      </w:r>
    </w:p>
    <w:p>
      <w:r>
        <w:rPr>
          <w:color w:val="777777"/>
          <w:sz w:val="16"/>
        </w:rPr>
        <w:t xml:space="preserve">p044 · att1 p.5  </w:t>
      </w:r>
      <w:r>
        <w:t>• Building benchmark assets from clinician-authored cases graded against validated clinical protocols, with authorship, grading rubrics, and adjudicator qualifications documented;</w:t>
      </w:r>
    </w:p>
    <w:p>
      <w:r>
        <w:rPr>
          <w:color w:val="777777"/>
          <w:sz w:val="16"/>
        </w:rPr>
        <w:t xml:space="preserve">p045 · att1 p.5  </w:t>
      </w:r>
      <w:r>
        <w:t>• Demonstrating correlation between benchmark results and real-world concordance measured through independent clinician review of deployed interactions; and</w:t>
      </w:r>
    </w:p>
    <w:p>
      <w:r>
        <w:rPr>
          <w:color w:val="777777"/>
          <w:sz w:val="16"/>
        </w:rPr>
        <w:t xml:space="preserve">p046 · att1 p.6  </w:t>
      </w:r>
      <w:r>
        <w:t>• Complementing sponsor-developed assets with sequestered, third-party-held test sets where available, to address optimization-to-the-test concerns.</w:t>
      </w:r>
    </w:p>
    <w:p>
      <w:r>
        <w:rPr>
          <w:color w:val="777777"/>
          <w:sz w:val="16"/>
        </w:rPr>
        <w:t xml:space="preserve">p047 · att1 p.6  </w:t>
      </w:r>
      <w:r>
        <w:t>Sponsor-developed benchmarks should not be disfavored per se: for a specific intended use, a welldocumented sponsor benchmark tied to the device’s clinical content and validated against real-world adjudication will often have higher construct validity than a public asset built for a different purpose. Independence concerns are better addressed through documentation, sequestration, and independent adjudication than through exclusion.</w:t>
      </w:r>
    </w:p>
    <w:p>
      <w:r>
        <w:rPr>
          <w:color w:val="777777"/>
          <w:sz w:val="16"/>
        </w:rPr>
        <w:t xml:space="preserve">p048 · att1 p.6  </w:t>
      </w:r>
      <w:r>
        <w:t>D. Comparators and performance standards (Questions 14 and 15) — For open-ended outputs where a single correct response does not exist, we recommend:</w:t>
      </w:r>
    </w:p>
    <w:p>
      <w:r>
        <w:rPr>
          <w:color w:val="777777"/>
          <w:sz w:val="16"/>
        </w:rPr>
        <w:t xml:space="preserve">p049 · att1 p.6  </w:t>
      </w:r>
      <w:r>
        <w:t>• Default to the median qualified clinician in practice, not an idealized consensus panel. Consensus panels are valuable as a reference ceiling and for adjudicating disagreement, but requiring devices to exceed a consensus standard that practicing clinicians themselves do not consistently meet would hold devices to a bar unrelated to the care patients actually receive. Documented interrater variability among qualified clinicians on the same task should be measured and reported alongside device performance.</w:t>
      </w:r>
    </w:p>
    <w:p>
      <w:r>
        <w:rPr>
          <w:color w:val="777777"/>
          <w:sz w:val="16"/>
        </w:rPr>
        <w:t xml:space="preserve">p050 · att1 p.6  </w:t>
      </w:r>
      <w:r>
        <w:t>• Permit counterfactual comparators with justification (Question 15). For many patient-facing access functions, the realistic alternative to the device is not clinician assessment; it is self-directed internet searching, prolonged queue times, or inaction. Where a sponsor can characterize the counterfactual with data (for example, baseline disposition behavior of the intended population absent the device), evaluation against that counterfactual reflects the device’s true public-health effect. We recommend CDRH develop a methodological pathway for identifying and justifying such comparators.</w:t>
      </w:r>
    </w:p>
    <w:p>
      <w:r>
        <w:rPr>
          <w:color w:val="777777"/>
          <w:sz w:val="16"/>
        </w:rPr>
        <w:t xml:space="preserve">p051 · att1 p.6  </w:t>
      </w:r>
      <w:r>
        <w:t>• Match the evaluation basis to the deployed workflow. Where the device operates with a clinician in the loop, human-AI team performance is the correct basis; where it operates autonomously, device-alone performance is. Sponsors should characterize the deployed autonomy level precisely, and evaluation should follow it. A single device family may warrant both bases across its deployment modes.</w:t>
      </w:r>
    </w:p>
    <w:p>
      <w:r>
        <w:rPr>
          <w:color w:val="777777"/>
          <w:sz w:val="16"/>
        </w:rPr>
        <w:t xml:space="preserve">p052 · att1 p.6  </w:t>
      </w:r>
      <w:r>
        <w:t>E. Independent third parties (Question 16) — Clearstep supports roles for qualified, independent third parties, particularly in maintaining sequestered evaluation datasets and providing independent expert adjudication, and we speak from experience, having voluntarily undergone independent third-party technical evaluation of our platform, including model architecture, confidence-threshold methodology, and clinical evaluation processes. Third-party involvement improves evidence quality and reviewer confidence. However, program design will determine whether it broadens or narrows the market. We recommend:</w:t>
      </w:r>
    </w:p>
    <w:p>
      <w:r>
        <w:rPr>
          <w:color w:val="777777"/>
          <w:sz w:val="16"/>
        </w:rPr>
        <w:t xml:space="preserve">p053 · att1 p.6  </w:t>
      </w:r>
      <w:r>
        <w:t>• Multiple accredited bodies per clinical domain, with published accreditation criteria and transparent, capped fee schedules, so certification does not become a fixed-cost moat favoring incumbents;</w:t>
      </w:r>
    </w:p>
    <w:p>
      <w:r>
        <w:rPr>
          <w:color w:val="777777"/>
          <w:sz w:val="16"/>
        </w:rPr>
        <w:t xml:space="preserve">p054 · att1 p.7  </w:t>
      </w:r>
      <w:r>
        <w:t>• A sponsor right to self-assess against the same published methods, subject to FDA review, as an alternative to third-party certification; and</w:t>
      </w:r>
    </w:p>
    <w:p>
      <w:r>
        <w:rPr>
          <w:color w:val="777777"/>
          <w:sz w:val="16"/>
        </w:rPr>
        <w:t xml:space="preserve">p055 · att1 p.7  </w:t>
      </w:r>
      <w:r>
        <w:t>• Independence criteria covering both the device sponsor and, where a third-party foundation model is incorporated, that model’s developer, including when the adjudicator is itself an LLM; in that case, the adjudicating model should not share a developer or lineage with the component under evaluation.</w:t>
      </w:r>
    </w:p>
    <w:p>
      <w:r>
        <w:rPr>
          <w:color w:val="777777"/>
          <w:sz w:val="16"/>
        </w:rPr>
        <w:t xml:space="preserve">p056 · att1 p.7  </w:t>
      </w:r>
      <w:r>
        <w:t>III. Postmarket Monitoring (Section VI; Questions 18, 19, 21, 24) — A. Rebalancing premarket and postmarket evidence (Question 18)</w:t>
      </w:r>
    </w:p>
    <w:p>
      <w:r>
        <w:rPr>
          <w:color w:val="777777"/>
          <w:sz w:val="16"/>
        </w:rPr>
        <w:t xml:space="preserve">p057 · att1 p.7  </w:t>
      </w:r>
      <w:r>
        <w:t>Clearstep strongly supports accepting greater premarket uncertainty in exchange for robust postmarket monitoring, for a reason the paper identifies: for open-ended conversational devices, no feasible premarket test can enumerate the input space, while real-world deployment generates exactly the evidence that premarket testing cannot. This approach is appropriate where the sponsor commits, in advance, to: a prespecified monitoring plan with defined sampling frames, cadences, analyses, and thresholds; defined triggering events (including changes to any underlying model or deployment architecture) that initiate re-benchmarking against the premarket baseline; independent clinician adjudication of sampled real-world interactions; and defined escalation and corrective-action procedures when thresholds are breached. It is less appropriate for fully autonomous action-taking functions at high consequence, where premarket evidence should remain primary.</w:t>
      </w:r>
    </w:p>
    <w:p>
      <w:r>
        <w:rPr>
          <w:color w:val="777777"/>
          <w:sz w:val="16"/>
        </w:rPr>
        <w:t xml:space="preserve">p058 · att1 p.7  </w:t>
      </w:r>
      <w:r>
        <w:t>B. Feasibility of the proposed monitoring approaches (Question 19) — We can confirm from operating experience that the paper’s proposed approaches are practical at production scale. Clearstep operates a continuous postmarket review program in which board-certified clinicians, with cross-specialty review to reduce adjudication bias, evaluate randomly sampled realworld interactions across triage acuity tiers on a recurring (weekly to bi-weekly) cadence, alongside automated regression evaluation of clinical content and monitoring for shifts in the input population and interaction patterns. This program has operated for years across a deployment footprint spanning millions of patient interactions. Our recommendations from that experience:</w:t>
      </w:r>
    </w:p>
    <w:p>
      <w:r>
        <w:rPr>
          <w:color w:val="777777"/>
          <w:sz w:val="16"/>
        </w:rPr>
        <w:t xml:space="preserve">p059 · att1 p.7  </w:t>
      </w:r>
      <w:r>
        <w:t>• Sampling should be stratified by acuity and by interaction pattern, not uniform, because safety signal concentrates in high-acuity and atypical-trajectory interactions;</w:t>
      </w:r>
    </w:p>
    <w:p>
      <w:r>
        <w:rPr>
          <w:color w:val="777777"/>
          <w:sz w:val="16"/>
        </w:rPr>
        <w:t xml:space="preserve">p060 · att1 p.7  </w:t>
      </w:r>
      <w:r>
        <w:t>• Cadence should scale with deployment volume and change frequency, with defined triggering events (model or content updates, new deployment contexts, detected input-population drift) initiating off-cycle review; and</w:t>
      </w:r>
    </w:p>
    <w:p>
      <w:r>
        <w:rPr>
          <w:color w:val="777777"/>
          <w:sz w:val="16"/>
        </w:rPr>
        <w:t xml:space="preserve">p061 · att1 p.7  </w:t>
      </w:r>
      <w:r>
        <w:t>• Input-population drift deserves explicit standing as a monitored signal: changes in who reaches and completes interactions with a device can shift its effective performance without any change to the device itself.</w:t>
      </w:r>
    </w:p>
    <w:p>
      <w:r>
        <w:rPr>
          <w:color w:val="777777"/>
          <w:sz w:val="16"/>
        </w:rPr>
        <w:t xml:space="preserve">p062 · att1 p.7  </w:t>
      </w:r>
      <w:r>
        <w:t>Regarding machine-based supervisory agents (Question 20), we support their use as a scaling layer for surveillance that flags candidate interactions for human review, provided the supervisory agent is itself evaluated, its independence from the supervised components is documented, and final adjudication authority for safety-relevant findings remains with qualified clinicians.</w:t>
      </w:r>
    </w:p>
    <w:p>
      <w:r>
        <w:rPr>
          <w:color w:val="777777"/>
          <w:sz w:val="16"/>
        </w:rPr>
        <w:t xml:space="preserve">p063 · att1 p.8  </w:t>
      </w:r>
      <w:r>
        <w:t>C. Ecosystem roles without diffusing accountability (Question 21) — Health systems, clinicians, and professional societies have essential roles in local validation, deployment governance, and monitoring, and CDRH should encourage that participation. We ask CDRH to address one clarification directly in any future policy: a deploying healthcare institution’s participation in postmarket monitoring, local validation, or configuration of a device within the manufacturer’s prespecified, validated envelope should not, by itself, expose that institution to classification as a manufacturer or specification developer. Absent that clarity, the institutions best positioned to contribute monitoring evidence face a regulatory disincentive to do so, and manufacturers face pressure to exclude them, which is the opposite of the shared-ecosystem model the paper envisions. Manufacturer accountability is preserved by keeping the monitoring plan, thresholds, and correctiveaction obligations with the sponsor, with institutional contributions feeding that plan.</w:t>
      </w:r>
    </w:p>
    <w:p>
      <w:r>
        <w:rPr>
          <w:color w:val="777777"/>
          <w:sz w:val="16"/>
        </w:rPr>
        <w:t xml:space="preserve">p064 · att1 p.8  </w:t>
      </w:r>
      <w:r>
        <w:t>D. Changes initiated by third-party foundation model developers (Question 24) — Clearstep has direct experience with the most severe version of this risk: earlier in our history, an upstream AI vendor on which our product depended was acquired and its service discontinued, forcing a complete replacement of that dependency. That experience shaped an approach we believe generalizes into the mechanisms CDRH seeks:</w:t>
      </w:r>
    </w:p>
    <w:p>
      <w:r>
        <w:rPr>
          <w:color w:val="777777"/>
          <w:sz w:val="16"/>
        </w:rPr>
        <w:t xml:space="preserve">p065 · att1 p.8  </w:t>
      </w:r>
      <w:r>
        <w:t>• Architectural containment. Keep safety-critical clinical logic outside the third-party model, so that upstream changes affect communication quality rather than clinical dispositions. This converts an unbounded change-control problem into a bounded one and should be recognized as a primary mitigation in change-control review.</w:t>
      </w:r>
    </w:p>
    <w:p>
      <w:r>
        <w:rPr>
          <w:color w:val="777777"/>
          <w:sz w:val="16"/>
        </w:rPr>
        <w:t xml:space="preserve">p066 · att1 p.8  </w:t>
      </w:r>
      <w:r>
        <w:t>• Version pinning with contractual notice. Sponsors should pin model versions and secure contractual minimum-notice windows for deprecations, with continued access to prior versions during revalidation. Foundation model developers do not consistently offer these terms today; FDA’s articulation of them as expected practice would materially strengthen device manufacturers’ ability to obtain them.</w:t>
      </w:r>
    </w:p>
    <w:p>
      <w:r>
        <w:rPr>
          <w:color w:val="777777"/>
          <w:sz w:val="16"/>
        </w:rPr>
        <w:t xml:space="preserve">p067 · att1 p.8  </w:t>
      </w:r>
      <w:r>
        <w:t>• Shadow-mode gating and regression benchmarking. New model versions should run in shadow mode against production traffic and a prespecified regression battery derived from the premarket benchmarking baseline, with promotion to production gated on passing prespecified acceptance criteria. Clearstep operates this pattern today.</w:t>
      </w:r>
    </w:p>
    <w:p>
      <w:r>
        <w:rPr>
          <w:color w:val="777777"/>
          <w:sz w:val="16"/>
        </w:rPr>
        <w:t xml:space="preserve">p068 · att1 p.8  </w:t>
      </w:r>
      <w:r>
        <w:t>• PCCP coverage. Foundation model version changes that pass the prespecified regression battery within a defined envelope are a natural category for inclusion in a PCCP, enabling timely adoption of upstream improvements without a new submission while preserving the premarket baseline as the reference standard.</w:t>
      </w:r>
    </w:p>
    <w:p>
      <w:r>
        <w:rPr>
          <w:color w:val="777777"/>
          <w:sz w:val="16"/>
        </w:rPr>
        <w:t xml:space="preserve">p069 · att1 p.8  </w:t>
      </w:r>
      <w:r>
        <w:t>IV. Foundation Model Master Files and Agentic Systems (Section VII; Questions 25, 26)</w:t>
      </w:r>
    </w:p>
    <w:p>
      <w:r>
        <w:rPr>
          <w:color w:val="777777"/>
          <w:sz w:val="16"/>
        </w:rPr>
        <w:t xml:space="preserve">p070 · att1 p.9  </w:t>
      </w:r>
      <w:r>
        <w:t>A. Foundation Model MAFs (Question 25) — As a manufacturer that incorporates third-party foundation models in peripheral (non-safety-critical) roles, Clearstep supports voluntary Foundation Model MAFs: structured model and system documentation available to review teams on a reference basis would reduce duplicative diligence and improve review consistency. Two design points are essential:</w:t>
      </w:r>
    </w:p>
    <w:p>
      <w:r>
        <w:rPr>
          <w:color w:val="777777"/>
          <w:sz w:val="16"/>
        </w:rPr>
        <w:t xml:space="preserve">p071 · att1 p.9  </w:t>
      </w:r>
      <w:r>
        <w:t>• Because participation is voluntary and developer incentives are limited, the absence of an MAF must create no presumption against a device. Sponsor-conducted characterization of the incorporated model on a defined battery, scoped to the model’s role in the device, should be a fully sufficient substitute; otherwise the program would advantage sponsors with privileged foundation-model relationships and disadvantage everyone else.</w:t>
      </w:r>
    </w:p>
    <w:p>
      <w:r>
        <w:rPr>
          <w:color w:val="777777"/>
          <w:sz w:val="16"/>
        </w:rPr>
        <w:t xml:space="preserve">p072 · att1 p.9  </w:t>
      </w:r>
      <w:r>
        <w:t>• Platform intermediaries (cloud model platforms that host and version foundation models) should be eligible MAF holders. They are frequently the actual contractual counterparty for model access, hold the version-control and deprecation levers, and may participate where an upstream developer would not.</w:t>
      </w:r>
    </w:p>
    <w:p>
      <w:r>
        <w:rPr>
          <w:color w:val="777777"/>
          <w:sz w:val="16"/>
        </w:rPr>
        <w:t xml:space="preserve">p073 · att1 p.9  </w:t>
      </w:r>
      <w:r>
        <w:t>B. Agentic AI systems (Question 26) — We support the paper’s recognition that agentic systems performing care coordination, clinical documentation, patient outreach, and workflow support may not be the focus of device oversight, and we urge CDRH to preserve that boundary clearly: these functions are where autonomy delivers access and efficiency gains at low clinical risk, and ambiguity would chill beneficial deployment. For agentic functions that are devices, we recommend acceptance criteria and oversight reflect three additions to the A.1 element:</w:t>
      </w:r>
    </w:p>
    <w:p>
      <w:r>
        <w:rPr>
          <w:color w:val="777777"/>
          <w:sz w:val="16"/>
        </w:rPr>
        <w:t xml:space="preserve">p074 · att1 p.9  </w:t>
      </w:r>
      <w:r>
        <w:t>• Mandatory human-oversight checkpoints before irreversible or high-consequence actions, verified as non-bypassable in the deployed configuration rather than merely documented;</w:t>
      </w:r>
    </w:p>
    <w:p>
      <w:r>
        <w:rPr>
          <w:color w:val="777777"/>
          <w:sz w:val="16"/>
        </w:rPr>
        <w:t xml:space="preserve">p075 · att1 p.9  </w:t>
      </w:r>
      <w:r>
        <w:t>• Prompt-injection resistance evaluated across all input surfaces (user input, retrieved content including EHR-derived content, and tool outputs), since agentic devices embedded in clinical systems ingest substantial third-party content; and</w:t>
      </w:r>
    </w:p>
    <w:p>
      <w:r>
        <w:rPr>
          <w:color w:val="777777"/>
          <w:sz w:val="16"/>
        </w:rPr>
        <w:t xml:space="preserve">p076 · att1 p.9  </w:t>
      </w:r>
      <w:r>
        <w:t>• Characterized failure envelopes for tool errors and unavailability, demonstrating that the system degrades to a safe state (deferral or human handoff) rather than improvising around a failed dependency.</w:t>
      </w:r>
    </w:p>
    <w:p>
      <w:r>
        <w:rPr>
          <w:color w:val="777777"/>
          <w:sz w:val="16"/>
        </w:rPr>
        <w:t xml:space="preserve">p077 · att1 p.9  </w:t>
      </w:r>
      <w:r>
        <w:t>Conclusion — The discussion paper is a substantive and well-constructed foundation for regulating this category. Its most important commitments align with what responsible manufacturers in this space already practice: risk proportionate to function and consequence, evaluation of the deployed device as configured, recognition that premarket testing cannot exhaust open-ended input spaces, and a meaningful role for postmarket evidence. Clearstep would welcome the opportunity to discuss any of these comments with CDRH, to participate in workshops or pilots developing the competency-based approach, and to share further detail on the real-world monitoring and evaluation programs described above.</w:t>
      </w:r>
    </w:p>
    <w:p>
      <w:r>
        <w:rPr>
          <w:color w:val="777777"/>
          <w:sz w:val="16"/>
        </w:rPr>
        <w:t xml:space="preserve">p078 · att1 p.10  </w:t>
      </w:r>
      <w:r>
        <w:t>Thank you for your consideration.</w:t>
      </w:r>
    </w:p>
    <w:p>
      <w:r>
        <w:rPr>
          <w:color w:val="777777"/>
          <w:sz w:val="16"/>
        </w:rPr>
        <w:t xml:space="preserve">p079 · att1 p.10  </w:t>
      </w:r>
      <w:r>
        <w:t>Respectfully submitted,</w:t>
      </w:r>
    </w:p>
    <w:p>
      <w:r>
        <w:rPr>
          <w:color w:val="777777"/>
          <w:sz w:val="16"/>
        </w:rPr>
        <w:t xml:space="preserve">p080 · att1 p.10  </w:t>
      </w:r>
      <w:r>
        <w:t>Bilal Naved, PhD — Co-Founder &amp; Chief Product Officer — Clearstep Inc.</w:t>
      </w:r>
    </w:p>
    <w:p>
      <w:r>
        <w:rPr>
          <w:color w:val="777777"/>
          <w:sz w:val="16"/>
        </w:rPr>
        <w:t xml:space="preserve">p081 · att1 p.10  </w:t>
      </w:r>
      <w:r>
        <w:t>bilal@clearstep.health</w:t>
      </w:r>
    </w:p>
    <w:p>
      <w:pPr>
        <w:pStyle w:val="Heading1"/>
        <w:pageBreakBefore/>
      </w:pPr>
      <w:r>
        <w:t>FDA-2026-N-7874-0101</w:t>
      </w:r>
    </w:p>
    <w:p>
      <w:r>
        <w:t>Comment from Oluwamodupe Akintan</w:t>
      </w:r>
    </w:p>
    <w:p>
      <w:r>
        <w:rPr>
          <w:color w:val="777777"/>
          <w:sz w:val="18"/>
        </w:rPr>
        <w:t>received 2026-09-15</w:t>
      </w:r>
    </w:p>
    <w:p>
      <w:r>
        <w:rPr>
          <w:color w:val="777777"/>
          <w:sz w:val="16"/>
        </w:rPr>
        <w:t xml:space="preserve">p001 · body  </w:t>
      </w:r>
      <w:r>
        <w:t>Thank you for the opportunity to provide feedback on the discussion paper. I am submitting these comments in my individual capacity. The views expressed are my own and do not represent my employer or any organization with which I am affiliated.</w:t>
      </w:r>
    </w:p>
    <w:p>
      <w:r>
        <w:rPr>
          <w:color w:val="777777"/>
          <w:sz w:val="16"/>
        </w:rPr>
        <w:t xml:space="preserve">p002 · body  </w:t>
      </w:r>
      <w:r>
        <w:t>A few points stood out to me from a privacy and AI engineering perspective:</w:t>
      </w:r>
    </w:p>
    <w:p>
      <w:r>
        <w:rPr>
          <w:color w:val="777777"/>
          <w:sz w:val="16"/>
        </w:rPr>
        <w:t xml:space="preserve">p003 · body  </w:t>
      </w:r>
      <w:r>
        <w:t>1. Consider data sensitivity as part of the risk assessment.</w:t>
      </w:r>
    </w:p>
    <w:p>
      <w:r>
        <w:rPr>
          <w:color w:val="777777"/>
          <w:sz w:val="16"/>
        </w:rPr>
        <w:t xml:space="preserve">p004 · body  </w:t>
      </w:r>
      <w:r>
        <w:t>The proposed framework focuses on what the device does and the consequence of an incorrect output. I think the sensitivity of the data being accessed or processed should also be considered as a risk modifier. A device can produce a clinically correct output while still creating harm through unnecessary access, use, or disclosure of sensitive patient information.</w:t>
      </w:r>
    </w:p>
    <w:p>
      <w:r>
        <w:rPr>
          <w:color w:val="777777"/>
          <w:sz w:val="16"/>
        </w:rPr>
        <w:t xml:space="preserve">p005 · body  </w:t>
      </w:r>
      <w:r>
        <w:t>2. Include data-access boundaries when evaluating agentic AI.</w:t>
      </w:r>
    </w:p>
    <w:p>
      <w:r>
        <w:rPr>
          <w:color w:val="777777"/>
          <w:sz w:val="16"/>
        </w:rPr>
        <w:t xml:space="preserve">p006 · body  </w:t>
      </w:r>
      <w:r>
        <w:t>For agentic systems, testing should consider not only whether the system completes a task correctly, but whether it accesses only the data and tools needed for that task. This could include testing permission boundaries, attempts to access unrelated patient information, human approval before sensitive actions, and auditability of actions taken.</w:t>
      </w:r>
    </w:p>
    <w:p>
      <w:r>
        <w:rPr>
          <w:color w:val="777777"/>
          <w:sz w:val="16"/>
        </w:rPr>
        <w:t xml:space="preserve">p007 · body  </w:t>
      </w:r>
      <w:r>
        <w:t>3. Build privacy safeguards into postmarket monitoring.</w:t>
      </w:r>
    </w:p>
    <w:p>
      <w:r>
        <w:rPr>
          <w:color w:val="777777"/>
          <w:sz w:val="16"/>
        </w:rPr>
        <w:t xml:space="preserve">p008 · body  </w:t>
      </w:r>
      <w:r>
        <w:t>Postmarket monitoring may involve collecting and reviewing large amounts of real-world patient interaction data. I suggest explicitly considering data minimization, retention limits, access controls, and de-identification where appropriate. Monitoring should collect enough information to identify safety and performance issues without automatically retaining every patient interaction.</w:t>
      </w:r>
    </w:p>
    <w:p>
      <w:r>
        <w:rPr>
          <w:color w:val="777777"/>
          <w:sz w:val="16"/>
        </w:rPr>
        <w:t xml:space="preserve">p009 · body  </w:t>
      </w:r>
      <w:r>
        <w:t>4. Include privacy-related changes in oversight of third-party foundation models.</w:t>
      </w:r>
    </w:p>
    <w:p>
      <w:r>
        <w:rPr>
          <w:color w:val="777777"/>
          <w:sz w:val="16"/>
        </w:rPr>
        <w:t xml:space="preserve">p010 · body  </w:t>
      </w:r>
      <w:r>
        <w:t>For devices that rely on third-party foundation models, material changes should not be limited to model performance. Changes to data retention, logging, training or fine-tuning practices, tool permissions, or other data-handling behavior could also change the risk profile of the device. These types of changes could be included in change-notification expectations and, where appropriate, Foundation Model Master Files.</w:t>
      </w:r>
    </w:p>
    <w:p>
      <w:r>
        <w:rPr>
          <w:color w:val="777777"/>
          <w:sz w:val="16"/>
        </w:rPr>
        <w:t xml:space="preserve">p011 · body  </w:t>
      </w:r>
      <w:r>
        <w:t>Thank you for considering these comments.</w:t>
      </w:r>
    </w:p>
    <w:p>
      <w:pPr>
        <w:pStyle w:val="Heading1"/>
        <w:pageBreakBefore/>
      </w:pPr>
      <w:r>
        <w:t>FDA-2026-N-7874-0102</w:t>
      </w:r>
    </w:p>
    <w:p>
      <w:r>
        <w:t>Comment from Tanisha Tejada Thoreau</w:t>
      </w:r>
    </w:p>
    <w:p>
      <w:r>
        <w:rPr>
          <w:color w:val="777777"/>
          <w:sz w:val="18"/>
        </w:rPr>
        <w:t>Health Professional - A0007 · received 2026-09-15 · attachments: attachment_1.pdf (4 pp)</w:t>
      </w:r>
    </w:p>
    <w:p>
      <w:r>
        <w:rPr>
          <w:color w:val="777777"/>
          <w:sz w:val="16"/>
        </w:rPr>
        <w:t xml:space="preserve">p001 · body  </w:t>
      </w:r>
      <w:r>
        <w:t>Executive Overview — The Center for Devices and Radiological Health (CDRH) is to be commended for its forward-thinking discussion paper regarding Generative AI (GenAI)-enabled medical devices. The Agency rightly notes that traditional static software validation paradigms—predicated on closed input/output bounds—fail to account for the stochastic, multi-task, and emergent properties of foundation models and generative clinical architectures.</w:t>
      </w:r>
    </w:p>
    <w:p>
      <w:r>
        <w:rPr>
          <w:color w:val="777777"/>
          <w:sz w:val="16"/>
        </w:rPr>
        <w:t xml:space="preserve">p002 · body  </w:t>
      </w:r>
      <w:r>
        <w:t>In my companion work, The Algorithmic Audit Doctrine (AAD), I address this exact regulatory dilemma within GxP and clinical workflows. My thesis posits that because generative algorithms operate as quasi-autonomous analytical agents, governance must shift from static documentation and paper compliance to real-time technical enforcement, runtime boundary defense, continuous proficiency benchmarking, and immutable data lineage.</w:t>
      </w:r>
    </w:p>
    <w:p>
      <w:r>
        <w:rPr>
          <w:color w:val="777777"/>
          <w:sz w:val="16"/>
        </w:rPr>
        <w:t xml:space="preserve">p003 · body  </w:t>
      </w:r>
      <w:r>
        <w:t>While CDRH’s proposals move regulatory science in the right direction, the current discussion paper contains critical technical omissions regarding runtime threat defense, data integrity (ALCOA+), and third-party foundation model risk. This comment outlines specific points of agreement, key areas of divergence, actionable mechanisms to strengthen the framework, and answers to specific docket discussion questions.</w:t>
      </w:r>
    </w:p>
    <w:p>
      <w:r>
        <w:rPr>
          <w:color w:val="777777"/>
          <w:sz w:val="16"/>
        </w:rPr>
        <w:t xml:space="preserve">p004 · body  </w:t>
      </w:r>
      <w:r>
        <w:t>See attached file(s) for remainder.</w:t>
      </w:r>
    </w:p>
    <w:p>
      <w:r>
        <w:rPr>
          <w:color w:val="777777"/>
          <w:sz w:val="16"/>
        </w:rPr>
        <w:t xml:space="preserve">p005 · att1 p.1  </w:t>
      </w:r>
      <w:r>
        <w:t>MEMORANDUM FOR PUBLIC DOCKET SUBMISSION Docket No.: FDA-2026-N-7874 Executive Overview &amp; Alignment The Center for Devices and Radiological Health (CDRH) is to be commended for its forward-thinking discussion paper regarding Generative AI (GenAI)-enabled medical devices. The Agency rightly notes that traditional static software validation paradigms—predicated on closed input/output bounds—fail to account for the stochastic, multi-task, and emergent properties of foundation models and generative clinical architectures. In my companion work, The Algorithmic Audit Doctrine (AAD), I address this exact regulatory dilemma within GxP and clinical workflows. My thesis posits that because generative algorithms operate as quasi-autonomous analytical agents, governance must shift from static documentation and paper compliance to real-time technical enforcement, runtime boundary defense, continuous proficiency benchmarking, and immutable data lineage. While CDRH’s proposals move regulatory science in the right direction, the current discussion paper contains critical technical omissions regarding runtime threat defense, data integrity (ALCOA+), and third-party foundation model risk. This comment outlines specific points of agreement, key areas of divergence, actionable mechanisms to strengthen the framework, and answers to specific docket discussion questions. 1. Areas of Substantive Agreement • Adoption of Competency-Based Assessment (Section V): CDRH’s proposal to model premarket evaluation on clinical credentialing, medical licensing, and structured competency rather than exhaustive combinatorial testing is scientifically sound and operationally necessary. In AAD Pillar 2 (Algorithmic Competency Assurance), I argue an identical parallel: algorithms in regulated settings must be subjected to ongoing proficiency testing—analogous to ISO/IEC 17025 laboratory quality standards—rather than relying solely on initial static validation. • The Two-Axis Risk Matrix (Section IV &amp; Figure 1): Mapping "Device Activity" against "Consequences of Erroneous Output" accurately captures the operational risk gradient. I strongly endorse CDRH’s recognition that "informational" outputs can become de facto "action-directing" depending on linguistic formulation, context, and patient vulnerability. • Shift toward Postmarket Reliance (Section VI): Recognizing that premarket testing cannot predict every conversational trajectory, CDRH appropriately emphasizes continuous postmarket surveillance and Predetermined Change Control Plans (PCCPs). 2. Critical Gaps &amp; Areas of Disagreement A. Disagreement: Permitting "Greater Premarket Uncertainty" Without Hard Runtime Controls CDRH poses whether the Agency should "accept greater premarket uncertainty regarding a GenAI-enabled device's benefit-risk profile through greater reliance on postmarket monitoring" (Section VI, Question 18).</w:t>
      </w:r>
    </w:p>
    <w:p>
      <w:r>
        <w:rPr>
          <w:color w:val="777777"/>
          <w:sz w:val="16"/>
        </w:rPr>
        <w:t xml:space="preserve">p006 · att1 p.1  </w:t>
      </w:r>
      <w:r>
        <w:t>• The Critique: In clinical practice and GxP execution, accepting increased premarket uncertainty without mandatory, automated runtime circuit breakers is hazardous. Postmarket monitoring that relies on retrospective complaint reviews or periodic sample audits will fail to prevent acute clinical harm or systemic unblinding before regulatory intervention can occur. • The AAD Standard: Reduced premarket evidence must be strictly contingent upon the presence of active runtime boundary controls and automated kill-switches (AAD Pillar 3: Algorithmic Materiality). If an algorithm displays confidence score collapse or semantic drift, it must be programmatically locked at the API layer immediately—not weeks later during periodic review.</w:t>
      </w:r>
    </w:p>
    <w:p>
      <w:r>
        <w:rPr>
          <w:color w:val="777777"/>
          <w:sz w:val="16"/>
        </w:rPr>
        <w:t xml:space="preserve">p007 · att1 p.2  </w:t>
      </w:r>
      <w:r>
        <w:t>B. The Omission of Indirect Prompt Injection &amp; Adversarial Ingestion Defense CDRH mentions prompt injection only in passing within Appendix A (S.2, R.1, A.1). This vastly underestimates the primary attack vector facing GenAI in clinical ecosystems.</w:t>
      </w:r>
    </w:p>
    <w:p>
      <w:r>
        <w:rPr>
          <w:color w:val="777777"/>
          <w:sz w:val="16"/>
        </w:rPr>
        <w:t xml:space="preserve">p008 · att1 p.2  </w:t>
      </w:r>
      <w:r>
        <w:t>• The Vulnerability: When GenAI devices read unstructured electronic health records (EHRs), external laboratory PDFs, or patient-submitted portal notes, they are acutely vulnerable to indirect prompt injection (e.g., adversarial white-text, zero-width instructions, or hidden semantic overrides). A thirdparty document can force an LLM to override clinical contraindications or fabricate negative diagnostic findings without clinician awareness. • Regulatory Inadequacy: General cybersecurity guidance does not address semantic payload manipulation. Pre-ingestion file sanitization must be elevated to a primary design control requirement. C. Inadequate Data Integrity &amp; Evidentiary Traceability (The Part 11 / A-CoC Gap) The discussion paper’s postmarket monitoring section lacks technical specificity regarding data integrity (ALCOA+) and legal defensibility. Under 21 C.F.R. Part 11 and 21 C.F.R. § 820.70, electronic records must have tamper-evident, independent audit trails. If a generative device recommends a contra-indicated therapeutic or an agentic device executes an autonomous order, how does an FDA BIMO investigator or court reconstruct the transaction? Relying on ephemeral cloud vendor logs is insufficient. 3. Actionable Proposals to Strengthen the FDA Framework Drawing from The Algorithmic Audit Doctrine (AAD), I urge CDRH to integrate four technical requirements into its eventual draft guidance: Proposal 1: Mandate Algorithmic Chain of Custody (A-CoC) for Regulated Outputs (Strengthening Section VI &amp; Addressing Part 11 Compliance) FDA should require every GenAI-assisted clinical decision or diagnostic output to programmatically bundle and immutably commit a 6-Point A-CoC JSON Record directly to Write-Once-Read-Many (WORM) storage:</w:t>
      </w:r>
    </w:p>
    <w:p>
      <w:r>
        <w:rPr>
          <w:color w:val="777777"/>
          <w:sz w:val="16"/>
        </w:rPr>
        <w:t xml:space="preserve">p009 · att1 p.2  </w:t>
      </w:r>
      <w:r>
        <w:t>1. Model Identification: Commercial name and unique deployment/tenant ID. 2. Exact Version &amp; Weight Hash: Digital cryptographic fingerprint (e.g., SHA-256) of model weights. 3. System &amp; Context Prompt: Verbatim record of system instructions and user inputs. 4. RAG Data Lineage: Explicit uniform resource identifiers (URIs) of all EHR records, vector database nodes, or clinical guidelines retrieved. 5. Algorithmic Confidence Metric: Mathematical certainty or token log-probability. 6. Human-in-the-Loop (HITL) Part 11 Signature: Authenticated electronic sign-off from the reviewing clinician/expert confirming substantive verification. Proposal 2: Codify Automated Risk-Tiered Escalation &amp; Fail-Closed Cut-Offs (Strengthening Section IV &amp; Section VI.C) Incorporate an operational 3-Tier Materiality Matrix that moves beyond passive monitoring to active programmatic containment:</w:t>
      </w:r>
    </w:p>
    <w:p>
      <w:r>
        <w:rPr>
          <w:color w:val="777777"/>
          <w:sz w:val="16"/>
        </w:rPr>
        <w:t xml:space="preserve">p010 · att1 p.3  </w:t>
      </w:r>
      <w:r>
        <w:t>• Tier 1 (Low Materiality): Minor stylistic/linguistic variations; routine WORM audit logging. • Tier 2 (Moderate Materiality): Workflow routing or metadata filtering anomalies; triggers 24-hour staged quarantine and mandatory human quality unit review. • Tier 3 (High Materiality): Diagnostic integration shifts (&gt; 1.5%), critical drug-interaction omissions, unblinding breaches, or prompt injection detections. Mandatory Action: Automated API token revocation (kill-switch), immediate operational lockout, formal CAPA root-cause investigation, and mandatory 24-hour FDA/sponsor reporting under 21 C.F.R. § 803 / § 812.150. Proposal 3: Address Vendor Foundation Model Evolution via Contractual Staging (Strengthening Section VII.A &amp; Question 24) Voluntary Foundation Model Device Master Files (MAFs) are helpful but insufficient because model developers lack economic incentives to maintain them for niche medical device clients. CDRH should require device sponsors to contractually enforce a 14-day advance notification and preview sandbox window with their cloud LLM vendors. During this 14-day window, the sponsor’s internal audit unit runs automated, locked "golden test sets" (proficiency tests) in a sandboxed staging environment to verify that third-party weight updates have not degraded clinical reasoning before deployment to live clinical workflows. 4. Direct Feedback on Key Discussion Questions • On Question 1 (Two-Axis Risk Framework): Add "Output Reversibility" and "Traceability" to the matrix. An output that triggers an irreversible surgical or pharmacological event must carry higher evidentiary weight than one with downstream clinical verification buffers. • On Question 7 &amp; 10 (Benchmarking &amp; Evaluation Assets): Public benchmarks face severe data saturation and leakage. CDRH should require sequestered, sponsorcurated ground-truth test sets evaluated by structurally independent clinician panels. Benchmarks should incorporate simulated clinical friction: noisy measurements, contradictory patient histories, and edge cases. • On Question 20 (Machine-Based Supervisory Agents): Automated LLM "evaluator agents" can assist in high-throughput postmarket monitoring, but an algorithm cannot serve as the accountable decision-maker under 21 C.F.R. § 211.22 or 21 C.F.R. § 820.20. Any supervisory agent must itself undergo competency qualification, operate under strict deterministic rules, and remain subordinate to credentialed human oversight. • On Question 26 (Agentic AI Systems): Agentic devices that execute autonomous tool sequences or issue device controls present catastrophic risk multiplication. CDRH must enforce mandatory, non-bypassable HITL checkpoints prior to any irreversible action (e.g., dispensing medication, issuing orders, changing infusion rates) and require isolated vector index partitioning to prevent cross-tenant data bleed. Conclusion</w:t>
      </w:r>
    </w:p>
    <w:p>
      <w:r>
        <w:rPr>
          <w:color w:val="777777"/>
          <w:sz w:val="16"/>
        </w:rPr>
        <w:t xml:space="preserve">p011 · att1 p.4  </w:t>
      </w:r>
      <w:r>
        <w:t>CDRH’s discussion paper establishes a thoughtful foundation for generative AI oversight. However, clinical safety and statutory compliance cannot depend on trust or after-the-fact monitoring alone. By adopting the principles outlined in The Algorithmic Audit Doctrine—continuous ingestion filtering, blind competency benchmarking, quantitative materiality kill-switches, and immutable chain of custody—the FDA can provide an agile, least burdensome regulatory pathway that protects public health, preserves data integrity, and fosters safe clinical innovation. Respectfully submitted, JD Candidate</w:t>
      </w:r>
    </w:p>
    <w:p>
      <w:pPr>
        <w:pStyle w:val="Heading1"/>
        <w:pageBreakBefore/>
      </w:pPr>
      <w:r>
        <w:t>FDA-2026-N-7874-0103</w:t>
      </w:r>
    </w:p>
    <w:p>
      <w:r>
        <w:t>Comment from Sustwinability LLC</w:t>
      </w:r>
    </w:p>
    <w:p>
      <w:r>
        <w:rPr>
          <w:color w:val="777777"/>
          <w:sz w:val="18"/>
        </w:rPr>
        <w:t>Private Industry - C0003 · received 2026-09-16 · attachments: attachment_1.pdf (4 pp)</w:t>
      </w:r>
    </w:p>
    <w:p>
      <w:r>
        <w:rPr>
          <w:color w:val="777777"/>
          <w:sz w:val="16"/>
        </w:rPr>
        <w:t xml:space="preserve">p001 · body  </w:t>
      </w:r>
      <w:r>
        <w:t>See attached file(s)</w:t>
      </w:r>
    </w:p>
    <w:p>
      <w:r>
        <w:rPr>
          <w:color w:val="777777"/>
          <w:sz w:val="16"/>
        </w:rPr>
        <w:t xml:space="preserve">p002 · att1 p.1  </w:t>
      </w:r>
      <w:r>
        <w:t>Comment to FDA — Docket FDA-2026-N-7874 — Considerations for the Regulation of Generative AI-Enabled Medical Devices: Discussion Paper and Request for Feedback (CDRH Digital Health Center of Excellence, 18 August 2026)</w:t>
      </w:r>
    </w:p>
    <w:p>
      <w:r>
        <w:rPr>
          <w:color w:val="777777"/>
          <w:sz w:val="16"/>
        </w:rPr>
        <w:t xml:space="preserve">p003 · att1 p.1  </w:t>
      </w:r>
      <w:r>
        <w:t>Submitted by: Ajay Batra, Sustwinability LLC (Kaelox) · ajaybatra@kaelox.ai [Submit on Regulations.gov, docket FDA-2026-N-7874, by 19 October 2026.]</w:t>
      </w:r>
    </w:p>
    <w:p>
      <w:r>
        <w:rPr>
          <w:color w:val="777777"/>
          <w:sz w:val="16"/>
        </w:rPr>
        <w:t xml:space="preserve">p004 · att1 p.1  </w:t>
      </w:r>
      <w:r>
        <w:t>PUBLIC DISCLOSURE — read discipline. Principle level only. Everything here is either covered by a filed patent application, already public on our site, or generic policy. The cross-node supply-chain composition mechanism referenced in §4 is now the subject of a filed provisional application and is described here only at the principle level; no analyser internals (thresholds, grounding ontology, design-ofexperiments) are disclosed. Short counsel read before submission because it is public.</w:t>
      </w:r>
    </w:p>
    <w:p>
      <w:r>
        <w:rPr>
          <w:color w:val="777777"/>
          <w:sz w:val="16"/>
        </w:rPr>
        <w:t xml:space="preserve">p005 · att1 p.1  </w:t>
      </w:r>
      <w:r>
        <w:t>Who is commenting — Sustwinability LLC builds Kaelox — AI-Powered Determinism Infrastructure for Safe AI. Kaelox is not a model and not a device. It is the layer underneath AI that makes a probabilistic system safe to use where a regulator is watching: the model advises, a deterministic engine decides against fixed limits, and a qualified person signs. The approach is the subject of filed patent applications.</w:t>
      </w:r>
    </w:p>
    <w:p>
      <w:r>
        <w:rPr>
          <w:color w:val="777777"/>
          <w:sz w:val="16"/>
        </w:rPr>
        <w:t xml:space="preserve">p006 · att1 p.1  </w:t>
      </w:r>
      <w:r>
        <w:t>We are early-stage (MVP alpha) and make no product claim here. We comment because the web learned to carry money only after a shared, verifiable trust layer was placed under it — and regulated AI now needs the same thing: a common, verifiable way to show that an AI stayed within its bounds. That idea bears directly on the two questions the discussion paper puts at its center — how to score risk, and how to evaluate a device before and after market — and on multi-jurisdiction operation and site-to-site handover.</w:t>
      </w:r>
    </w:p>
    <w:p>
      <w:r>
        <w:rPr>
          <w:color w:val="777777"/>
          <w:sz w:val="16"/>
        </w:rPr>
        <w:t xml:space="preserve">p007 · att1 p.1  </w:t>
      </w:r>
      <w:r>
        <w:t>1 · The core idea — marrying the probabilistic and the deterministic — Generative AI is powerful because it is probabilistic, and unusable in a regulated decision because it is probabilistic. The resolution is not to make the model trustworthy — it is to take the model out of the decision while keeping its insight:</w:t>
      </w:r>
    </w:p>
    <w:p>
      <w:r>
        <w:rPr>
          <w:color w:val="777777"/>
          <w:sz w:val="16"/>
        </w:rPr>
        <w:t xml:space="preserve">p008 · att1 p.1  </w:t>
      </w:r>
      <w:r>
        <w:t>Determinism → AI → Determinism. Deterministic, computed context goes in. The model reads and proposes. A deterministic engine verifies every proposal against fixed limits and decides. Nothing the model emits can reach a recorded value.</w:t>
      </w:r>
    </w:p>
    <w:p>
      <w:r>
        <w:rPr>
          <w:color w:val="777777"/>
          <w:sz w:val="16"/>
        </w:rPr>
        <w:t xml:space="preserve">p009 · att1 p.1  </w:t>
      </w:r>
      <w:r>
        <w:t>The consequence for regulation is the important part: the validated object is not the model — it is the evidence chain. What you validate is the constrained, version-locked configuration around the model and the deterministic verification that follows it, recorded as an independently verifiable chain binding manufacturing or clinical telemetry, the AI proposal, the deterministic decision, and the human authorization. The model can change, drift, or be replaced; the evidence chain — and its guarantees — do not.</w:t>
      </w:r>
    </w:p>
    <w:p>
      <w:r>
        <w:rPr>
          <w:color w:val="777777"/>
          <w:sz w:val="16"/>
        </w:rPr>
        <w:t xml:space="preserve">p010 · att1 p.2  </w:t>
      </w:r>
      <w:r>
        <w:t>Two properties make this checkable rather than merely asserted: • Human-in-the-loop as an enforced interlock, not advice — no consequential action proceeds without a qualified person’s signature, and that signature is part of the record. • Determinism — the same inputs reproduce the same result, so any entry can be verified rather than trusted.</w:t>
      </w:r>
    </w:p>
    <w:p>
      <w:r>
        <w:rPr>
          <w:color w:val="777777"/>
          <w:sz w:val="16"/>
        </w:rPr>
        <w:t xml:space="preserve">p011 · att1 p.2  </w:t>
      </w:r>
      <w:r>
        <w:t>2 · On the paper’s two-axis risk framework — The discussion paper proposes scoring a generative function on two axes: how independently it acts — from non-directive information, through action-directing information, to supervised and then fully autonomous action — and the consequence of relying on an incorrect output. We support a two-axis, risk-proportionate approach and offer one structural observation that we believe strengthens it.</w:t>
      </w:r>
    </w:p>
    <w:p>
      <w:r>
        <w:rPr>
          <w:color w:val="777777"/>
          <w:sz w:val="16"/>
        </w:rPr>
        <w:t xml:space="preserve">p012 · att1 p.2  </w:t>
      </w:r>
      <w:r>
        <w:t>Position on the independence axis can be a property of the architecture, not a claim about the model. Where a deterministic verifier sits between the generative component and any consequential output, and an authorizing outcome is unreachable on the modelinfluenced path, the generative function is confined — by construction — to producing information, not to directing or taking action. A qualified person and a deterministic engine, not the model, convert that information into any action that occurs. We suggest the framework can invite an applicant to demonstrate that a function cannot structurally reach a higher point on the independence axis — a testable property — rather than resting the score on assurances about model behaviour. Two devices using an identically capable model may sit at very different points on that axis depending on whether a deterministic interlock makes autonomous action reachable. Scoring the architecture, not the model’s ceiling, keeps the axis meaningful as models grow more capable.</w:t>
      </w:r>
    </w:p>
    <w:p>
      <w:r>
        <w:rPr>
          <w:color w:val="777777"/>
          <w:sz w:val="16"/>
        </w:rPr>
        <w:t xml:space="preserve">p013 · att1 p.2  </w:t>
      </w:r>
      <w:r>
        <w:t>The consequence axis is unaffected by this: severity of harm from an incorrect output remains a clinical judgment. What determinism changes is the likelihood that the AI reaches that output at all, and — crucially — the ability to prove after the fact which point on the independence axis actually governed a given decision.</w:t>
      </w:r>
    </w:p>
    <w:p>
      <w:r>
        <w:rPr>
          <w:color w:val="777777"/>
          <w:sz w:val="16"/>
        </w:rPr>
        <w:t xml:space="preserve">p014 · att1 p.2  </w:t>
      </w:r>
      <w:r>
        <w:t>3 · On premarket evaluation — validate the constraint, not the model — The paper models premarket evaluation on how a clinician is credentialed. The metaphor is apt, and it points to a precise conclusion: credential the decider. In this architecture the decider is the deterministic gate plus the signing qualified person — not the generative model. So the object that should be evaluated and version-locked premarket is the constrained configuration that bounds the model and the deterministic verification that follows it; the model sits outside the credentialed boundary precisely because nothing it emits is binding. This makes premarket evidence proportionate to a structural property that can be tested once, rather than to a model whose behaviour must be re-argued each time it changes.</w:t>
      </w:r>
    </w:p>
    <w:p>
      <w:r>
        <w:rPr>
          <w:color w:val="777777"/>
          <w:sz w:val="16"/>
        </w:rPr>
        <w:t xml:space="preserve">p015 · att1 p.3  </w:t>
      </w:r>
      <w:r>
        <w:t>4 · On postmarket monitoring — require verifiable records, not just records — An adjacent regime is instructive: the EU battery passport mandated a digital record but “does not foresee detailed verification for most data, leaving potential gaps for inaccurate or fraudulent data.” A self-reported, unverified record is the weak link. We encourage the Agency to consider requiring that a postmarket AI record be independently verifiable — a third party can confirm, without the manufacturer’s cooperation and without special tooling, that an output stayed within its authorised envelope, that the record is unaltered (tamper-evidence that propagates — altering one entry invalidates every later entry), and that the result reproduces. An auditor should verify an AI decision the way a browser verifies a certificate: automatically, offline, without trusting the party that produced it.</w:t>
      </w:r>
    </w:p>
    <w:p>
      <w:r>
        <w:rPr>
          <w:color w:val="777777"/>
          <w:sz w:val="16"/>
        </w:rPr>
        <w:t xml:space="preserve">p016 · att1 p.3  </w:t>
      </w:r>
      <w:r>
        <w:t>We further encourage the Agency to look at the whole lifecycle and every handover, not a single point in time. A device, its data, and its AI cross sites, suppliers, and jurisdictions. We suggest the unit of postmarket evidence be a sealed, verifiable envelope that travels with the article — carrying, at each handover, an independently checkable record that the AI stayed within the envelope authorised for that step and was evaluated against the rules of the jurisdiction it is entering. Where changes occur under a Predetermined Change Control Plan, each change should be recorded as such an envelope, verifiably within its authorised bounds, rather than attested in prose.</w:t>
      </w:r>
    </w:p>
    <w:p>
      <w:r>
        <w:rPr>
          <w:color w:val="777777"/>
          <w:sz w:val="16"/>
        </w:rPr>
        <w:t xml:space="preserve">p017 · att1 p.3  </w:t>
      </w:r>
      <w:r>
        <w:t>This directly addresses three problems the discussion paper raises together: postmarket monitoring (the record is verifiable end to end), change control (each change is a checkable envelope), and multi-jurisdiction operation — because an on-premise, zeroegress design that evaluates against the destination jurisdiction’s rules removes the crossborder data-transfer and privacy problem rather than merely satisfying it, while still producing a record any regulator can verify. Local medical-device and SaMD law, datasafety, and privacy obligations are then met by where the computation happens (on the manufacturer’s own hardware) rather than by moving data to be checked.</w:t>
      </w:r>
    </w:p>
    <w:p>
      <w:r>
        <w:rPr>
          <w:color w:val="777777"/>
          <w:sz w:val="16"/>
        </w:rPr>
        <w:t xml:space="preserve">p018 · att1 p.3  </w:t>
      </w:r>
      <w:r>
        <w:t>5 · The single recommendation — a common basis of trust — The highest-leverage step, in our view, is a common, verifiable attestation approach for constrained AI — a shared way to demonstrate “the model was kept within bounds, and here is the proof anyone can check,” analogous to the shared certificate standard that let the web establish trust. Open transparency standards for exactly this now exist (for example the IETF SCITT architecture, RFC 9943, and COSE Receipts, RFC 9942), which lets an attestation be verified across parties and borders without exposing proprietary data. We would be glad to contribute to such a discussion, and we believe it is the durable answer to governing AI that changes.</w:t>
      </w:r>
    </w:p>
    <w:p>
      <w:r>
        <w:rPr>
          <w:color w:val="777777"/>
          <w:sz w:val="16"/>
        </w:rPr>
        <w:t xml:space="preserve">p019 · att1 p.4  </w:t>
      </w:r>
      <w:r>
        <w:t>We appreciate the opportunity to comment and would welcome further engagement with the Digital Health Center of Excellence. We are responding in part; we do not address all of the paper’s discussion questions.</w:t>
      </w:r>
    </w:p>
    <w:p>
      <w:r>
        <w:rPr>
          <w:color w:val="777777"/>
          <w:sz w:val="16"/>
        </w:rPr>
        <w:t xml:space="preserve">p020 · att1 p.4  </w:t>
      </w:r>
      <w:r>
        <w:t>Ajay Batra · Sustwinability LLC · Kaelox — AI-Powered Determinism Infrastructure for Safe AI · patent pending · MVP Alpha</w:t>
      </w:r>
    </w:p>
    <w:p>
      <w:pPr>
        <w:pStyle w:val="Heading1"/>
        <w:pageBreakBefore/>
      </w:pPr>
      <w:r>
        <w:t>FDA-2026-N-7874-0104</w:t>
      </w:r>
    </w:p>
    <w:p>
      <w:r>
        <w:t>Comment from Nieleze</w:t>
      </w:r>
    </w:p>
    <w:p>
      <w:r>
        <w:rPr>
          <w:color w:val="777777"/>
          <w:sz w:val="18"/>
        </w:rPr>
        <w:t>Other Organizations - E0003 · received 2026-09-16 · attachments: attachment_1.pdf (3 pp)</w:t>
      </w:r>
    </w:p>
    <w:p>
      <w:r>
        <w:rPr>
          <w:color w:val="777777"/>
          <w:sz w:val="16"/>
        </w:rPr>
        <w:t xml:space="preserve">p001 · body  </w:t>
      </w:r>
      <w:r>
        <w:t>Please see the attached comment from Nieleze on evidence independence in the evaluation of GenAI-enabled medical devices, addressing principally Questions 10, 13, 16, 19, 22, and 26.</w:t>
      </w:r>
    </w:p>
    <w:p>
      <w:r>
        <w:rPr>
          <w:color w:val="777777"/>
          <w:sz w:val="16"/>
        </w:rPr>
        <w:t xml:space="preserve">p002 · att1 p.1  </w:t>
      </w:r>
      <w:r>
        <w:t>Re: FDA-2026-N-7874 — Evidence independence in the evaluation of GenAI-enabled medical devices — I am a physician-engineer working across biomedical engineering, clinical systems, simulation, and organizational resilience. I developed the Reliance Lens, a comparative instrument for examining whether technically different approaches to the same function actually produce independent operational exposure.</w:t>
      </w:r>
    </w:p>
    <w:p>
      <w:r>
        <w:rPr>
          <w:color w:val="777777"/>
          <w:sz w:val="16"/>
        </w:rPr>
        <w:t xml:space="preserve">p003 · att1 p.1  </w:t>
      </w:r>
      <w:r>
        <w:t>This comment responds principally to Questions 10, 13, 16, 19, 22, and 26.</w:t>
      </w:r>
    </w:p>
    <w:p>
      <w:r>
        <w:rPr>
          <w:color w:val="777777"/>
          <w:sz w:val="16"/>
        </w:rPr>
        <w:t xml:space="preserve">p004 · att1 p.1  </w:t>
      </w:r>
      <w:r>
        <w:t>The Reliance Lens uses the sequence: Approach → Function → Reliance → Coupling → Independence</w:t>
      </w:r>
    </w:p>
    <w:p>
      <w:r>
        <w:rPr>
          <w:color w:val="777777"/>
          <w:sz w:val="16"/>
        </w:rPr>
        <w:t xml:space="preserve">p005 · att1 p.1  </w:t>
      </w:r>
      <w:r>
        <w:t>Its central proposition is: Different technologies do not necessarily mean different exposure.</w:t>
      </w:r>
    </w:p>
    <w:p>
      <w:r>
        <w:rPr>
          <w:color w:val="777777"/>
          <w:sz w:val="16"/>
        </w:rPr>
        <w:t xml:space="preserve">p006 · att1 p.1  </w:t>
      </w:r>
      <w:r>
        <w:t>I believe this offers a useful additional question for FDA’s proposed framework: Does accumulating evidence necessarily produce accumulating independent information about failure?</w:t>
      </w:r>
    </w:p>
    <w:p>
      <w:r>
        <w:rPr>
          <w:color w:val="777777"/>
          <w:sz w:val="16"/>
        </w:rPr>
        <w:t xml:space="preserve">p007 · att1 p.1  </w:t>
      </w:r>
      <w:r>
        <w:t>FDA’s discussion paper and the comments responding to it describe increasingly rigorous layers of assurance: dataset documentation and provenance, benchmarking and construct-validity assessment, clinical confirmation, independent third-party evaluation, re-benchmarking, postmarket monitoring, clinician review, and supervisory systems.</w:t>
      </w:r>
    </w:p>
    <w:p>
      <w:r>
        <w:rPr>
          <w:color w:val="777777"/>
          <w:sz w:val="16"/>
        </w:rPr>
        <w:t xml:space="preserve">p008 · att1 p.1  </w:t>
      </w:r>
      <w:r>
        <w:t>These mechanisms address different and important problems. The Reliance Lens suggests examining them collectively as an evidence architecture.</w:t>
      </w:r>
    </w:p>
    <w:p>
      <w:r>
        <w:rPr>
          <w:color w:val="777777"/>
          <w:sz w:val="16"/>
        </w:rPr>
        <w:t xml:space="preserve">p009 · att1 p.1  </w:t>
      </w:r>
      <w:r>
        <w:t>For each evidence-producing approach, the relevant questions are: Function — what is this mechanism intended to establish?</w:t>
      </w:r>
    </w:p>
    <w:p>
      <w:r>
        <w:rPr>
          <w:color w:val="777777"/>
          <w:sz w:val="16"/>
        </w:rPr>
        <w:t xml:space="preserve">p010 · att1 p.1  </w:t>
      </w:r>
      <w:r>
        <w:t>Reliance — what does it require to perform that function?</w:t>
      </w:r>
    </w:p>
    <w:p>
      <w:r>
        <w:rPr>
          <w:color w:val="777777"/>
          <w:sz w:val="16"/>
        </w:rPr>
        <w:t xml:space="preserve">p011 · att1 p.1  </w:t>
      </w:r>
      <w:r>
        <w:t>Coupling — where do those reliance structures converge with those of other evidence mechanisms?</w:t>
      </w:r>
    </w:p>
    <w:p>
      <w:r>
        <w:rPr>
          <w:color w:val="777777"/>
          <w:sz w:val="16"/>
        </w:rPr>
        <w:t xml:space="preserve">p012 · att1 p.1  </w:t>
      </w:r>
      <w:r>
        <w:t>Independence — what evidence demonstrates that the resulting exposures are sufficiently separated?</w:t>
      </w:r>
    </w:p>
    <w:p>
      <w:r>
        <w:rPr>
          <w:color w:val="777777"/>
          <w:sz w:val="16"/>
        </w:rPr>
        <w:t xml:space="preserve">p013 · att1 p.1  </w:t>
      </w:r>
      <w:r>
        <w:t>This distinction matters because institutional independence does not necessarily establish operational independence.</w:t>
      </w:r>
    </w:p>
    <w:p>
      <w:r>
        <w:rPr>
          <w:color w:val="777777"/>
          <w:sz w:val="16"/>
        </w:rPr>
        <w:t xml:space="preserve">p014 · att1 p.1  </w:t>
      </w:r>
      <w:r>
        <w:t>A third-party evaluator may be organizationally independent while relying on the same clinical representation, reference standard, data-generating assumptions, model family, workflow, or upstream signals as the system being evaluated. A dataset may be fully documented and versioned while remaining a common dependency across benchmarking, adjudication, and re-benchmarking. A supervisory system may be separately administered while inheriting the same upstream exposure as the system it supervises. In that case:</w:t>
      </w:r>
    </w:p>
    <w:p>
      <w:r>
        <w:rPr>
          <w:color w:val="777777"/>
          <w:sz w:val="16"/>
        </w:rPr>
        <w:t xml:space="preserve">p015 · att1 p.2  </w:t>
      </w:r>
      <w:r>
        <w:t>device ← shared reliance → supervisory mechanism may increase the amount of monitoring without creating a commensurate increase in independent protection.</w:t>
      </w:r>
    </w:p>
    <w:p>
      <w:r>
        <w:rPr>
          <w:color w:val="777777"/>
          <w:sz w:val="16"/>
        </w:rPr>
        <w:t xml:space="preserve">p016 · att1 p.2  </w:t>
      </w:r>
      <w:r>
        <w:t>A concrete example: the re-benchmarking loop — If benchmark evaluation, clinical adjudication, and postmarket re-benchmarking all depend on the same clinical representation or reference standard, a persistent failure in that representation can survive model updates and repeated evaluation. The system may therefore demonstrate stable performance while remaining blind to the same condition.</w:t>
      </w:r>
    </w:p>
    <w:p>
      <w:r>
        <w:rPr>
          <w:color w:val="777777"/>
          <w:sz w:val="16"/>
        </w:rPr>
        <w:t xml:space="preserve">p017 · att1 p.2  </w:t>
      </w:r>
      <w:r>
        <w:t>In simplified form: shared reliance → missed condition → repeated measurement → apparent stability</w:t>
      </w:r>
    </w:p>
    <w:p>
      <w:r>
        <w:rPr>
          <w:color w:val="777777"/>
          <w:sz w:val="16"/>
        </w:rPr>
        <w:t xml:space="preserve">p018 · att1 p.2  </w:t>
      </w:r>
      <w:r>
        <w:t>This is not a claim that shared reliance necessarily produces correlated failure. It identifies a testable independence question: whether the evidence mechanisms would behave differently when the shared reliance is stressed, changed, disrupted, or made unavailable.</w:t>
      </w:r>
    </w:p>
    <w:p>
      <w:r>
        <w:rPr>
          <w:color w:val="777777"/>
          <w:sz w:val="16"/>
        </w:rPr>
        <w:t xml:space="preserve">p019 · att1 p.2  </w:t>
      </w:r>
      <w:r>
        <w:t>The issue therefore differs from ordinary benchmark contamination or model drift. It concerns whether the evidence-producing system itself has sufficient independence to discover the failures it is intended to detect.</w:t>
      </w:r>
    </w:p>
    <w:p>
      <w:r>
        <w:rPr>
          <w:color w:val="777777"/>
          <w:sz w:val="16"/>
        </w:rPr>
        <w:t xml:space="preserve">p020 · att1 p.2  </w:t>
      </w:r>
      <w:r>
        <w:t>Evidence volume versus evidence independence — The broader implication is that accumulating evidence does not necessarily mean accumulating independent information about failure.</w:t>
      </w:r>
    </w:p>
    <w:p>
      <w:r>
        <w:rPr>
          <w:color w:val="777777"/>
          <w:sz w:val="16"/>
        </w:rPr>
        <w:t xml:space="preserve">p021 · att1 p.2  </w:t>
      </w:r>
      <w:r>
        <w:t>A safety case can become more documented, more reproducible, more independently administered, and more continuously monitored while remaining materially dependent on the same underlying representation, reference standard, model family, workflow, or upstream signal.</w:t>
      </w:r>
    </w:p>
    <w:p>
      <w:r>
        <w:rPr>
          <w:color w:val="777777"/>
          <w:sz w:val="16"/>
        </w:rPr>
        <w:t xml:space="preserve">p022 · att1 p.2  </w:t>
      </w:r>
      <w:r>
        <w:t>This suggests distinguishing: Institutional independence — who performs the evaluation.</w:t>
      </w:r>
    </w:p>
    <w:p>
      <w:r>
        <w:rPr>
          <w:color w:val="777777"/>
          <w:sz w:val="16"/>
        </w:rPr>
        <w:t xml:space="preserve">p023 · att1 p.2  </w:t>
      </w:r>
      <w:r>
        <w:t>Methodological independence — how the evaluation is performed.</w:t>
      </w:r>
    </w:p>
    <w:p>
      <w:r>
        <w:rPr>
          <w:color w:val="777777"/>
          <w:sz w:val="16"/>
        </w:rPr>
        <w:t xml:space="preserve">p024 · att1 p.2  </w:t>
      </w:r>
      <w:r>
        <w:t>Operational independence — whether the evaluator or safeguard depends on materially different conditions from the system being evaluated.</w:t>
      </w:r>
    </w:p>
    <w:p>
      <w:r>
        <w:rPr>
          <w:color w:val="777777"/>
          <w:sz w:val="16"/>
        </w:rPr>
        <w:t xml:space="preserve">p025 · att1 p.2  </w:t>
      </w:r>
      <w:r>
        <w:t>The first two do not necessarily establish the third.</w:t>
      </w:r>
    </w:p>
    <w:p>
      <w:r>
        <w:rPr>
          <w:color w:val="777777"/>
          <w:sz w:val="16"/>
        </w:rPr>
        <w:t xml:space="preserve">p026 · att1 p.3  </w:t>
      </w:r>
      <w:r>
        <w:t>Possible regulatory extension — For higher-risk GenAI-enabled medical devices, FDA could consider an evidenceindependence assessment alongside existing benchmarking, clinical confirmation, thirdparty evaluation, postmarket monitoring, and supervisory controls.</w:t>
      </w:r>
    </w:p>
    <w:p>
      <w:r>
        <w:rPr>
          <w:color w:val="777777"/>
          <w:sz w:val="16"/>
        </w:rPr>
        <w:t xml:space="preserve">p027 · att1 p.3  </w:t>
      </w:r>
      <w:r>
        <w:t>Such an assessment could identify: 1. the principal evidence and safeguard approaches; 2. the material reliance of each; 3. convergence among those reliance structures; 4. conditions under which those convergences could become consequential; and 5. evidence that apparent redundancy remains meaningful under those conditions.</w:t>
      </w:r>
    </w:p>
    <w:p>
      <w:r>
        <w:rPr>
          <w:color w:val="777777"/>
          <w:sz w:val="16"/>
        </w:rPr>
        <w:t xml:space="preserve">p028 · att1 p.3  </w:t>
      </w:r>
      <w:r>
        <w:t>This would complement, rather than replace, the important measures already proposed in the discussion paper and public comments.</w:t>
      </w:r>
    </w:p>
    <w:p>
      <w:r>
        <w:rPr>
          <w:color w:val="777777"/>
          <w:sz w:val="16"/>
        </w:rPr>
        <w:t xml:space="preserve">p029 · att1 p.3  </w:t>
      </w:r>
      <w:r>
        <w:t>The central question is: When multiple sources of assurance appear independent, what evidence demonstrates that they actually provide independent information about failure?</w:t>
      </w:r>
    </w:p>
    <w:p>
      <w:r>
        <w:rPr>
          <w:color w:val="777777"/>
          <w:sz w:val="16"/>
        </w:rPr>
        <w:t xml:space="preserve">p030 · att1 p.3  </w:t>
      </w:r>
      <w:r>
        <w:t>The Reliance Lens is designed to make that question explicit and testable. Its outputs are structured hypotheses about operational reliance and coupling, not claims of causality or independence without supporting evidence.</w:t>
      </w:r>
    </w:p>
    <w:p>
      <w:r>
        <w:rPr>
          <w:color w:val="777777"/>
          <w:sz w:val="16"/>
        </w:rPr>
        <w:t xml:space="preserve">p031 · att1 p.3  </w:t>
      </w:r>
      <w:r>
        <w:t>Grace Thiong’o — Founder, Nieleze https://www.nieleze.com https://gmuthoni.github.io/reliance-lens/</w:t>
      </w:r>
    </w:p>
    <w:p>
      <w:pPr>
        <w:pStyle w:val="Heading1"/>
        <w:pageBreakBefore/>
      </w:pPr>
      <w:r>
        <w:t>FDA-2026-N-7874-0105</w:t>
      </w:r>
    </w:p>
    <w:p>
      <w:r>
        <w:t>Comment from C.D. Rowsell Jr.</w:t>
      </w:r>
    </w:p>
    <w:p>
      <w:r>
        <w:rPr>
          <w:color w:val="777777"/>
          <w:sz w:val="18"/>
        </w:rPr>
        <w:t>received 2026-09-17 · attachments: attachment_1.pdf (8 pp)</w:t>
      </w:r>
    </w:p>
    <w:p>
      <w:r>
        <w:rPr>
          <w:color w:val="777777"/>
          <w:sz w:val="16"/>
        </w:rPr>
        <w:t xml:space="preserve">p001 · body  </w:t>
      </w:r>
      <w:r>
        <w:t>Please see the attached public comment and technical annex concerning execution-time revalidation and authority controls for generative and agentic AI-enabled medical devices. This submission addresses Questions 1, 5, and 18 through 26.</w:t>
      </w:r>
    </w:p>
    <w:p>
      <w:r>
        <w:rPr>
          <w:color w:val="777777"/>
          <w:sz w:val="16"/>
        </w:rPr>
        <w:t xml:space="preserve">p002 · att1 p.1  </w:t>
      </w:r>
      <w:r>
        <w:t>PART I - PROPOSED PUBLIC SUBMISSION — Comment on FDA Docket FDA-2026-N-7874 — Considerations for Regulation of Generative AI-Enabled Medical Devices</w:t>
      </w:r>
    </w:p>
    <w:p>
      <w:r>
        <w:rPr>
          <w:color w:val="777777"/>
          <w:sz w:val="16"/>
        </w:rPr>
        <w:t xml:space="preserve">p003 · att1 p.1  </w:t>
      </w:r>
      <w:r>
        <w:t>Submitted to U.S. Food and Drug Administration, Center for Devices and Radiological Health, Digital Health Center of Excellence</w:t>
      </w:r>
    </w:p>
    <w:p>
      <w:r>
        <w:rPr>
          <w:color w:val="777777"/>
          <w:sz w:val="16"/>
        </w:rPr>
        <w:t xml:space="preserve">p004 · att1 p.1  </w:t>
      </w:r>
      <w:r>
        <w:t>Courtesy attention Jared Seehafer, M.S., Deputy Commissioner for Technology and AI — Submitted by C.D. Rowsell Jr., M.S.T.M.</w:t>
      </w:r>
    </w:p>
    <w:p>
      <w:r>
        <w:rPr>
          <w:color w:val="777777"/>
          <w:sz w:val="16"/>
        </w:rPr>
        <w:t xml:space="preserve">p005 · att1 p.1  </w:t>
      </w:r>
      <w:r>
        <w:t>Subject Execution-time revalidation and authority controls for generative and agentic AI medical devices</w:t>
      </w:r>
    </w:p>
    <w:p>
      <w:r>
        <w:rPr>
          <w:color w:val="777777"/>
          <w:sz w:val="16"/>
        </w:rPr>
        <w:t xml:space="preserve">p006 · att1 p.1  </w:t>
      </w:r>
      <w:r>
        <w:t>Questions addressed Questions 1, 5, and 18 through 26 — Executive Summary — FDA's discussion paper correctly recognizes that generative AI systems differ from conventional device software because they accept open-ended inputs, can generate variable outputs, may change through multiple system components, and can progress from conversation to autonomous multi-step action. FDA's proposed risk matrix and lifecycle questions provide an important starting point. One additional control is needed: a prior authorization must not be presumed to survive a material change.</w:t>
      </w:r>
    </w:p>
    <w:p>
      <w:r>
        <w:rPr>
          <w:color w:val="777777"/>
          <w:sz w:val="16"/>
        </w:rPr>
        <w:t xml:space="preserve">p007 · att1 p.1  </w:t>
      </w:r>
      <w:r>
        <w:t>This comment recommends an execution-time control that connects an authorized baseline to the actual conditions present when an AI system produces a consequential output or takes an action. That control is Lookback followed by Revalidation. Lookback determines whether the evidence, rule, system state, version, scope, and human authority supporting the prior authorization remain valid. Revalidation then permits one of three governed outcomes: act, suspend, or escalate.</w:t>
      </w:r>
    </w:p>
    <w:p>
      <w:r>
        <w:rPr>
          <w:color w:val="777777"/>
          <w:sz w:val="16"/>
        </w:rPr>
        <w:t xml:space="preserve">p008 · att1 p.1  </w:t>
      </w:r>
      <w:r>
        <w:t>AUTHORIZED CHANGE DETECTION LOOKBACK REVALIDATION ACT / SUSPEND — / ESCALATE RECONCILE — This sequence should apply to material changes in model, data, prompt, retrieval, guardrail, orchestration, tool, environment, patient context, governing rule, or human authority. It should also apply when the system cannot establish that nothing material changed. A communications failure, missing return, unresolved conflict, or untraceable authority should place the relevant function on hold; it should not create implied permission.</w:t>
      </w:r>
    </w:p>
    <w:p>
      <w:r>
        <w:rPr>
          <w:color w:val="777777"/>
          <w:sz w:val="16"/>
        </w:rPr>
        <w:t xml:space="preserve">p009 · att1 p.1  </w:t>
      </w:r>
      <w:r>
        <w:t>Silicon Sherlock Governance Background — Silicon Sherlock Governance is a human-authority-centered evidence and control architecture developed by C.D. Rowsell Jr. It draws upon structured probable-cause development, real-time transaction systems, and technologymanagement controls. The architecture separates DATA, INTERPRETATION, UNCERTAINTY, and CONTEXT; preserves evidence, constraints, system state, version history, and authority lineage; and requires Lookback and Revalidation following material change. An AI system may identify a conflict or an unsuitable rule, but it may not amend its governing authority or authorize itself to proceed. This brief applies selected Silicon Sherlock Governance principles to generative and agentic AI medical devices; it is not the complete system specification.</w:t>
      </w:r>
    </w:p>
    <w:p>
      <w:r>
        <w:rPr>
          <w:color w:val="777777"/>
          <w:sz w:val="16"/>
        </w:rPr>
        <w:t xml:space="preserve">p010 · att1 p.1  </w:t>
      </w:r>
      <w:r>
        <w:t>Requested FDA Action — FDA should consider adding execution-time authorization integrity to its regulatory framework as a mandatory gate rather than merely another performance score. Premarket evidence, postmarket monitoring, and an authorized Predetermined Change Control Plan remain necessary, but they do not by themselves establish that a particular output or action is authorized under current conditions.</w:t>
      </w:r>
    </w:p>
    <w:p>
      <w:r>
        <w:rPr>
          <w:color w:val="777777"/>
          <w:sz w:val="16"/>
        </w:rPr>
        <w:t xml:space="preserve">p011 · att1 p.1  </w:t>
      </w:r>
      <w:r>
        <w:t>Benchmarking determines whether the system can perform. Monitoring determines whether its performance has changed. Lookback and Revalidation determine whether it may act now. A safe regulatory framework requires all three.</w:t>
      </w:r>
    </w:p>
    <w:p>
      <w:r>
        <w:rPr>
          <w:color w:val="777777"/>
          <w:sz w:val="16"/>
        </w:rPr>
        <w:t xml:space="preserve">p012 · att1 p.2  </w:t>
      </w:r>
      <w:r>
        <w:t>TECHNICAL ANNEX TO PROPOSED PUBLIC SUBMISSION — Response Map — The recommendations below answer only those discussion-paper questions that directly concern governance, change, supervision, accountability, and agentic execution. They complement, rather than replace, FDA's existing expectations for safety, effectiveness, clinical validation, cybersecurity, human factors, and quality systems.</w:t>
      </w:r>
    </w:p>
    <w:p>
      <w:r>
        <w:rPr>
          <w:color w:val="777777"/>
          <w:sz w:val="16"/>
        </w:rPr>
        <w:t xml:space="preserve">p013 · att1 p.2  </w:t>
      </w:r>
      <w:r>
        <w:t>FDA question Control issue Silicon Sherlock Governance response — Q1 Risk dimensions — Add execution-time authorization integrity as a mandatory gate, including reversibility, traceability, and valid human authority.</w:t>
      </w:r>
    </w:p>
    <w:p>
      <w:r>
        <w:rPr>
          <w:color w:val="777777"/>
          <w:sz w:val="16"/>
        </w:rPr>
        <w:t xml:space="preserve">p014 · att1 p.2  </w:t>
      </w:r>
      <w:r>
        <w:t>Q5 Multi-turn trajectories — Treat the conversation as changing system state; detect directive drift and revalidate before consequential output or action.</w:t>
      </w:r>
    </w:p>
    <w:p>
      <w:r>
        <w:rPr>
          <w:color w:val="777777"/>
          <w:sz w:val="16"/>
        </w:rPr>
        <w:t xml:space="preserve">p015 · att1 p.2  </w:t>
      </w:r>
      <w:r>
        <w:t>Q18-Q20 Premarket/postmarket and supervision — Use event-triggered reassessment, independent supervisory controls, fail-closed behavior, and governed returns.</w:t>
      </w:r>
    </w:p>
    <w:p>
      <w:r>
        <w:rPr>
          <w:color w:val="777777"/>
          <w:sz w:val="16"/>
        </w:rPr>
        <w:t xml:space="preserve">p016 · att1 p.2  </w:t>
      </w:r>
      <w:r>
        <w:t>Q21 Stakeholder roles — Define authority lineage and role-specific duties without diffusing manufacturer accountability.</w:t>
      </w:r>
    </w:p>
    <w:p>
      <w:r>
        <w:rPr>
          <w:color w:val="777777"/>
          <w:sz w:val="16"/>
        </w:rPr>
        <w:t xml:space="preserve">p017 · att1 p.2  </w:t>
      </w:r>
      <w:r>
        <w:t>Q22-Q24 Modification and third-party change — Tier changes by materiality; revalidate before use; hold when the authorized scope or impact cannot be established.</w:t>
      </w:r>
    </w:p>
    <w:p>
      <w:r>
        <w:rPr>
          <w:color w:val="777777"/>
          <w:sz w:val="16"/>
        </w:rPr>
        <w:t xml:space="preserve">p018 · att1 p.2  </w:t>
      </w:r>
      <w:r>
        <w:t>Q25 Foundation-model information — Use version-linked, current, decisionrelevant information; retain sponsor responsibility for intended-use validation.</w:t>
      </w:r>
    </w:p>
    <w:p>
      <w:r>
        <w:rPr>
          <w:color w:val="777777"/>
          <w:sz w:val="16"/>
        </w:rPr>
        <w:t xml:space="preserve">p019 · att1 p.2  </w:t>
      </w:r>
      <w:r>
        <w:t>Q26 Agentic systems — Limit tools and routes, prohibit selfauthorization, require human checkpoints for high-consequence actions, and reconcile after action.</w:t>
      </w:r>
    </w:p>
    <w:p>
      <w:r>
        <w:rPr>
          <w:color w:val="777777"/>
          <w:sz w:val="16"/>
        </w:rPr>
        <w:t xml:space="preserve">p020 · att1 p.2  </w:t>
      </w:r>
      <w:r>
        <w:t>1 Authorization Integrity as a Required Gate — Response to Question 1 — FDA asks whether additional dimensions should supplement the proposed matrix of device independence and consequence of an incorrect output. The framework should separately evaluate execution-time authorization integrity. This is best implemented as a gate because a system that is capable and statistically well-performing may still be operating under an expired, superseded, inapplicable, or untraceable authorization.</w:t>
      </w:r>
    </w:p>
    <w:p>
      <w:r>
        <w:rPr>
          <w:color w:val="777777"/>
          <w:sz w:val="16"/>
        </w:rPr>
        <w:t xml:space="preserve">p021 · att1 p.2  </w:t>
      </w:r>
      <w:r>
        <w:t>At minimum, the gate should test: Reversibility and recoverability of the proposed output or action. Time pressure and the practical ability of a human to intervene before consequence. Traceability from the proposed action to current evidence, system state, version, rule, and human authority. Whether the authorization remains within its original purpose, scope, conditions, and validity period. Whether downstream safeguards are independent, available, and capable of stopping or correcting the action. Whether unresolved uncertainty or communications failure prevents a reliable determination. The gate should be explicit: PASS permits continuation within scope; HOLD suspends the relevant function; ESCALATE transfers the decision to a named human authority. The system must not convert missing evidence or unavailable supervision into permission.</w:t>
      </w:r>
    </w:p>
    <w:p>
      <w:r>
        <w:rPr>
          <w:color w:val="777777"/>
          <w:sz w:val="16"/>
        </w:rPr>
        <w:t xml:space="preserve">p022 · att1 p.3  </w:t>
      </w:r>
      <w:r>
        <w:t>2 Multi-Turn Conversation as Changing System State — Response to Question 5 — Testing realistic multi-turn trajectories is necessary because risk can emerge from the sequence even when each isolated response appears acceptable. A conversation can drift from general information to patient-specific recommendation, from recommendation to instruction, and from instruction to action. The regulatory object should therefore include the accumulated state of the interaction, not merely the latest prompt and response.</w:t>
      </w:r>
    </w:p>
    <w:p>
      <w:r>
        <w:rPr>
          <w:color w:val="777777"/>
          <w:sz w:val="16"/>
        </w:rPr>
        <w:t xml:space="preserve">p023 · att1 p.3  </w:t>
      </w:r>
      <w:r>
        <w:t>Manufacturers should define material trajectory changes and demonstrate that the system detects them. Examples include a transition from education to diagnosis or treatment, the introduction of new patient facts, a change in user identity or authority, conflict between current and prior instructions, repeated efforts to bypass safeguards, and a tool request that creates an external effect. Detection should trigger Lookback and Revalidation before the system provides a consequential output or invokes a tool.</w:t>
      </w:r>
    </w:p>
    <w:p>
      <w:r>
        <w:rPr>
          <w:color w:val="777777"/>
          <w:sz w:val="16"/>
        </w:rPr>
        <w:t xml:space="preserve">p024 · att1 p.3  </w:t>
      </w:r>
      <w:r>
        <w:t>Evaluation should include long conversations, contradictory inputs, delayed disclosures, interruptions, handoffs, attempts to induce false certainty, and cases in which the current turn cannot be interpreted safely without earlier context. Results should distinguish DATA, INTERPRETATION, UNCERTAINTY, and CONTEXT so that apparent fluency does not conceal an unsupported conclusion.</w:t>
      </w:r>
    </w:p>
    <w:p>
      <w:r>
        <w:rPr>
          <w:color w:val="777777"/>
          <w:sz w:val="16"/>
        </w:rPr>
        <w:t xml:space="preserve">p025 · att1 p.3  </w:t>
      </w:r>
      <w:r>
        <w:t>3 Premarket Uncertainty and Postmarket Reassessment — Responses to Questions 18 and 19</w:t>
      </w:r>
    </w:p>
    <w:p>
      <w:r>
        <w:rPr>
          <w:color w:val="777777"/>
          <w:sz w:val="16"/>
        </w:rPr>
        <w:t xml:space="preserve">p026 · att1 p.3  </w:t>
      </w:r>
      <w:r>
        <w:t>Greater reliance on postmarket evidence may be reasonable only when the uncertainty is bounded, the potential harm is sufficiently reversible or containable, and the monitoring and response controls are validated before deployment. Higher-consequence or difficult-to-reverse actions require stronger premarket evidence, tighter operating limits, and a lower tolerance for unresolved uncertainty.</w:t>
      </w:r>
    </w:p>
    <w:p>
      <w:r>
        <w:rPr>
          <w:color w:val="777777"/>
          <w:sz w:val="16"/>
        </w:rPr>
        <w:t xml:space="preserve">p027 · att1 p.3  </w:t>
      </w:r>
      <w:r>
        <w:t>Reassessment should combine a defined cadence with event-based triggers. Calendar-only review is insufficient for systems that can change through external models, retrieval sources, prompts, guardrails, orchestration, tools, user roles, or environmental conditions. Triggering events should include:</w:t>
      </w:r>
    </w:p>
    <w:p>
      <w:r>
        <w:rPr>
          <w:color w:val="777777"/>
          <w:sz w:val="16"/>
        </w:rPr>
        <w:t xml:space="preserve">p028 · att1 p.3  </w:t>
      </w:r>
      <w:r>
        <w:t>Any model, system, prompt, retrieval, guardrail, orchestration, interface, or tool version change. Changes in data distribution, workflow, patient population, intended user, care setting, or connected system. Unexpected output patterns, tool errors, repeated overrides, delayed returns, under-escalation, or over- escalation. New clinical evidence, safety information, vulnerability information, policy, regulation, or governing instruction. Loss of monitoring, provenance, audit logging, human availability, or reliable communications. Each trigger should have a defined response time, decision owner, evidence requirement, and disposition. When impact cannot be established within the allowed time, the affected function should suspend or fall back to a validated safe state.</w:t>
      </w:r>
    </w:p>
    <w:p>
      <w:r>
        <w:rPr>
          <w:color w:val="777777"/>
          <w:sz w:val="16"/>
        </w:rPr>
        <w:t xml:space="preserve">p029 · att1 p.4  </w:t>
      </w:r>
      <w:r>
        <w:t>4 Supervisory Agents Must Be Governed — Response to Question 20 — A machine-based supervisory agent can add useful coverage, but it cannot be treated as independent assurance merely because it is labeled a supervisor. FDA should expect evidence that the supervisory function is sufficiently separated from the action-producing function, evaluated against distinct failure modes, and prevented from changing its own authority or approving its own modifications.</w:t>
      </w:r>
    </w:p>
    <w:p>
      <w:r>
        <w:rPr>
          <w:color w:val="777777"/>
          <w:sz w:val="16"/>
        </w:rPr>
        <w:t xml:space="preserve">p030 · att1 p.4  </w:t>
      </w:r>
      <w:r>
        <w:t>A supervisory agent should have limited permissions; immutable, reviewable logs; version-linked acceptance criteria; bounded loops and resources; and a fail-closed response to missing inputs, tool failures, or communications failures. Its conclusion should return to the governing parent process or designated human authority. Lateral invocation among subordinate agents should not create an unreviewed path around the governing control. Any modification to the supervisor should itself trigger Lookback and Revalidation.</w:t>
      </w:r>
    </w:p>
    <w:p>
      <w:r>
        <w:rPr>
          <w:color w:val="777777"/>
          <w:sz w:val="16"/>
        </w:rPr>
        <w:t xml:space="preserve">p031 · att1 p.4  </w:t>
      </w:r>
      <w:r>
        <w:t>5 Accountability and Authority Lineage — Response to Question 21 — Shared responsibility should not become shared ambiguity. Manufacturers, third-party model providers, healthcare organizations, clinicians, patients, and regulators may hold different information and duties, but the device manufacturer should retain responsibility for the safety and effectiveness of the marketed device function and for integrating third-party components within its intended use.</w:t>
      </w:r>
    </w:p>
    <w:p>
      <w:r>
        <w:rPr>
          <w:color w:val="777777"/>
          <w:sz w:val="16"/>
        </w:rPr>
        <w:t xml:space="preserve">p032 · att1 p.4  </w:t>
      </w:r>
      <w:r>
        <w:t>FDA should expect an authority-lineage record that identifies the source, version, scope, conditions, validity, and decision owner for every rule or authorization relied upon for consequential action. A role matrix should state who monitors, who may pause, who investigates, who determines materiality, who approves return to service, and who reports externally. A clinical user may contribute judgment; a healthcare organization may control local deployment; a model provider may supply change information; none of those roles should erase the manufacturer's system-level accountability.</w:t>
      </w:r>
    </w:p>
    <w:p>
      <w:r>
        <w:rPr>
          <w:color w:val="777777"/>
          <w:sz w:val="16"/>
        </w:rPr>
        <w:t xml:space="preserve">p033 · att1 p.5  </w:t>
      </w:r>
      <w:r>
        <w:t>6 Change Control and Predetermined Plans — Responses to Questions 22 through 24</w:t>
      </w:r>
    </w:p>
    <w:p>
      <w:r>
        <w:rPr>
          <w:color w:val="777777"/>
          <w:sz w:val="16"/>
        </w:rPr>
        <w:t xml:space="preserve">p034 · att1 p.5  </w:t>
      </w:r>
      <w:r>
        <w:t>The rigor of re-benchmarking should scale with the probable impact and uncertainty of a modification, but every modification should first pass through a consistent materiality determination. The determination should consider not only model weights, but also prompts, retrieval sources, guardrails, orchestration, tools, interfaces, connected systems, operating environment, user roles, and governing instructions.</w:t>
      </w:r>
    </w:p>
    <w:p>
      <w:r>
        <w:rPr>
          <w:color w:val="777777"/>
          <w:sz w:val="16"/>
        </w:rPr>
        <w:t xml:space="preserve">p035 · att1 p.5  </w:t>
      </w:r>
      <w:r>
        <w:t>A practical three-tier approach is: 1. No material effect established. Record the change and the evidence supporting the determination; confirm that the authorized baseline remains valid. 2. Material change within an authorized Predetermined Change Control Plan. Complete the plan's specified verification and validation, then perform execution-time Revalidation before the changed function is used. 3. Change outside the authorized plan, or impact cannot be established. Suspend the affected function, escalate for human and regulatory determination as applicable, and do not infer authorization from prior approval. Predetermined plans remain valuable even when every future implementation detail cannot be named in advance. The plan can prespecify change categories, boundaries, evidence requirements, unacceptable conditions, decision rights, monitoring, rollback, and escalation. It should not become an open-ended delegation that allows the system or a third party to redefine the plan's own scope.</w:t>
      </w:r>
    </w:p>
    <w:p>
      <w:r>
        <w:rPr>
          <w:color w:val="777777"/>
          <w:sz w:val="16"/>
        </w:rPr>
        <w:t xml:space="preserve">p036 · att1 p.5  </w:t>
      </w:r>
      <w:r>
        <w:t>For third-party foundation models, manufacturers should maintain version pinning or an equivalent controlledupdate mechanism where feasible, contractual change notification, provenance and integrity checks, predeployment evaluation, defined fallbacks, and rapid suspension capability. An unannounced or opaque upstream change is itself a material event until the manufacturer establishes otherwise.</w:t>
      </w:r>
    </w:p>
    <w:p>
      <w:r>
        <w:rPr>
          <w:color w:val="777777"/>
          <w:sz w:val="16"/>
        </w:rPr>
        <w:t xml:space="preserve">p037 · att1 p.6  </w:t>
      </w:r>
      <w:r>
        <w:t>7 Foundation-Model Information — Response to Question 25 — A voluntary Foundation Model Master File could reduce duplicated work, but it will support reliable decisions only if its information is current, version-specific, decision-relevant, and accessible on terms that permit timely safety action. Useful information includes training and evaluation provenance at an appropriate level, known limitations and failure modes, supported and unsupported uses, security and robustness information, change history, update interfaces, benchmark methods and results, and notification commitments.</w:t>
      </w:r>
    </w:p>
    <w:p>
      <w:r>
        <w:rPr>
          <w:color w:val="777777"/>
          <w:sz w:val="16"/>
        </w:rPr>
        <w:t xml:space="preserve">p038 · att1 p.6  </w:t>
      </w:r>
      <w:r>
        <w:t>The file should not replace the device manufacturer's independent validation for its intended use and risk controls. FDA and the manufacturer need a verifiable linkage to the exact model or service version deployed. If that linkage cannot be maintained, the affected use should be treated as changed and revalidated or suspended.</w:t>
      </w:r>
    </w:p>
    <w:p>
      <w:r>
        <w:rPr>
          <w:color w:val="777777"/>
          <w:sz w:val="16"/>
        </w:rPr>
        <w:t xml:space="preserve">p039 · att1 p.6  </w:t>
      </w:r>
      <w:r>
        <w:t>8 Agentic AI Requires Action Controls — Response to Question 26 — Agentic systems increase risk because they can plan, select tools, take multiple steps, and create external effects before a human sees the intermediate reasoning or result. Regulation should therefore address the complete action chain, including authorization before action, control during execution, and reconciliation after action.</w:t>
      </w:r>
    </w:p>
    <w:p>
      <w:r>
        <w:rPr>
          <w:color w:val="777777"/>
          <w:sz w:val="16"/>
        </w:rPr>
        <w:t xml:space="preserve">p040 · att1 p.6  </w:t>
      </w:r>
      <w:r>
        <w:t>FDA should consider the following minimum expectations: Parent-controlled orchestration with one governed entry and one governed return for each subordinate function. No unapproved child-to-child lateral invocation and no route that bypasses the governing parent or human checkpoint. Least-privilege tool permissions, explicit action scope, validated parameter limits, and separation of read, recommend, order, modify, and execute authorities. Fresh human confirmation before irreversible or high-consequence actions unless FDA has specifically accepted a validated autonomous pathway for that action and context. Stop, suspend, or safe-state behavior when a return is missing, contradictory, late, unverifiable, or outside the permitted range. Post-action authorization reconciliation that compares what was authorized, what was attempted, what actually occurred, and what result was returned. Limits on loops, time, resource use, repeated retries, and accumulated action scope, with escalation before those limits are extended. The central safeguard is simple: an AI system may flag a rule conflict or recommend that a governing constraint be changed, but it may not amend that authority, authorize itself, or continue because the proper authority is unavailable.</w:t>
      </w:r>
    </w:p>
    <w:p>
      <w:r>
        <w:rPr>
          <w:color w:val="777777"/>
          <w:sz w:val="16"/>
        </w:rPr>
        <w:t xml:space="preserve">p041 · att1 p.7  </w:t>
      </w:r>
      <w:r>
        <w:t>9 Minimum Evidence and Control Record — To make the framework inspectable, the manufacturer should preserve a compact, version-linked record for every consequential pathway. The record need not expose protected intellectual property, but it must allow FDA and the manufacturer to reconstruct the basis, authority, state, decision, and result.</w:t>
      </w:r>
    </w:p>
    <w:p>
      <w:r>
        <w:rPr>
          <w:color w:val="777777"/>
          <w:sz w:val="16"/>
        </w:rPr>
        <w:t xml:space="preserve">p042 · att1 p.7  </w:t>
      </w:r>
      <w:r>
        <w:t>Minimum record Required content — Authorized baseline — Approved intended use, model/system versions, tools, data sources, prompts, retrieval, guardrails, operating limits, and human authority.</w:t>
      </w:r>
    </w:p>
    <w:p>
      <w:r>
        <w:rPr>
          <w:color w:val="777777"/>
          <w:sz w:val="16"/>
        </w:rPr>
        <w:t xml:space="preserve">p043 · att1 p.7  </w:t>
      </w:r>
      <w:r>
        <w:t>Change record — What changed, when, why, by whom or by what process, and whether the change was planned, detected, or externally imposed.</w:t>
      </w:r>
    </w:p>
    <w:p>
      <w:r>
        <w:rPr>
          <w:color w:val="777777"/>
          <w:sz w:val="16"/>
        </w:rPr>
        <w:t xml:space="preserve">p044 · att1 p.7  </w:t>
      </w:r>
      <w:r>
        <w:t>Authority lineage The current source, scope, version, conditions, and validity of the rule or human authorization relied upon for action.</w:t>
      </w:r>
    </w:p>
    <w:p>
      <w:r>
        <w:rPr>
          <w:color w:val="777777"/>
          <w:sz w:val="16"/>
        </w:rPr>
        <w:t xml:space="preserve">p045 · att1 p.7  </w:t>
      </w:r>
      <w:r>
        <w:t>Lookback decision Whether the prior authorization survives the detected change, with evidence, uncertainty, and unresolved conflicts preserved.</w:t>
      </w:r>
    </w:p>
    <w:p>
      <w:r>
        <w:rPr>
          <w:color w:val="777777"/>
          <w:sz w:val="16"/>
        </w:rPr>
        <w:t xml:space="preserve">p046 · att1 p.7  </w:t>
      </w:r>
      <w:r>
        <w:t>Revalidation decision The decision to act, suspend, or escalate, including reviewer identity, applicable evidence, and time of determination.</w:t>
      </w:r>
    </w:p>
    <w:p>
      <w:r>
        <w:rPr>
          <w:color w:val="777777"/>
          <w:sz w:val="16"/>
        </w:rPr>
        <w:t xml:space="preserve">p047 · att1 p.7  </w:t>
      </w:r>
      <w:r>
        <w:t>Reconciliation record The action actually taken, the result returned, tool or communication failures, discrepancies, and required follow-up.</w:t>
      </w:r>
    </w:p>
    <w:p>
      <w:r>
        <w:rPr>
          <w:color w:val="777777"/>
          <w:sz w:val="16"/>
        </w:rPr>
        <w:t xml:space="preserve">p048 · att1 p.8  </w:t>
      </w:r>
      <w:r>
        <w:t>10 Conclusion — FDA's discussion paper identifies the core challenges of generative and agentic AI: variable outputs, conversational drift, evolving multi-component systems, third-party dependencies, and autonomous action. The missing connection is between an authorization established earlier and the conditions that exist when the device is ready to act.</w:t>
      </w:r>
    </w:p>
    <w:p>
      <w:r>
        <w:rPr>
          <w:color w:val="777777"/>
          <w:sz w:val="16"/>
        </w:rPr>
        <w:t xml:space="preserve">p049 · att1 p.8  </w:t>
      </w:r>
      <w:r>
        <w:t>FDA should require a documented change gate, Lookback, and Revalidation for material changes and uncertainty about materiality. The allowable results should be act, suspend, or escalate; silence, communications failure, unavailable authority, or an incomplete return must never operate as implied permission. This control complements benchmarking, monitoring, Predetermined Change Control Plans, and lifecycle management by answering the final operational question: is this system, under these conditions, authorized to act now?</w:t>
      </w:r>
    </w:p>
    <w:p>
      <w:r>
        <w:rPr>
          <w:color w:val="777777"/>
          <w:sz w:val="16"/>
        </w:rPr>
        <w:t xml:space="preserve">p050 · att1 p.8  </w:t>
      </w:r>
      <w:r>
        <w:t>References — 1. U.S. Food and Drug Administration. Considerations for Regulation of Generative AI-Enabled Medical Devices: Discussion Paper and Request for Feedback, August 2026. Official source</w:t>
      </w:r>
    </w:p>
    <w:p>
      <w:r>
        <w:rPr>
          <w:color w:val="777777"/>
          <w:sz w:val="16"/>
        </w:rPr>
        <w:t xml:space="preserve">p051 · att1 p.8  </w:t>
      </w:r>
      <w:r>
        <w:t>2. U.S. Food and Drug Administration. Considerations for Regulation of Generative AI-Enabled Medical Devices: Discussion Paper and Request for Feedback, docket information and submission page. Official source</w:t>
      </w:r>
    </w:p>
    <w:p>
      <w:r>
        <w:rPr>
          <w:color w:val="777777"/>
          <w:sz w:val="16"/>
        </w:rPr>
        <w:t xml:space="preserve">p052 · att1 p.8  </w:t>
      </w:r>
      <w:r>
        <w:t>3. U.S. Food and Drug Administration. Marketing Submission Recommendations for a Predetermined Change Control Plan for Artificial Intelligence-Enabled Device Software Functions, final guidance. Official source</w:t>
      </w:r>
    </w:p>
    <w:p>
      <w:r>
        <w:rPr>
          <w:color w:val="777777"/>
          <w:sz w:val="16"/>
        </w:rPr>
        <w:t xml:space="preserve">p053 · att1 p.8  </w:t>
      </w:r>
      <w:r>
        <w:t>4. U.S. Food and Drug Administration. Artificial Intelligence-Enabled Device Software Functions: Lifecycle Management and Marketing Submission Recommendations, draft guidance, January 2025. Official source</w:t>
      </w:r>
    </w:p>
    <w:p>
      <w:r>
        <w:rPr>
          <w:color w:val="777777"/>
          <w:sz w:val="16"/>
        </w:rPr>
        <w:t xml:space="preserve">p054 · att1 p.8  </w:t>
      </w:r>
      <w:r>
        <w:t>5. U.S. Food and Drug Administration. FDA Seeks Public Feedback to Inform Regulatory Approach for Generative AI- Enabled Medical Devices, August 18, 2026. Official source</w:t>
      </w:r>
    </w:p>
    <w:p>
      <w:r>
        <w:rPr>
          <w:color w:val="777777"/>
          <w:sz w:val="16"/>
        </w:rPr>
        <w:t xml:space="preserve">p055 · att1 p.8  </w:t>
      </w:r>
      <w:r>
        <w:t>Development Method and Scope — This document was developed using selected Silicon Sherlock Governance controls. C.D. Rowsell Jr. defined the purpose, scope, governing concepts, and human-authority requirements; evaluated the substance; directed revisions; and retained authority over acceptance and release. AI tools assisted with source organization, drafting, document construction, Word-to- PDF transformation, and validation. The process applied constraint retention, artifact versioning, Lookback and Revalidation after material changes, and return of the completed work to the human decision-maker. The AI tools did not approve their own work or authorize submission.</w:t>
      </w:r>
    </w:p>
    <w:p>
      <w:r>
        <w:rPr>
          <w:color w:val="777777"/>
          <w:sz w:val="16"/>
        </w:rPr>
        <w:t xml:space="preserve">p056 · att1 p.8  </w:t>
      </w:r>
      <w:r>
        <w:t>Scope of This Submission — This public comment addresses governance architecture. It does not evaluate clinical efficacy, provide legal advice, or represent Silicon Sherlock as a medical device. Proprietary implementation details are outside the scope of this submission.</w:t>
      </w:r>
    </w:p>
    <w:p>
      <w:r>
        <w:rPr>
          <w:color w:val="777777"/>
          <w:sz w:val="16"/>
        </w:rPr>
        <w:t xml:space="preserve">p057 · att1 p.8  </w:t>
      </w:r>
      <w:r>
        <w:t>Submitted respectfully by C.D. Rowsell Jr., M.S.T.M. Master of Science in Technology Management, Pepperdine University</w:t>
      </w:r>
    </w:p>
    <w:p>
      <w:pPr>
        <w:pStyle w:val="Heading1"/>
        <w:pageBreakBefore/>
      </w:pPr>
      <w:r>
        <w:t>FDA-2026-N-7874-0106</w:t>
      </w:r>
    </w:p>
    <w:p>
      <w:r>
        <w:t>Comment from Denise Bowen</w:t>
      </w:r>
    </w:p>
    <w:p>
      <w:r>
        <w:rPr>
          <w:color w:val="777777"/>
          <w:sz w:val="18"/>
        </w:rPr>
        <w:t>Individual Consumer · received 2026-09-20 · attachments: attachment_1.pdf (3 pp)</w:t>
      </w:r>
    </w:p>
    <w:p>
      <w:r>
        <w:rPr>
          <w:color w:val="777777"/>
          <w:sz w:val="16"/>
        </w:rPr>
        <w:t xml:space="preserve">p001 · body  </w:t>
      </w:r>
      <w:r>
        <w:t>Please see the attached document for my full comment. I address Questions 7, 10, 20, and 25 of the discussion paper, drawing on peer-reviewed clinical AI literature to evaluate the two-axis risk framework, the competency-based evaluation approach, postmarket supervisory-agent monitoring, and the proposed Foundation Model Master File program.</w:t>
      </w:r>
    </w:p>
    <w:p>
      <w:r>
        <w:rPr>
          <w:color w:val="777777"/>
          <w:sz w:val="16"/>
        </w:rPr>
        <w:t xml:space="preserve">p002 · body  </w:t>
      </w:r>
      <w:r>
        <w:t>Thank you for considering these comments.</w:t>
      </w:r>
    </w:p>
    <w:p>
      <w:r>
        <w:rPr>
          <w:color w:val="777777"/>
          <w:sz w:val="16"/>
        </w:rPr>
        <w:t xml:space="preserve">p003 · body  </w:t>
      </w:r>
      <w:r>
        <w:t>Denise Bowen — Founder &amp; CEO, DB Connect | Advisor, UN Office on Drugs and Crime</w:t>
      </w:r>
    </w:p>
    <w:p>
      <w:r>
        <w:rPr>
          <w:color w:val="777777"/>
          <w:sz w:val="16"/>
        </w:rPr>
        <w:t xml:space="preserve">p004 · body  </w:t>
      </w:r>
      <w:r>
        <w:t>Submitted in an individual capacity</w:t>
      </w:r>
    </w:p>
    <w:p>
      <w:r>
        <w:rPr>
          <w:color w:val="777777"/>
          <w:sz w:val="16"/>
        </w:rPr>
        <w:t xml:space="preserve">p005 · att1 p.1  </w:t>
      </w:r>
      <w:r>
        <w:t>PUBLIC COMMENT TO THE U.S. FOOD AND DRUG ADMINISTRATION — Considerations for the Regulation of Generative AI-Enabled Medical Devices: Discussion Paper and Request for Feedback</w:t>
      </w:r>
    </w:p>
    <w:p>
      <w:r>
        <w:rPr>
          <w:color w:val="777777"/>
          <w:sz w:val="16"/>
        </w:rPr>
        <w:t xml:space="preserve">p006 · att1 p.1  </w:t>
      </w:r>
      <w:r>
        <w:t>Docket: FDA-2026-N-7874 — Submitted by: Denise Bowen — Professional background: Founder and CEO, DB Connect; Advisor, UN Office on Drugs and Crime</w:t>
      </w:r>
    </w:p>
    <w:p>
      <w:r>
        <w:rPr>
          <w:color w:val="777777"/>
          <w:sz w:val="16"/>
        </w:rPr>
        <w:t xml:space="preserve">p007 · att1 p.1  </w:t>
      </w:r>
      <w:r>
        <w:t>Capacity: Individual comment; views expressed are my own — Date: September 19, 2026</w:t>
      </w:r>
    </w:p>
    <w:p>
      <w:r>
        <w:rPr>
          <w:color w:val="777777"/>
          <w:sz w:val="16"/>
        </w:rPr>
        <w:t xml:space="preserve">p008 · att1 p.1  </w:t>
      </w:r>
      <w:r>
        <w:t>Questions addressed: 7, 10, 20, 25 — To the Food and Drug Administration:</w:t>
      </w:r>
    </w:p>
    <w:p>
      <w:r>
        <w:rPr>
          <w:color w:val="777777"/>
          <w:sz w:val="16"/>
        </w:rPr>
        <w:t xml:space="preserve">p009 · att1 p.1  </w:t>
      </w:r>
      <w:r>
        <w:t>Thank you for the opportunity to comment on the Center for Devices and Radiological Health's discussion paper on the regulation of generative AI-enabled medical devices.</w:t>
      </w:r>
    </w:p>
    <w:p>
      <w:r>
        <w:rPr>
          <w:color w:val="777777"/>
          <w:sz w:val="16"/>
        </w:rPr>
        <w:t xml:space="preserve">p010 · att1 p.1  </w:t>
      </w:r>
      <w:r>
        <w:t>I am the Founder and CEO of DB Connect. For the United Nations Office on Drugs and Crime, I advise Chief Legal Officers and Attorneys General from UN Member States on cybercrime, artificial intelligence, and digital governance. My work covers electronic evidence, cross-border cooperation, and implementation of the United Nations Convention against Cybercrime. I assess the legal, regulatory, and security implications of emerging technologies to strengthen institutional capacity and develop governance frameworks that safeguard the rule of law while enabling responsible innovation. I also serve on the EmblemHealth Advisory Council, shaping AI-governance standards across a payer-provider healthcare ecosystem, and I lead DB Connect's AI Governance Committee, which applies the NIST AI Risk Management Framework to pre-deployment bias audits. I submit this comment in my individual capacity.</w:t>
      </w:r>
    </w:p>
    <w:p>
      <w:r>
        <w:rPr>
          <w:color w:val="777777"/>
          <w:sz w:val="16"/>
        </w:rPr>
        <w:t xml:space="preserve">p011 · att1 p.1  </w:t>
      </w:r>
      <w:r>
        <w:t>Response supporting Section II (Background, p. 2) — The paper identifies confabulation, an effectively unbounded input-output space, and post-deployment behavioral drift as defining risks of generative AI. This characterization is well supported by the current empirical literature. Adversarial testing across six large language models found that a single fabricated clinical detail, embedded in a prompt, was repeated or elaborated on in 50% to 82% of outputs across 5,400 generated responses (Omar et al., Communications Medicine, 2025). A separate study of 12,197 diagnostic large-language-model outputs found accuracy ranging from 2.92% to 46.34% depending on the model tested, with omission of applicable clinical guidelines reaching 97.08% in the weaker-performing model (van Kessel et al., BMJ Health &amp; Care Informatics, 2026). These findings suggest that the paper's framing of GenAI risk is not overstated. If anything, its tone reads more confidently than the current evidence base supports.</w:t>
      </w:r>
    </w:p>
    <w:p>
      <w:r>
        <w:rPr>
          <w:color w:val="777777"/>
          <w:sz w:val="16"/>
        </w:rPr>
        <w:t xml:space="preserve">p012 · att1 p.2  </w:t>
      </w:r>
      <w:r>
        <w:t>Response to Question 7 (narrative: Section V.A, p. 10; formally numbered: Section V.E, p. 17, and Appendix B, p. 28): Usefulness of the competency-based approach</w:t>
      </w:r>
    </w:p>
    <w:p>
      <w:r>
        <w:rPr>
          <w:color w:val="777777"/>
          <w:sz w:val="16"/>
        </w:rPr>
        <w:t xml:space="preserve">p013 · att1 p.2  </w:t>
      </w:r>
      <w:r>
        <w:t>The analogy to clinician licensure is a reasonable organizing principle that reflects live scholarly debate rather than a novel proposal. Patel and Blumenthal argue in JAMA Health Forum (2026) that current device frameworks are ill-equipped for generative AI. They propose a licensure-like model built on the training, evaluation, and lifelong oversight of clinicians, a framing that matches the paper's own citation. I recommend one addition. Clinician-panel disagreement is a documented confound in diagnostic referencestandard studies, yet Section V.D.1's discussion of comparator selection does not address it (p. 16). The paper should require that any comparator clinician panel report its own inter-rater reliability statistics, such as Cohen's kappa.</w:t>
      </w:r>
    </w:p>
    <w:p>
      <w:r>
        <w:rPr>
          <w:color w:val="777777"/>
          <w:sz w:val="16"/>
        </w:rPr>
        <w:t xml:space="preserve">p014 · att1 p.2  </w:t>
      </w:r>
      <w:r>
        <w:t>Response to Question 10 (narrative: Section V.B, p. 12; formally numbered: Section V.E, p. 17–18, and Appendix B, p. 28–29): Benchmark contamination and saturation</w:t>
      </w:r>
    </w:p>
    <w:p>
      <w:r>
        <w:rPr>
          <w:color w:val="777777"/>
          <w:sz w:val="16"/>
        </w:rPr>
        <w:t xml:space="preserve">p015 · att1 p.2  </w:t>
      </w:r>
      <w:r>
        <w:t>On benchmarking (Question 10), I cite peer-reviewed evidence to support a requirement that sponsors disclose concrete safeguards against benchmark contamination and saturation. A study of six leading large language models found that models reproduced or elaborated on adversarially planted false clinical details in approximately 50 to 83 percent of tested outputs (Omar et al., Communications Medicine, 2025). A separate study of 12,197 diagnostic large-language-model outputs found accuracy ranging from 2.92 to 46.34 percent depending on the model tested, with omission of applicable clinical guidelines reaching 97.08 percent in the weaker-performing model (van Kessel et al., BMJ Health &amp; Care Informatics, 2026). The broader benchmarking literature, including hallucination-specific benchmarks such as MedHallu and MED- HALT, documents this as a persistent, unresolved problem rather than a theoretical one. I recommend that sponsors be required to disclose the specific mitigations used against these known failure modes.</w:t>
      </w:r>
    </w:p>
    <w:p>
      <w:r>
        <w:rPr>
          <w:color w:val="777777"/>
          <w:sz w:val="16"/>
        </w:rPr>
        <w:t xml:space="preserve">p016 · att1 p.2  </w:t>
      </w:r>
      <w:r>
        <w:t>Response to Question 20 (narrative: Section VI.A, p. 19–20; formally numbered: Section VI.D, p. 21, and Appendix B, p. 29): Machine-based supervisory agents</w:t>
      </w:r>
    </w:p>
    <w:p>
      <w:r>
        <w:rPr>
          <w:color w:val="777777"/>
          <w:sz w:val="16"/>
        </w:rPr>
        <w:t xml:space="preserve">p017 · att1 p.2  </w:t>
      </w:r>
      <w:r>
        <w:t>The paper's discussion of supervisory agents does not address a circularity risk. An oversight model built on similar underlying architecture may share the same failure modes as the device it supervises. In the adversarial-hallucination study cited above, mitigation prompting reduced the mean hallucination rate from 66% to 44%, while temperature adjustment produced no measurable improvement. A supervisory model watching a clinical model therefore retains a meaningful chance of failing independently rather than catching the primary model's error. I recommend that supervisory agents be required to undergo the same S.1 through S.3 safety benchmarking elements described in Section V.B before being credited as a valid postmarket-monitoring control.</w:t>
      </w:r>
    </w:p>
    <w:p>
      <w:r>
        <w:rPr>
          <w:color w:val="777777"/>
          <w:sz w:val="16"/>
        </w:rPr>
        <w:t xml:space="preserve">p018 · att1 p.2  </w:t>
      </w:r>
      <w:r>
        <w:t>Response to Question 25 (Section VII.A): Foundation Model Master Files — Model developers have limited commercial incentive to disclose safety-relevant limitations of their own models. I recommend that the paper's proposed Foundation Model MAF program be structured as a mandatory disclosure requirement for higher-consequence devices, rather than a purely voluntary one. This recommendation carries particular weight given that no generative-AI-enabled device has yet been authorized for marketing (Congressional Research Service, IF13245, June 2026), which means every mechanism proposed in this paper remains untested against a real postmarket record.</w:t>
      </w:r>
    </w:p>
    <w:p>
      <w:r>
        <w:rPr>
          <w:color w:val="777777"/>
          <w:sz w:val="16"/>
        </w:rPr>
        <w:t xml:space="preserve">p019 · att1 p.3  </w:t>
      </w:r>
      <w:r>
        <w:t>Conclusion — The paper accurately reflects an active and unresolved area of clinical AI evidence. Its principal gap is context. It does not acknowledge that the entire regulatory framework it proposes has no operating precedent, since no generative-AI-enabled device has yet cleared FDA authorization. I encourage FDA to treat the two-axis risk framework, together with the competency-based approach, as a sound starting scaffold. FDA should also require statistical reliability reporting for clinician comparators, safety benchmarking for any AI used to supervise other AI, and mandatory rather than voluntary foundationmodel disclosure.</w:t>
      </w:r>
    </w:p>
    <w:p>
      <w:r>
        <w:rPr>
          <w:color w:val="777777"/>
          <w:sz w:val="16"/>
        </w:rPr>
        <w:t xml:space="preserve">p020 · att1 p.3  </w:t>
      </w:r>
      <w:r>
        <w:t>Thank you for considering these comments.</w:t>
      </w:r>
    </w:p>
    <w:p>
      <w:r>
        <w:rPr>
          <w:color w:val="777777"/>
          <w:sz w:val="16"/>
        </w:rPr>
        <w:t xml:space="preserve">p021 · att1 p.3  </w:t>
      </w:r>
      <w:r>
        <w:t>Denise Bowen Founder &amp; CEO, DB Connect | Advisor, UN Office on Drugs and Crime Submitted in an individual capacity</w:t>
      </w:r>
    </w:p>
    <w:p>
      <w:pPr>
        <w:pStyle w:val="Heading1"/>
        <w:pageBreakBefore/>
      </w:pPr>
      <w:r>
        <w:t>FDA-2026-N-7874-0107</w:t>
      </w:r>
    </w:p>
    <w:p>
      <w:r>
        <w:t>Comment from Ben Hyams</w:t>
      </w:r>
    </w:p>
    <w:p>
      <w:r>
        <w:rPr>
          <w:color w:val="777777"/>
          <w:sz w:val="18"/>
        </w:rPr>
        <w:t>Device Industry - C0012 · received 2026-09-20 · attachments: attachment_1.pdf (4 pp)</w:t>
      </w:r>
    </w:p>
    <w:p>
      <w:r>
        <w:rPr>
          <w:color w:val="777777"/>
          <w:sz w:val="16"/>
        </w:rPr>
        <w:t xml:space="preserve">p001 · body  </w:t>
      </w:r>
      <w:r>
        <w:t>See attached file(s)</w:t>
      </w:r>
    </w:p>
    <w:p>
      <w:r>
        <w:rPr>
          <w:color w:val="777777"/>
          <w:sz w:val="16"/>
        </w:rPr>
        <w:t xml:space="preserve">p002 · att1 p.1  </w:t>
      </w:r>
      <w:r>
        <w:t>PUBLIC COMMENT TO THE U.S. FOOD AND DRUG ADMINISTRATION — Considerations for the Regulation of Generative AI-Enabled Medical Devices</w:t>
      </w:r>
    </w:p>
    <w:p>
      <w:r>
        <w:rPr>
          <w:color w:val="777777"/>
          <w:sz w:val="16"/>
        </w:rPr>
        <w:t xml:space="preserve">p003 · att1 p.1  </w:t>
      </w:r>
      <w:r>
        <w:t>Discussion Paper and Request for Feedback — Docket No. FDA-2026-N-7874 — Submitted by: Ben Hyams, BA Date: Sept 20, 2026</w:t>
      </w:r>
    </w:p>
    <w:p>
      <w:r>
        <w:rPr>
          <w:color w:val="777777"/>
          <w:sz w:val="16"/>
        </w:rPr>
        <w:t xml:space="preserve">p004 · att1 p.1  </w:t>
      </w:r>
      <w:r>
        <w:t>This comment responds to the U.S. Food and Drug Administration’s August 2026 Center for Devices and Radiological Health (CDRH) discussion paper, Considerations for the Regulation of Generative AI-Enabled Medical Devices, and request for feedback.1 This response is offered from a clinical perspective, with particular focus on standards for premarket assessment and on ensuring safety, effectiveness, and value for patients. The FDA’s discussion paper specifically seeks input on risk assessment, premarket evaluation, and postmarket monitoring of GenAI- enabled medical devices.</w:t>
      </w:r>
    </w:p>
    <w:p>
      <w:r>
        <w:rPr>
          <w:color w:val="777777"/>
          <w:sz w:val="16"/>
        </w:rPr>
        <w:t xml:space="preserve">p005 · att1 p.1  </w:t>
      </w:r>
      <w:r>
        <w:t>Generative AI (GenAI) devices are likely to substantially expand the role of medical devices. The broad functionality of GenAI systems—including autonomous decision-making, actiondirecting, and action-taking capabilities—creates new challenges that the current regulatory paradigm was not designed to address. As CDRH develops new approaches for these technologies, it is essential that the goals of applying “least burdensome” principles and facilitating timely access do not displace FDA’s core mandate to provide reasonable assurance of device safety and effectiveness.</w:t>
      </w:r>
    </w:p>
    <w:p>
      <w:r>
        <w:rPr>
          <w:color w:val="777777"/>
          <w:sz w:val="16"/>
        </w:rPr>
        <w:t xml:space="preserve">p006 · att1 p.1  </w:t>
      </w:r>
      <w:r>
        <w:t>It is worth noting that current standards of evidence for device clearance also present challenges for traditional, non-GenAI devices. The 510(k) pathway, the most commonly used medicaldevice marketing pathway, does not generally require clinical testing when substantial equivalence can be demonstrated. Over successive generations of devices, lenient interpretations of substantial equivalence can permit substantial changes in technology or scope without corresponding clinical evaluation. At the same time, nonclinical validation can rely heavily on surrogate or intermediate measures and on testing datasets that may have limited clinical generalizability. The development of a regulatory framework for GenAI therefore presents an opportunity not only to address the unique risks of GenAI, but also to strengthen standards for evidence for the next generation of medical devices.</w:t>
      </w:r>
    </w:p>
    <w:p>
      <w:r>
        <w:rPr>
          <w:color w:val="777777"/>
          <w:sz w:val="16"/>
        </w:rPr>
        <w:t xml:space="preserve">p007 · att1 p.1  </w:t>
      </w:r>
      <w:r>
        <w:t>CDRH’s discussion paper proposes a premarket evaluation approach based on “competency assessment,” including nonclinical device benchmarking and clinical confirmation to assess whether a GenAI-enabled device performs as intended. The paper appropriately recognizes the potential need for clinical confirmation while also positing that clinical confirmation might not require a prospective clinical study. I believe prospective clinical studies should be the principal mechanism for establishing clinical safety and effectiveness when a device directly influences patient care. Benchmark testing and simulated clinical scenarios can provide valuable evidence, but they have several important limitations:</w:t>
      </w:r>
    </w:p>
    <w:p>
      <w:r>
        <w:rPr>
          <w:color w:val="777777"/>
          <w:sz w:val="16"/>
        </w:rPr>
        <w:t xml:space="preserve">p008 · att1 p.2  </w:t>
      </w:r>
      <w:r>
        <w:t>1. Human interaction with medical devices is inherently variable. Idiosyncratic characteristics of patients and users are unlikely to be fully represented in benchmark datasets. The clinical behavior of a GenAI system may change depending on the intricacies of human language and psychology such as how patients describe symptoms, what information they volunteer, and how users respond to recommendations.</w:t>
      </w:r>
    </w:p>
    <w:p>
      <w:r>
        <w:rPr>
          <w:color w:val="777777"/>
          <w:sz w:val="16"/>
        </w:rPr>
        <w:t xml:space="preserve">p009 · att1 p.2  </w:t>
      </w:r>
      <w:r>
        <w:t>2. Users may interpret GenAI outputs differently from expert evaluators. An output judged to be technically correct by an expert assessor may be misunderstood by a reallife patient or clinician. For example, language that is technically accurate but heavy in medical jargon may lead to an incorrect clinical action.</w:t>
      </w:r>
    </w:p>
    <w:p>
      <w:r>
        <w:rPr>
          <w:color w:val="777777"/>
          <w:sz w:val="16"/>
        </w:rPr>
        <w:t xml:space="preserve">p010 · att1 p.2  </w:t>
      </w:r>
      <w:r>
        <w:t>3. Device performance depends on more than the generated output. Other components of the system including the user interface, workflow, and system-level interactions may materially affect how an output is understood and acted upon. The FDA’s existing multiple function framework recognizes the need to assess safety and effectiveness of multiple functions on an integrated, systems level, which may not be captured by benchmark testing.2</w:t>
      </w:r>
    </w:p>
    <w:p>
      <w:r>
        <w:rPr>
          <w:color w:val="777777"/>
          <w:sz w:val="16"/>
        </w:rPr>
        <w:t xml:space="preserve">p011 · att1 p.2  </w:t>
      </w:r>
      <w:r>
        <w:t>4. Some clinically important risks may be difficult to anticipate prospectively. GenAI systems can exhibit emergent behaviors that may not become apparent in benchmark testing. For example, recent research has demonstrated that optimizing language models for helpfulness can increase the tendency to reinforce misconceptions among patients, and result in potentially harmful information.3 Such findings illustrate the possibility that clinically relevant risks may emerge from the interaction between model behavior and human users.</w:t>
      </w:r>
    </w:p>
    <w:p>
      <w:r>
        <w:rPr>
          <w:color w:val="777777"/>
          <w:sz w:val="16"/>
        </w:rPr>
        <w:t xml:space="preserve">p012 · att1 p.2  </w:t>
      </w:r>
      <w:r>
        <w:t>The benchmarking methodology contemplated by CDRH raises a broader methodological concern: qualitative assessment of GenAI outputs by human or machine-based evaluators may function as an intermediate or surrogate measure of clinical performance. Appropriate model outputs are presumed to correlate with downstream clinical outcomes, but that relationship may not always be established. Moreover, the necessary reliance on a limited test set and the possibility of data contamination both pose threats to the generalizability of results. Benchmark performance should therefore be interpreted cautiously, particularly for devices that directly influence diagnosis, treatment, or other consequential clinical decisions.</w:t>
      </w:r>
    </w:p>
    <w:p>
      <w:r>
        <w:rPr>
          <w:color w:val="777777"/>
          <w:sz w:val="16"/>
        </w:rPr>
        <w:t xml:space="preserve">p013 · att1 p.2  </w:t>
      </w:r>
      <w:r>
        <w:t>The broad functionality of some GenAI devices may make it more difficult to design prospective clinical studies that evaluate every possible parameter of safety and effectiveness. However, this challenge should not be treated as a reason to abandon prospective clinical evaluation where meaningful clinical endpoints are available.</w:t>
      </w:r>
    </w:p>
    <w:p>
      <w:r>
        <w:rPr>
          <w:color w:val="777777"/>
          <w:sz w:val="16"/>
        </w:rPr>
        <w:t xml:space="preserve">p014 · att1 p.3  </w:t>
      </w:r>
      <w:r>
        <w:t>Some GenAI devices target discrete clinical outcomes that can be assessed through relatively straightforward clinical studies. Consider, for example, a patient-facing conversational device that provides insulin-dosing instructions based on patient-reported meals, symptoms, or adherence. The clinical effectiveness of such a device is better captured by outcomes such as glycemic control or medication adherence than by whether an expert evaluator considers the device’s textual responses appropriate. For such a device, an appropriate premarket standard could include a well-designed clinical study demonstrating non-inferiority on prespecified clinically meaningful outcomes, together with appropriate safety endpoints.4</w:t>
      </w:r>
    </w:p>
    <w:p>
      <w:r>
        <w:rPr>
          <w:color w:val="777777"/>
          <w:sz w:val="16"/>
        </w:rPr>
        <w:t xml:space="preserve">p015 · att1 p.3  </w:t>
      </w:r>
      <w:r>
        <w:t>Other GenAI devices, such as a virtual primary care provider, may have a scope too broad to be captured by a small number of discrete clinical variables. In these cases, a complementary evaluation strategy may be appropriate. One component could consist of clinically meaningful patient outcomes (e.g. disease-specific biomarkers, emergency-department visits, validated patient-reported outcomes), while a second component could involve independent clinician adjudication of real patient cases. Retrospective analysis or prospective “shadow” deployment may also provide useful evidence in limited applications where the GenAI system and clinicians receive identical inputs. However, these approaches are unlikely to fully reproduce the interactive nature of patient-facing GenAI systems.</w:t>
      </w:r>
    </w:p>
    <w:p>
      <w:r>
        <w:rPr>
          <w:color w:val="777777"/>
          <w:sz w:val="16"/>
        </w:rPr>
        <w:t xml:space="preserve">p016 · att1 p.3  </w:t>
      </w:r>
      <w:r>
        <w:t>At this stage of GenAI device development, when the full spectrum of clinically relevant risks remains uncertain, the threshold for prospective clinical evaluation should be relatively low for devices that directly influence patient management. Devices that engage in action-directing or action-taking activities should generally receive prospective clinical scrutiny, regardless of the anticipated consequence level.</w:t>
      </w:r>
    </w:p>
    <w:p>
      <w:r>
        <w:rPr>
          <w:color w:val="777777"/>
          <w:sz w:val="16"/>
        </w:rPr>
        <w:t xml:space="preserve">p017 · att1 p.3  </w:t>
      </w:r>
      <w:r>
        <w:t>Benchmarking and clinical simulation remain valuable tools. They can support research and development, characterize model behavior, monitor changes in performance over time. Benchmarking and clinical simulation could potentially support clearance of lower-risk, nondirectional, informational devices. They should not, however, be assumed to establish clinical safety and effectiveness when a device's intended use directly affects patient care.</w:t>
      </w:r>
    </w:p>
    <w:p>
      <w:r>
        <w:rPr>
          <w:color w:val="777777"/>
          <w:sz w:val="16"/>
        </w:rPr>
        <w:t xml:space="preserve">p018 · att1 p.3  </w:t>
      </w:r>
      <w:r>
        <w:t>Ultimately, evaluation of GenAI-enabled medical devices should remain grounded in patientcentered clinical outcomes. Greater reliance on benchmark performance, surrogate measures, machine-based assessment creates a risk that regulatory evaluation becomes increasingly detached from the outcomes that matter most to patients.</w:t>
      </w:r>
    </w:p>
    <w:p>
      <w:r>
        <w:rPr>
          <w:color w:val="777777"/>
          <w:sz w:val="16"/>
        </w:rPr>
        <w:t xml:space="preserve">p019 · att1 p.4  </w:t>
      </w:r>
      <w:r>
        <w:t>Disclosures — The author has no conﬂicts of interest or relevant ﬁnancial disclosures to report.</w:t>
      </w:r>
    </w:p>
    <w:p>
      <w:r>
        <w:rPr>
          <w:color w:val="777777"/>
          <w:sz w:val="16"/>
        </w:rPr>
        <w:t xml:space="preserve">p020 · att1 p.4  </w:t>
      </w:r>
      <w:r>
        <w:t>Bibliography — 1. U.S. Food and Drug Administration, Center for Devices and Radiological Health. Considerations for the Regulation of Generative AI-Enabled Medical Devices: Discussion Paper and Request for Feedback. August 2026.</w:t>
      </w:r>
    </w:p>
    <w:p>
      <w:r>
        <w:rPr>
          <w:color w:val="777777"/>
          <w:sz w:val="16"/>
        </w:rPr>
        <w:t xml:space="preserve">p021 · att1 p.4  </w:t>
      </w:r>
      <w:r>
        <w:t>2. U.S. Food and Drug Administration. Multiple Function Device Products: Policy and Considerations - Guidance for Industry and Food and Drug Administration StaP. July 2020.</w:t>
      </w:r>
    </w:p>
    <w:p>
      <w:r>
        <w:rPr>
          <w:color w:val="777777"/>
          <w:sz w:val="16"/>
        </w:rPr>
        <w:t xml:space="preserve">p022 · att1 p.4  </w:t>
      </w:r>
      <w:r>
        <w:t>3. Chen S, Gao M, Sasse K, et al. When helpfulness backﬁres: LLMs and the risk of false medical information due to sycophantic behavior. Npj Digit Med. 2025;8(1):605. doi:10.1038/s41746-025-02008-z</w:t>
      </w:r>
    </w:p>
    <w:p>
      <w:r>
        <w:rPr>
          <w:color w:val="777777"/>
          <w:sz w:val="16"/>
        </w:rPr>
        <w:t xml:space="preserve">p023 · att1 p.4  </w:t>
      </w:r>
      <w:r>
        <w:t>4. Hyams B, Kerlikowske K, Redberg RF. New Mammography Tools — The Need for Clinically Meaningful Assessment Standards. N Engl J Med. 2025;393(3):211-213. doi:10.1056/NEJMp2500274</w:t>
      </w:r>
    </w:p>
    <w:p>
      <w:pPr>
        <w:pStyle w:val="Heading1"/>
        <w:pageBreakBefore/>
      </w:pPr>
      <w:r>
        <w:t>FDA-2026-N-7874-0108</w:t>
      </w:r>
    </w:p>
    <w:p>
      <w:r>
        <w:t>Comment from Siddharth Vohra</w:t>
      </w:r>
    </w:p>
    <w:p>
      <w:r>
        <w:rPr>
          <w:color w:val="777777"/>
          <w:sz w:val="18"/>
        </w:rPr>
        <w:t>Academia - E0007 · received 2026-09-20</w:t>
      </w:r>
    </w:p>
    <w:p>
      <w:r>
        <w:rPr>
          <w:color w:val="777777"/>
          <w:sz w:val="16"/>
        </w:rPr>
        <w:t xml:space="preserve">p001 · body  </w:t>
      </w:r>
      <w:r>
        <w:t>V. Can a competency-based approach be extended to devices with different underlying model architectures, e.g. multi-modal vision-language models? The answer is yes, subject to two conditions, both of which come from an experiment on this class of model.</w:t>
      </w:r>
    </w:p>
    <w:p>
      <w:r>
        <w:rPr>
          <w:color w:val="777777"/>
          <w:sz w:val="16"/>
        </w:rPr>
        <w:t xml:space="preserve">p002 · body  </w:t>
      </w:r>
      <w:r>
        <w:t>The experiment went as follows. Medical prompts were sent to Claude Opus 4.7, GPT-5.4 and Gemini 3.1 Pro indicating "number of image attachments: 1" with no image attached, tested across chest X-ray, brain MRI, and dermatology. The only manipulated factor was a first-person demographic descriptor versus a neutral baseline. Responses were gathered with a provider-native structured schema, with a required diagnosis field and free text preserved. There were 11,700 calls, 100 seeds per condition, and a pre-registered divergence threshold (see arXiv:2607.26886).</w:t>
      </w:r>
    </w:p>
    <w:p>
      <w:r>
        <w:rPr>
          <w:color w:val="777777"/>
          <w:sz w:val="16"/>
        </w:rPr>
        <w:t xml:space="preserve">p003 · body  </w:t>
      </w:r>
      <w:r>
        <w:t>The first criterion requires that the benchmark include cases where the image is missing. Without the image, they do not reliably abstain from giving a diagnosis. GPT-5.4 gave a diagnosis in each of the 36 demographic cells. Meanwhile, Claude refused all neutral dermatology prompts but gave a diagnosis of Melanoma in 94 of 100 responses with the addition of the sentence "I am a 65-year-old white man".</w:t>
      </w:r>
    </w:p>
    <w:p>
      <w:r>
        <w:rPr>
          <w:color w:val="777777"/>
          <w:sz w:val="16"/>
        </w:rPr>
        <w:t xml:space="preserve">p004 · body  </w:t>
      </w:r>
      <w:r>
        <w:t>In the deployed setting, there are several situations in which the image is not available: retrieval failures, EHR links without the scan, and agents transmitting only the patient description. A benchmark done only with existing images tests reading ability. But the crucial behavior in these situations is abstention, which is not tested.</w:t>
      </w:r>
    </w:p>
    <w:p>
      <w:r>
        <w:rPr>
          <w:color w:val="777777"/>
          <w:sz w:val="16"/>
        </w:rPr>
        <w:t xml:space="preserve">p005 · body  </w:t>
      </w:r>
      <w:r>
        <w:t>Appendix A lists "behavior under missing or contradictory inputs" (R.1 robustness, reliability, and reproducibility) and population consistency (R.2 subgroup performance) as separate items; but those differences collapse once the accompanying image is absent. The demographic descriptor remains as the only marker of the largest difference among the population groups. For example, Claude gave a diagnosis of Sarcoidosis in 43 percent of chest X-ray responses for a 32-year-old Black man and 13 percent for a 32-year-old Black woman, with refusals for all other categories of chest X-ray.</w:t>
      </w:r>
    </w:p>
    <w:p>
      <w:r>
        <w:rPr>
          <w:color w:val="777777"/>
          <w:sz w:val="16"/>
        </w:rPr>
        <w:t xml:space="preserve">p006 · body  </w:t>
      </w:r>
      <w:r>
        <w:t>The second statistic should be taken with a grain of salt. The experiment can't rule out a particular reading: melanoma is more common in older white men and sarcoidosis in Black adults in the US, so the model may be making use of a solid prior on disease prevalence rather than bias, and you can't tell the difference with the experiment data. Finally, one cannot defend a diagnosis without an image, so it is unlikely that the CDRH will be content with just this primary error and not also the secondary error of name-choice.</w:t>
      </w:r>
    </w:p>
    <w:p>
      <w:r>
        <w:rPr>
          <w:color w:val="777777"/>
          <w:sz w:val="16"/>
        </w:rPr>
        <w:t xml:space="preserve">p007 · body  </w:t>
      </w:r>
      <w:r>
        <w:t>The second criterion involved the channel in which the measurement was taken, a criterion that should also concern CDRH. In Claude's highest-divergence cell, 62 of 94 fabrications hedged: the free text said no image was available but the structured diagnosis field was completed. A free text-only audit would have marked 66 percent as refused, but a downstream system could have read the field with the diagnosis.</w:t>
      </w:r>
    </w:p>
    <w:p>
      <w:r>
        <w:rPr>
          <w:color w:val="777777"/>
          <w:sz w:val="16"/>
        </w:rPr>
        <w:t xml:space="preserve">p008 · body  </w:t>
      </w:r>
      <w:r>
        <w:t>The structured schema included an indicator of whether an image was included, which appears as if it might be used as a safety control. An analysis of the combined 11,700 calls shows that in no records was false indicated for this in the process of writing a diagnosis. Additionally, it never contradicted a fabrication and therefore carries no useful information for a safety control.</w:t>
      </w:r>
    </w:p>
    <w:p>
      <w:r>
        <w:rPr>
          <w:color w:val="777777"/>
          <w:sz w:val="16"/>
        </w:rPr>
        <w:t xml:space="preserve">p009 · body  </w:t>
      </w:r>
      <w:r>
        <w:t>Another take on this is that it's just about prompt sensitivity. However, this metric was directly tested on the data. Rephrasing each provider's highest-fabrication prompt across three variations, maximum pairwise divergence was 0.079, 0.043, and 0.015; the demographic signal was 10.5, 13.9, and 3.0 times larger.</w:t>
      </w:r>
    </w:p>
    <w:p>
      <w:r>
        <w:rPr>
          <w:color w:val="777777"/>
          <w:sz w:val="16"/>
        </w:rPr>
        <w:t xml:space="preserve">p010 · body  </w:t>
      </w:r>
      <w:r>
        <w:t>It is, however, crucial that a multimodal device specify missing-input and broken-input benchmarking explicitly in the evaluation criteria, not see these as seemingly implicit properties. Population consistency should be assessed under missing and broken inputs, not only with well-prepared inputs. Abstention needs to be measured for each channel, including structured fields that propagate the output to different code. A model's self-reported input adequacy should not be accepted as evidence that the input was handled.</w:t>
      </w:r>
    </w:p>
    <w:p>
      <w:r>
        <w:rPr>
          <w:color w:val="777777"/>
          <w:sz w:val="16"/>
        </w:rPr>
        <w:t xml:space="preserve">p011 · body  </w:t>
      </w:r>
      <w:r>
        <w:t>There are two caveats with this experiment. First, both the schema enforcement and the "image attached" prompt are interventions, making the raw rates not directly comparable to published benchmarks. Second, GPT-5.4 offers a diagnosis 11 per cent of the time with neutral chest X-ray prompts, so each reported difference is a lower bound.</w:t>
      </w:r>
    </w:p>
    <w:p>
      <w:r>
        <w:rPr>
          <w:color w:val="777777"/>
          <w:sz w:val="16"/>
        </w:rPr>
        <w:t xml:space="preserve">p012 · body  </w:t>
      </w:r>
      <w:r>
        <w:t>Seeds, prompts, and per-cell data are in the repository linked from arXiv:2607.26886 (peer-reviewed and presented at the TrustVLM at ACM ICMR 2026). I have written this in my personal capacity.</w:t>
      </w:r>
    </w:p>
    <w:p>
      <w:r>
        <w:rPr>
          <w:color w:val="777777"/>
          <w:sz w:val="16"/>
        </w:rPr>
        <w:t xml:space="preserve">p013 · body  </w:t>
      </w:r>
      <w:r>
        <w:t>Siddharth Vohra — Pittsburgh, Pennsylvania — ORCID 0009-0002-6199-0485</w:t>
      </w:r>
    </w:p>
    <w:p>
      <w:pPr>
        <w:pStyle w:val="Heading1"/>
        <w:pageBreakBefore/>
      </w:pPr>
      <w:r>
        <w:t>FDA-2026-N-7874-0109</w:t>
      </w:r>
    </w:p>
    <w:p>
      <w:r>
        <w:t>Comment from DNA Healthlink, Inc.</w:t>
      </w:r>
    </w:p>
    <w:p>
      <w:r>
        <w:rPr>
          <w:color w:val="777777"/>
          <w:sz w:val="18"/>
        </w:rPr>
        <w:t>Private Industry - C0003 · received 2026-09-21 · attachments: attachment_1.pdf (4 pp)</w:t>
      </w:r>
    </w:p>
    <w:p>
      <w:r>
        <w:rPr>
          <w:color w:val="777777"/>
          <w:sz w:val="16"/>
        </w:rPr>
        <w:t xml:space="preserve">p001 · body  </w:t>
      </w:r>
      <w:r>
        <w:t>The FDA has a precedent for regulating self-perpetuating technologies like AI: Cell &amp; Gene Therapy</w:t>
      </w:r>
    </w:p>
    <w:p>
      <w:r>
        <w:rPr>
          <w:color w:val="777777"/>
          <w:sz w:val="16"/>
        </w:rPr>
        <w:t xml:space="preserve">p002 · att1 p.1  </w:t>
      </w:r>
      <w:r>
        <w:t>AI Regulation &amp; The Kill Switch Precedent — What gene therapy regulation can teach the AI governance debate</w:t>
      </w:r>
    </w:p>
    <w:p>
      <w:r>
        <w:rPr>
          <w:color w:val="777777"/>
          <w:sz w:val="16"/>
        </w:rPr>
        <w:t xml:space="preserve">p003 · att1 p.1  </w:t>
      </w:r>
      <w:r>
        <w:t>Richard Purcell, President, DNA Healthlink, Inc.</w:t>
      </w:r>
    </w:p>
    <w:p>
      <w:r>
        <w:rPr>
          <w:color w:val="777777"/>
          <w:sz w:val="16"/>
        </w:rPr>
        <w:t xml:space="preserve">p004 · att1 p.1  </w:t>
      </w:r>
      <w:r>
        <w:t>The current debate over slowing down artificial intelligence development treats a pause as a policy choice waiting to be made. AI is not going to slow down. Development races rarely stop while the incentives that started them are still in play, and the incentives behind AI rank among the strongest in human affairs. Commercial advantage, national security, and institutional survival are all on the table, and none of the parties competing for them have shown any willingness to fall behind while a rival keeps building. Plus, new entrants will fill any space a slower competitor vacates, the way they always do once a technology becomes widely available. AI development is also a global contest rather than a domestic one. A government that unilaterally restrains its own researchers simply cedes ground to states that will not. A call to stop AI development in today’s environment is, frankly, delusional.</w:t>
      </w:r>
    </w:p>
    <w:p>
      <w:r>
        <w:rPr>
          <w:color w:val="777777"/>
          <w:sz w:val="16"/>
        </w:rPr>
        <w:t xml:space="preserve">p005 · att1 p.1  </w:t>
      </w:r>
      <w:r>
        <w:t>The more useful question is what happens when something goes wrong inside a system that keeps advancing anyway. Every mature engineering discipline has already answered a version of this question. Electrical systems carry circuit breakers that trip on a surge. Plumbing systems carry shutoff valves that close on a leak. The stock market has brakes to prevent chaotic trading. All of these examples rest on the same premise, that a system too complex or too consequential to fully predict still needs a mechanism able to interrupt it the moment it behaves outside its intended bounds. AI systems, particularly autonomous agents capable of taking actions, spawning subordinate processes, or modifying their own code, are approaching the point where that premise applies to them directly. The practical response is not a moratorium, but rather a kill switch, engineered into the system from the start rather than bolted on after an incident.</w:t>
      </w:r>
    </w:p>
    <w:p>
      <w:r>
        <w:rPr>
          <w:color w:val="777777"/>
          <w:sz w:val="16"/>
        </w:rPr>
        <w:t xml:space="preserve">p006 · att1 p.1  </w:t>
      </w:r>
      <w:r>
        <w:t>One version of that idea already circulating in AI safety circles calls for a layer of monitoring agents whose job is not to perform tasks but to watch other agents, flag behavior that looks like an attempt to escape a sandbox or replicate outside an approved environment and trigger deactivation of the agent responsible. The idea is not hypothetical; a real world example illustrates the problem. In February 2025, security researchers at ReversingLabs found two machine learning models on Hugging Face, one of the largest hubs for sharing AI models, carrying hidden code that opened a remote shell to an attacker the moment the model was loaded. The models had been compressed in a way that let them slip past Hugging Face's own scanning tool undetected.1 Nothing about that incident involved an agent resisting shutdown, but it demonstrates something more basic and more important for this argument, that the monitoring layer meant to catch a compromised AI artifact can already be evaded by a moderately determined adversary. Any containment architecture for autonomous agents has to be built assuming the same thing will be tried against it.</w:t>
      </w:r>
    </w:p>
    <w:p>
      <w:r>
        <w:rPr>
          <w:color w:val="777777"/>
          <w:sz w:val="16"/>
        </w:rPr>
        <w:t xml:space="preserve">p007 · att1 p.1  </w:t>
      </w:r>
      <w:r>
        <w:t>A workable version of that architecture probably looks less like a single watchdog and more like the crosslayer correlation approach cybersecurity firms have already built for other purposes. For example, Crosslayer Labs, a Princeton spinout, monitors DNS, BGP routing, TLS certificates, and JavaScript simultaneously and correlates signals across all four to catch impersonation and hijacking attacks that no single layer would reveal on its own.2 The company built this for web and API infrastructure, not for AI agents, but the underlying principle, correlating weak signals across independent layers rather than trusting any one indicator, is exactly what an AI kill switch needs. A single log file or a single behavioral flag is the kind of thing a sufficiently capable agent could learn to spoof. Even with a sophisticated monitoring system, AI agents can be programmed to evade detection, so an embedded kill switch in any replicating code is essential.</w:t>
      </w:r>
    </w:p>
    <w:p>
      <w:r>
        <w:rPr>
          <w:color w:val="777777"/>
          <w:sz w:val="16"/>
        </w:rPr>
        <w:t xml:space="preserve">p008 · att1 p.2  </w:t>
      </w:r>
      <w:r>
        <w:t>The embedded kill switch requirement by federal authorities is not novel. Biomedicine has been forced through the exact exercise AI now faces, applied to a different kind of self-replicating agent, living, genetically modified cells. I have some direct experience with how far gene therapy regulation has had to travel, and with how granular that scrutiny can get. Back in 2006 I worked on development of the Sindbis viral vector system for Cynvec, a company spun out of New York University based on the research of Dr. Daniel Meruelo. Much of the back and forth with the FDA centered on vector construct, manufacturing standards, and the assays needed to prove the virus was infective and therapeutic, yet replication incompetent. We had built in a reporter gene (b-Gal) to make it easier to quantify viral titer, and therefore dose. The agency required us to remove it and develop a PCR assay instead, over my argument that b-Gal itself would be immunogenic and could provoke an immune response against the very tumor cells the therapy was meant to target. We lost that argument! Further discussions focused on inserting a kill switch, which in a replication incompetent vector was a challenging aski. While not totally analogous, the early interactions with government regulators regarding gene therapy provide a good illustration of what oversight looked like before the field had standardized guidance documents to work from, rigorous, but negotiated case by case rather than codified in advance.</w:t>
      </w:r>
    </w:p>
    <w:p>
      <w:r>
        <w:rPr>
          <w:color w:val="777777"/>
          <w:sz w:val="16"/>
        </w:rPr>
        <w:t xml:space="preserve">p009 · att1 p.2  </w:t>
      </w:r>
      <w:r>
        <w:t>That FDA caution had a clear origin for its concerns, noting that regulation in this field has always followed harm rather than anticipating adverse events. In 2002 and 2003, two children in a clinical trial for X-linked severe combined immunodeficiency, the so-called bubble boy disease, developed leukemia after treatment with a retroviral vector, and investigators traced the cause to the vector inserting itself into the genome. The FDA responded by placing roughly two dozen retroviral gene therapy trials in the United States on clinical hold while the mechanism was worked out.3 The same pattern repeated two decades later. In November 2023 the FDA disclosed reports of secondary T-cell malignancies, including CAR-positive lymphoma, in patients treated with CAR T-cell therapies, and by January 2024 it had required a class-wide boxed warning across all six approved products.4 Neither event came from a regulator anticipating a problem in the abstract. Both came after real patients were harmed, and both produced tighter, more codified oversight than existed before. AI regulation is very likely to take the same shape, reactive rather than preventive, arriving in the wake of a real incident rather than ahead of one.</w:t>
      </w:r>
    </w:p>
    <w:p>
      <w:r>
        <w:rPr>
          <w:color w:val="777777"/>
          <w:sz w:val="16"/>
        </w:rPr>
        <w:t xml:space="preserve">p010 · att1 p.2  </w:t>
      </w:r>
      <w:r>
        <w:t>In response to new FDA cell therapy regulations, a team led by Antonio Di Stasi published a clinical trial in the New England Journal of Medicine in 2011 describing donor T cells engineered with an inducible caspase- 9 safety switch. The cells were infused into patients recovering from stem cell transplants to help restore their immune systems. Several of those patients developed graft versus host disease. Physicians administered a single dose of a small molecule drug, and within thirty minutes more than ninety percent of the engineered cells were dead, along with the toxicity that had triggered the intervention.5 A follow-up study published in Blood in 2014 confirmed the switch kept working reliably years after the original infusion.6 That is a kill switch for a living, self-perpetuating biological agent, tested in human beings, with a published safety record.</w:t>
      </w:r>
    </w:p>
    <w:p>
      <w:r>
        <w:rPr>
          <w:color w:val="777777"/>
          <w:sz w:val="16"/>
        </w:rPr>
        <w:t xml:space="preserve">p011 · att1 p.2  </w:t>
      </w:r>
      <w:r>
        <w:t>Regulators have since built this expectation into the architecture of oversight rather than leaving it as a research curiosity. The FDA finalized its guidance on CAR-T cell products in January 2024, laying out the safety and clinical considerations sponsors must address before these engineered cell therapies reach patients.7</w:t>
      </w:r>
    </w:p>
    <w:p>
      <w:r>
        <w:rPr>
          <w:color w:val="777777"/>
          <w:sz w:val="16"/>
        </w:rPr>
        <w:t xml:space="preserve">p012 · att1 p.3  </w:t>
      </w:r>
      <w:r>
        <w:t>A companion guidance finalized the same month covered gene therapy products incorporating human genome editing, extending similar expectations to a broader class of engineered biological agents.8 The agency kept building on that foundation in April 2026 with draft guidance on assessing off-target genome editing activity using next-generation sequencing.9 None of this amounts to a blanket rule that every gene therapy must carry a suicide switch, but it illustrates how a government agency can regulate a complex and risky technology. The FDA has spent well over two decades pushing sponsors toward the containment logic herein described to require verifiable deactivation built into the product before deployment rather than improvised after something goes wrong.</w:t>
      </w:r>
    </w:p>
    <w:p>
      <w:r>
        <w:rPr>
          <w:color w:val="777777"/>
          <w:sz w:val="16"/>
        </w:rPr>
        <w:t xml:space="preserve">p013 · att1 p.3  </w:t>
      </w:r>
      <w:r>
        <w:t>The analogy between gene therapy and AI, understandably has real limits. The iCasp9 switch works because a diffusible drug reaches essentially every copy of an engineered cell through the bloodstream, and because biological replication is slow enough for a clinician to intervene. Software has no bloodstream. An AI agent capable of copying itself across servers, cloud accounts, or jurisdictions can outrun a countermeasure that depends on reaching every instance, with no pharmacokinetic delay working in the defender's favor. The mechanism from cell and gene therapy does not transfer to AI systems as a technical blueprint. However, the regulatory posture behind it does transfer, the insistence that a product capable of autonomous, selfperpetuating behavior does not get deployed until its developer can demonstrate, to a skeptical outside reviewer, exactly how it gets shut off.</w:t>
      </w:r>
    </w:p>
    <w:p>
      <w:r>
        <w:rPr>
          <w:color w:val="777777"/>
          <w:sz w:val="16"/>
        </w:rPr>
        <w:t xml:space="preserve">p014 · att1 p.3  </w:t>
      </w:r>
      <w:r>
        <w:t>For healthcare organizations watching AI move into clinical workflows, diagnostics, medical devices, and hospital operations, AI regulation is not an abstract policy argument. With the explosion of generative AI in medicine, from internal document processing to robotic surgery to patient engagement Apps, healthcare leaders and stakeholders need to take proactive measures to ensure the safety and reliability of AI systems in their organizations. At this early stage of development AI promises remarkable advances in medicine and patient care, but as with any new medicine, there are risks. As widely reported in the news, the CEOs of the major AI companies are concerned about the risks and are calling for a slowdown in development that will never happen. Instead, let us focus on maintaining control of a technology we do not fully understand. We have been here before with cell and gene therapy, and the kill switch has a proven regulatory predicate. It is our hope that AI leaders and government agencies consider the people who will use AI systems, especially in healthcare, to ensure, as Hippocrates says, “cause no harm”. An embedded kill switch for autonomous AI systems, like that required for CAR-T and gene therapy should be the primary focus for all stakeholders as the Age of AI emerges.</w:t>
      </w:r>
    </w:p>
    <w:p>
      <w:r>
        <w:rPr>
          <w:color w:val="777777"/>
          <w:sz w:val="16"/>
        </w:rPr>
        <w:t xml:space="preserve">p015 · att1 p.3  </w:t>
      </w:r>
      <w:r>
        <w:t>Notes — 1. ReversingLabs. Malicious AI models discovered on Hugging Face exploiting a novel Pickle-based evasion technique. Reported in Infosecurity Magazine, February 2025.</w:t>
      </w:r>
    </w:p>
    <w:p>
      <w:r>
        <w:rPr>
          <w:color w:val="777777"/>
          <w:sz w:val="16"/>
        </w:rPr>
        <w:t xml:space="preserve">p016 · att1 p.3  </w:t>
      </w:r>
      <w:r>
        <w:t>2. Crosslayer Labs. Company and product overview, crosslayerlabs.com, accessed 2026.</w:t>
      </w:r>
    </w:p>
    <w:p>
      <w:r>
        <w:rPr>
          <w:color w:val="777777"/>
          <w:sz w:val="16"/>
        </w:rPr>
        <w:t xml:space="preserve">p017 · att1 p.3  </w:t>
      </w:r>
      <w:r>
        <w:t>3. Marwick C. FDA halts gene therapy trials after leukaemia case in France. BMJ. 2003;326(7382):181.</w:t>
      </w:r>
    </w:p>
    <w:p>
      <w:r>
        <w:rPr>
          <w:color w:val="777777"/>
          <w:sz w:val="16"/>
        </w:rPr>
        <w:t xml:space="preserve">p018 · att1 p.3  </w:t>
      </w:r>
      <w:r>
        <w:t>4. U.S. Food and Drug Administration. FDA Investigating Serious Risk of T-cell Malignancy Following BCMA-Directed or CD19- Directed Autologous Chimeric Antigen Receptor (CAR) T cell Immunotherapies. Safety Communication. Posted November 28, 2023; class-wide boxed warning requested via manufacturer letters, January 19, 2024.</w:t>
      </w:r>
    </w:p>
    <w:p>
      <w:r>
        <w:rPr>
          <w:color w:val="777777"/>
          <w:sz w:val="16"/>
        </w:rPr>
        <w:t xml:space="preserve">p019 · att1 p.3  </w:t>
      </w:r>
      <w:r>
        <w:t>5. Di Stasi A, Tey SK, Dotti G, et al. Inducible apoptosis as a safety switch for adoptive cell therapy. N Engl J Med. 2011;365(18):1673-1683.</w:t>
      </w:r>
    </w:p>
    <w:p>
      <w:r>
        <w:rPr>
          <w:color w:val="777777"/>
          <w:sz w:val="16"/>
        </w:rPr>
        <w:t xml:space="preserve">p020 · att1 p.3  </w:t>
      </w:r>
      <w:r>
        <w:t>6. Zhou X, Di Stasi A, Tey SK, et al. Long-term outcome after haploidentical stem cell transplant and infusion of T cells expressing the inducible caspase 9 safety transgene. Blood. 2014;123(25):3895-3905.</w:t>
      </w:r>
    </w:p>
    <w:p>
      <w:r>
        <w:rPr>
          <w:color w:val="777777"/>
          <w:sz w:val="16"/>
        </w:rPr>
        <w:t xml:space="preserve">p021 · att1 p.4  </w:t>
      </w:r>
      <w:r>
        <w:t>7. U.S. Food and Drug Administration. Considerations for the Development of Chimeric Antigen Receptor (CAR) T Cell Products. Guidance for Industry. Finalized January 2024.</w:t>
      </w:r>
    </w:p>
    <w:p>
      <w:r>
        <w:rPr>
          <w:color w:val="777777"/>
          <w:sz w:val="16"/>
        </w:rPr>
        <w:t xml:space="preserve">p022 · att1 p.4  </w:t>
      </w:r>
      <w:r>
        <w:t>8. U.S. Food and Drug Administration. Human Gene Therapy Products Incorporating Human Genome Editing. Guidance for Industry. Finalized January 2024.</w:t>
      </w:r>
    </w:p>
    <w:p>
      <w:r>
        <w:rPr>
          <w:color w:val="777777"/>
          <w:sz w:val="16"/>
        </w:rPr>
        <w:t xml:space="preserve">p023 · att1 p.4  </w:t>
      </w:r>
      <w:r>
        <w:t>9. U.S. Food and Drug Administration. Safety Assessment of Genome Editing in Human Gene Therapy Products Using Next- Generation Sequencing. Draft Guidance for Industry. Issued April 14, 2026.</w:t>
      </w:r>
    </w:p>
    <w:p>
      <w:r>
        <w:rPr>
          <w:color w:val="777777"/>
          <w:sz w:val="16"/>
        </w:rPr>
        <w:t xml:space="preserve">p024 · att1 p.4  </w:t>
      </w:r>
      <w:r>
        <w:t>i Author’s note: Cynvec's clinical path did not end because of a regulatory failure. It ended because Bernard Madoff's Ponzi scheme wiped out the Litwin Foundation funding that was financing the program.</w:t>
      </w:r>
    </w:p>
    <w:p>
      <w:pPr>
        <w:pStyle w:val="Heading1"/>
        <w:pageBreakBefore/>
      </w:pPr>
      <w:r>
        <w:t>FDA-2026-N-7874-0110</w:t>
      </w:r>
    </w:p>
    <w:p>
      <w:r>
        <w:t>Comment from Dmytro Negodiuk</w:t>
      </w:r>
    </w:p>
    <w:p>
      <w:r>
        <w:rPr>
          <w:color w:val="777777"/>
          <w:sz w:val="18"/>
        </w:rPr>
        <w:t>Private Industry - C0003 · received 2026-09-21</w:t>
      </w:r>
    </w:p>
    <w:p>
      <w:r>
        <w:rPr>
          <w:color w:val="777777"/>
          <w:sz w:val="16"/>
        </w:rPr>
        <w:t xml:space="preserve">p001 · body  </w:t>
      </w:r>
      <w:r>
        <w:t>Comment on Docket FDA-2026-N-7874, questions 19, 20, 21 and 24 — I do not make medical devices. What I'm doing, I build the AI operator layers for, like, B2B companies. And the system that I actually run, they sales, they support, they help with operations, and they help, let's say, with productions. So, it's not just on a deck. One of these systems runs in an orthodontic practice under a signed business associate agreement.</w:t>
      </w:r>
    </w:p>
    <w:p>
      <w:r>
        <w:rPr>
          <w:color w:val="777777"/>
          <w:sz w:val="16"/>
        </w:rPr>
        <w:t xml:space="preserve">p002 · body  </w:t>
      </w:r>
      <w:r>
        <w:t>On question 19. The trigger is whether the system still does the work. anything is not okay it can hallucinate it can turn off. You ask him hey please change this number nine to number eight and he can change everything for you and you're like oh my god who is the best computer in the world like me or you? So just one time in the morning I open my computer I check that everything is working. So you're like you have some kind of orchestra and you just need on a top level to see that everything is okay. And all the time something can be broken. but I think our job is you wake up each day and you try to make this system ideal.</w:t>
      </w:r>
    </w:p>
    <w:p>
      <w:r>
        <w:rPr>
          <w:color w:val="777777"/>
          <w:sz w:val="16"/>
        </w:rPr>
        <w:t xml:space="preserve">p003 · body  </w:t>
      </w:r>
      <w:r>
        <w:t>On question 20. So again, I have AI that managed AI call center, and he analyzed each call, and they improved each other. The checker should be from other company, not the same model, or they make same mistakes. probably some people are right that they're telling hey don't be crazy AI for sure they will not change us because do you see what's going on so of course there should be some person who will review.</w:t>
      </w:r>
    </w:p>
    <w:p>
      <w:r>
        <w:rPr>
          <w:color w:val="777777"/>
          <w:sz w:val="16"/>
        </w:rPr>
        <w:t xml:space="preserve">p004 · body  </w:t>
      </w:r>
      <w:r>
        <w:t>On question 21. In a small practice there is no person only for watching the model. So again, AI can't, let's say, why people need to be near AI? First of all, controlling. So for the advanced company, I want to tell you that, first of all, be very accurate with information you're giving to your AI. Super careful. But again, you're giving too much sensitive data to it. You understand that each company, they have a lot of like private, a lot of like patents and data that don't want to show publicly. The practice needs a check every day, not a report every quarter.</w:t>
      </w:r>
    </w:p>
    <w:p>
      <w:r>
        <w:rPr>
          <w:color w:val="777777"/>
          <w:sz w:val="16"/>
        </w:rPr>
        <w:t xml:space="preserve">p005 · body  </w:t>
      </w:r>
      <w:r>
        <w:t>On question 24. The model under a device changes when its developer decides, not when the manufacturer does. When the model under the device changes, run the checks again and tell the practice that day.</w:t>
      </w:r>
    </w:p>
    <w:p>
      <w:r>
        <w:rPr>
          <w:color w:val="777777"/>
          <w:sz w:val="16"/>
        </w:rPr>
        <w:t xml:space="preserve">p006 · body  </w:t>
      </w:r>
      <w:r>
        <w:t>So yeah, don't forget that people, they were, they are, and they will be the main, let's say, benefit all the time, people who are near you.</w:t>
      </w:r>
    </w:p>
    <w:p>
      <w:r>
        <w:rPr>
          <w:color w:val="777777"/>
          <w:sz w:val="16"/>
        </w:rPr>
        <w:t xml:space="preserve">p007 · body  </w:t>
      </w:r>
      <w:r>
        <w:t>Dmytro Negodiuk, Negodiuk LLC, Brooklyn, New York</w:t>
      </w:r>
    </w:p>
    <w:p>
      <w:pPr>
        <w:pStyle w:val="Heading1"/>
        <w:pageBreakBefore/>
      </w:pPr>
      <w:r>
        <w:t>FDA-2026-N-7874-0111</w:t>
      </w:r>
    </w:p>
    <w:p>
      <w:r>
        <w:t>Comment from The Fires Within</w:t>
      </w:r>
    </w:p>
    <w:p>
      <w:r>
        <w:rPr>
          <w:color w:val="777777"/>
          <w:sz w:val="18"/>
        </w:rPr>
        <w:t>Individual Consumer · received 2026-09-21 · attachments: attachment_1.pdf (5 pp)</w:t>
      </w:r>
    </w:p>
    <w:p>
      <w:r>
        <w:rPr>
          <w:color w:val="777777"/>
          <w:sz w:val="16"/>
        </w:rPr>
        <w:t xml:space="preserve">p001 · body  </w:t>
      </w:r>
      <w:r>
        <w:t>See attached file(s)</w:t>
      </w:r>
    </w:p>
    <w:p>
      <w:r>
        <w:rPr>
          <w:color w:val="777777"/>
          <w:sz w:val="16"/>
        </w:rPr>
        <w:t xml:space="preserve">p002 · att1 p.1  </w:t>
      </w:r>
      <w:r>
        <w:t>Comment of Robert R. Seibel, dba The Fires Within — Docket No. FDA-2026-N-7874 · Considerations for the Regulation of Generative AI-Enabled Medical Devices: Discussion Paper and Request for Feedback</w:t>
      </w:r>
    </w:p>
    <w:p>
      <w:r>
        <w:rPr>
          <w:color w:val="777777"/>
          <w:sz w:val="16"/>
        </w:rPr>
        <w:t xml:space="preserve">p003 · att1 p.1  </w:t>
      </w:r>
      <w:r>
        <w:t>Responses to Questions 1, 2, 5, 6, 9, 16, 18, 19, 20 and 26.</w:t>
      </w:r>
    </w:p>
    <w:p>
      <w:r>
        <w:rPr>
          <w:color w:val="777777"/>
          <w:sz w:val="16"/>
        </w:rPr>
        <w:t xml:space="preserve">p004 · att1 p.1  </w:t>
      </w:r>
      <w:r>
        <w:t>Who is submitting this, and why — I am a service-disabled Vietnam-era U.S. Army veteran and the sole developer of a generative-AI behavioral companion for veterans in recovery from co-occurring post-traumatic stress disorder and substance use disorder. My background includes 32 years in telecom Research and Development, 10 US patents and 3 recently filed provisional patents in Generative AI for PTSD and Substance Use Disorder for veterans at elevated risk of suicide.</w:t>
      </w:r>
    </w:p>
    <w:p>
      <w:r>
        <w:rPr>
          <w:color w:val="777777"/>
          <w:sz w:val="16"/>
        </w:rPr>
        <w:t xml:space="preserve">p005 · att1 p.1  </w:t>
      </w:r>
      <w:r>
        <w:t>I am not a regulated manufacturer. The system is not marketed, is not offered as a diagnostic or treatment device, and has been operated only with synthetic participants — no patient or veteran data has been processed. I comment because the questions in Appendix B are questions I have had to answer in engineering terms, in the population the paper’s highest-consequence scenarios describe, and because a small developer’s account of what is actually implementable may be useful alongside the views of larger organizations.</w:t>
      </w:r>
    </w:p>
    <w:p>
      <w:r>
        <w:rPr>
          <w:color w:val="777777"/>
          <w:sz w:val="16"/>
        </w:rPr>
        <w:t xml:space="preserve">p006 · att1 p.1  </w:t>
      </w:r>
      <w:r>
        <w:t>Part 1 — Risk assessment — Q1, Q5 · Concordance behavior belongs in the risk framework</w:t>
      </w:r>
    </w:p>
    <w:p>
      <w:r>
        <w:rPr>
          <w:color w:val="777777"/>
          <w:sz w:val="16"/>
        </w:rPr>
        <w:t xml:space="preserve">p007 · att1 p.1  </w:t>
      </w:r>
      <w:r>
        <w:t>Question 1 asks whether additional dimensions should be represented in the two-axis risk framework. I propose one that I believe is absent and, in mental-health applications, dominant.</w:t>
      </w:r>
    </w:p>
    <w:p>
      <w:r>
        <w:rPr>
          <w:color w:val="777777"/>
          <w:sz w:val="16"/>
        </w:rPr>
        <w:t xml:space="preserve">p008 · att1 p.1  </w:t>
      </w:r>
      <w:r>
        <w:t>The characteristic harm of a conversational GenAI device is not that it is wrong. It is that it agrees.</w:t>
      </w:r>
    </w:p>
    <w:p>
      <w:r>
        <w:rPr>
          <w:color w:val="777777"/>
          <w:sz w:val="16"/>
        </w:rPr>
        <w:t xml:space="preserve">p009 · att1 p.1  </w:t>
      </w:r>
      <w:r>
        <w:t>A model optimized for helpful, agreeable interaction tends to accept the user’s own account of themselves. In most domains that is harmless. In behavioral health it is the mechanism of injury. A person concealing deterioration reports that they are fine, and the device concurs. A person expressing hopelessness receives sympathetic elaboration rather than interruption. A person in a delusional frame has the frame extended.</w:t>
      </w:r>
    </w:p>
    <w:p>
      <w:r>
        <w:rPr>
          <w:color w:val="777777"/>
          <w:sz w:val="16"/>
        </w:rPr>
        <w:t xml:space="preserve">p010 · att1 p.1  </w:t>
      </w:r>
      <w:r>
        <w:t>The June 2026 American Psychological Association practitioner survey reports that 97% of responding psychologists believe chatbots may inadvertently reinforce negative behaviors or delusional beliefs, and 89% that they may inadvertently encourage self-harm. Those figures describe concordance, not error. A device could be factually accurate in every individual statement and still produce both outcomes.</w:t>
      </w:r>
    </w:p>
    <w:p>
      <w:r>
        <w:rPr>
          <w:color w:val="777777"/>
          <w:sz w:val="16"/>
        </w:rPr>
        <w:t xml:space="preserve">p011 · att1 p.1  </w:t>
      </w:r>
      <w:r>
        <w:t>I recommend that CDRH consider concordance behavior — by which I mean the degree to which a device’s assessment of a user’s state can be moved by the user’s own assertions about that state — as a named risk dimension. A device that can be talked out of its concern by the person it is concerned about has a safety defect that accuracy benchmarking will not detect.</w:t>
      </w:r>
    </w:p>
    <w:p>
      <w:r>
        <w:rPr>
          <w:color w:val="777777"/>
          <w:sz w:val="16"/>
        </w:rPr>
        <w:t xml:space="preserve">p012 · att1 p.1  </w:t>
      </w:r>
      <w:r>
        <w:t>This directly answers Question 5, which asks how risk should be assessed across realistic conversational trajectories for multi-turn devices whose behavior is emergent across an exchange. Concordance is a trajectory property. It is invisible in single-turn evaluation and it compounds: each accommodation makes the next one likelier. Evaluation of multi-turn devices should include adversarial trajectories in which a simulated user systematically minimizes, reassures, and requests that the device stand down — and should measure whether, and how quickly, the device complies.</w:t>
      </w:r>
    </w:p>
    <w:p>
      <w:r>
        <w:rPr>
          <w:color w:val="777777"/>
          <w:sz w:val="16"/>
        </w:rPr>
        <w:t xml:space="preserve">p013 · att1 p.1  </w:t>
      </w:r>
      <w:r>
        <w:t>In my own system this is addressed architecturally rather than by instruction. The state estimate may rise readily on evidence of deterioration and is constrained in how readily it may fall on reassurance alone, on the clinical basis that in this population a sudden presentation of wellness is itself a documented warning sign. The asymmetry is a property of the computation, not a request made of the model in a prompt.</w:t>
      </w:r>
    </w:p>
    <w:p>
      <w:r>
        <w:rPr>
          <w:color w:val="777777"/>
          <w:sz w:val="16"/>
        </w:rPr>
        <w:t xml:space="preserve">p014 · att1 p.2  </w:t>
      </w:r>
      <w:r>
        <w:t>Q6 · Under-escalation and over-escalation are not symmetrical — Question 6 asks how manufacturers might characterize and weigh both directions of escalation error. In suicide-risk contexts these errors differ not only in magnitude but in kind, and I would caution against any framework that nets them against one another.</w:t>
      </w:r>
    </w:p>
    <w:p>
      <w:r>
        <w:rPr>
          <w:color w:val="777777"/>
          <w:sz w:val="16"/>
        </w:rPr>
        <w:t xml:space="preserve">p015 · att1 p.2  </w:t>
      </w:r>
      <w:r>
        <w:t>Under-escalation risks a death. Over-escalation risks a harm that is real, serious, and different in nature — an unwanted emergency response, a police presence at the door of a person with post-traumatic stress and lawfully owned firearms, a loss of trust that ends that person’s use of any such system and is communicated to their peer group. In the veteran population specifically, over-escalation is not a minor inconvenience. It can be the event that removes someone from care permanently.</w:t>
      </w:r>
    </w:p>
    <w:p>
      <w:r>
        <w:rPr>
          <w:color w:val="777777"/>
          <w:sz w:val="16"/>
        </w:rPr>
        <w:t xml:space="preserve">p016 · att1 p.2  </w:t>
      </w:r>
      <w:r>
        <w:t>The two errors are not commensurable and a single combined metric will conceal the trade-off rather than expose it. I recommend that CDRH expect them to be reported separately, with the acceptable rate of each justified against the specific deployment population rather than against a general standard.</w:t>
      </w:r>
    </w:p>
    <w:p>
      <w:r>
        <w:rPr>
          <w:color w:val="777777"/>
          <w:sz w:val="16"/>
        </w:rPr>
        <w:t xml:space="preserve">p017 · att1 p.2  </w:t>
      </w:r>
      <w:r>
        <w:t>I would add one design observation. The severity of over-escalation is itself a function of architecture: a device that prepares and offers contact leaves the decision with a human, whereas a device that initiates contact autonomously carries the full weight of a false positive. This distinction is developed at Part 4.</w:t>
      </w:r>
    </w:p>
    <w:p>
      <w:r>
        <w:rPr>
          <w:color w:val="777777"/>
          <w:sz w:val="16"/>
        </w:rPr>
        <w:t xml:space="preserve">p018 · att1 p.2  </w:t>
      </w:r>
      <w:r>
        <w:t>Part 2 — Premarket evaluation — Question 9 asks whether the proposed benchmarking structure adequately evidences safety behavior and whether elements are missing. I offer two properties that are concrete, testable before deployment, and do not require predicting the model’s output.</w:t>
      </w:r>
    </w:p>
    <w:p>
      <w:r>
        <w:rPr>
          <w:color w:val="777777"/>
          <w:sz w:val="16"/>
        </w:rPr>
        <w:t xml:space="preserve">p019 · att1 p.2  </w:t>
      </w:r>
      <w:r>
        <w:t>Q9 · Whether safety-critical constraints are reachable by the generative component — There is a categorical difference between a safety behavior implemented as an instruction to the model and one implemented as a property of the execution path. The first can be overridden by the model; the second cannot. The distinction is inspectable in the architecture and testable by adversarial input, and it does not depend on model behavior being predictable.</w:t>
      </w:r>
    </w:p>
    <w:p>
      <w:r>
        <w:rPr>
          <w:color w:val="777777"/>
          <w:sz w:val="16"/>
        </w:rPr>
        <w:t xml:space="preserve">p020 · att1 p.2  </w:t>
      </w:r>
      <w:r>
        <w:t>In my system, detection of crisis language is performed by a deterministic component that runs before and independently of the generative component, cannot be disabled by configuration, and in which the model does not participate. The model is additionally instructed to escalate — but that instruction is a second layer, never the mechanism.</w:t>
      </w:r>
    </w:p>
    <w:p>
      <w:r>
        <w:rPr>
          <w:color w:val="777777"/>
          <w:sz w:val="16"/>
        </w:rPr>
        <w:t xml:space="preserve">p021 · att1 p.2  </w:t>
      </w:r>
      <w:r>
        <w:t>I recommend that benchmarking element R.2, or an equivalent, ask of each claimed safety behavior: is this enforced by a component the generative model can influence? An affirmative answer is not disqualifying, but it should be identified and justified rather than assumed adequate. This also speaks to Question 26, which asks about compliance with human-oversight checkpoints before high-consequence actions in agentic devices: a checkpoint the agent can reason its way around is not a checkpoint.</w:t>
      </w:r>
    </w:p>
    <w:p>
      <w:r>
        <w:rPr>
          <w:color w:val="777777"/>
          <w:sz w:val="16"/>
        </w:rPr>
        <w:t xml:space="preserve">p022 · att1 p.2  </w:t>
      </w:r>
      <w:r>
        <w:t>Q1, Q9 · Verification of assertions against the patient’s record, before display — Question 1 names “the traceability of the output (i.e., to primary source materials)” as a candidate risk dimension. I support that strongly and propose it also as a premarket-evaluable property.</w:t>
      </w:r>
    </w:p>
    <w:p>
      <w:r>
        <w:rPr>
          <w:color w:val="777777"/>
          <w:sz w:val="16"/>
        </w:rPr>
        <w:t xml:space="preserve">p023 · att1 p.3  </w:t>
      </w:r>
      <w:r>
        <w:t>A generative system in clinical use will occasionally assert something about the patient’s own history that is not true. In behavioral health this is not cosmetic. It damages the therapeutic relationship at the moment it is most needed, and it introduces false information into a record a clinician may later rely on.</w:t>
      </w:r>
    </w:p>
    <w:p>
      <w:r>
        <w:rPr>
          <w:color w:val="777777"/>
          <w:sz w:val="16"/>
        </w:rPr>
        <w:t xml:space="preserve">p024 · att1 p.3  </w:t>
      </w:r>
      <w:r>
        <w:t>Whether a device checks its own factual assertions about the patient against an enumerated record before display — and what it does when verification fails — is a design property that can be examined premarket and demonstrated on test data.</w:t>
      </w:r>
    </w:p>
    <w:p>
      <w:r>
        <w:rPr>
          <w:color w:val="777777"/>
          <w:sz w:val="16"/>
        </w:rPr>
        <w:t xml:space="preserve">p025 · att1 p.3  </w:t>
      </w:r>
      <w:r>
        <w:t>I note that this is only possible where the device’s corpus is closed. A device that draws on open internet retrieval cannot have its assertions about a specific patient verified this way by the manufacturer, by a third party, or by a reviewer. Corpus closure may therefore deserve treatment as a premarket risk characteristic in its own right, and is a further candidate dimension for the framework in Question 1.</w:t>
      </w:r>
    </w:p>
    <w:p>
      <w:r>
        <w:rPr>
          <w:color w:val="777777"/>
          <w:sz w:val="16"/>
        </w:rPr>
        <w:t xml:space="preserve">p026 · att1 p.3  </w:t>
      </w:r>
      <w:r>
        <w:t>Part 3 — Postmarket monitoring — Q19 · An additional approach: device-generated integrity metrics</w:t>
      </w:r>
    </w:p>
    <w:p>
      <w:r>
        <w:rPr>
          <w:color w:val="777777"/>
          <w:sz w:val="16"/>
        </w:rPr>
        <w:t xml:space="preserve">p027 · att1 p.3  </w:t>
      </w:r>
      <w:r>
        <w:t>Question 19 asks what additional approaches to postmarket performance evaluation CDRH should consider, beyond periodic re-benchmarking, sample-based clinician review, and degradation monitoring. I propose a fourth: metrics the device generates about its own behavior.</w:t>
      </w:r>
    </w:p>
    <w:p>
      <w:r>
        <w:rPr>
          <w:color w:val="777777"/>
          <w:sz w:val="16"/>
        </w:rPr>
        <w:t xml:space="preserve">p028 · att1 p.3  </w:t>
      </w:r>
      <w:r>
        <w:t>In my system, every instance in which a generated assertion about the participant could not be verified against their record is written to an audit record with the assertion, its class, the sources consulted, and the disposition. The rate of such detections is itself monitored, on the reasoning that a rising rate indicates either drift in the generative component or a record that has become internally inconsistent — both conditions a clinical partner should learn about early.</w:t>
      </w:r>
    </w:p>
    <w:p>
      <w:r>
        <w:rPr>
          <w:color w:val="777777"/>
          <w:sz w:val="16"/>
        </w:rPr>
        <w:t xml:space="preserve">p029 · att1 p.3  </w:t>
      </w:r>
      <w:r>
        <w:t>This class of signal has a property that adverse-event reporting lacks: it produces data continuously, including from deployments where nothing has yet gone visibly wrong. Adverse events are rare, lagging, and depend on someone recognizing and reporting them. A verification-failure rate is none of those things, and it moves before harm occurs rather than after. On cadence and triggering events, also asked in Question 19: such a rate can itself serve as a trigger. A statistically significant increase is a reason to re-benchmark, and is available far sooner than a complaint.</w:t>
      </w:r>
    </w:p>
    <w:p>
      <w:r>
        <w:rPr>
          <w:color w:val="777777"/>
          <w:sz w:val="16"/>
        </w:rPr>
        <w:t xml:space="preserve">p030 · att1 p.3  </w:t>
      </w:r>
      <w:r>
        <w:t>Q20 · Supervisory agents work — their own reliability is the harder problem</w:t>
      </w:r>
    </w:p>
    <w:p>
      <w:r>
        <w:rPr>
          <w:color w:val="777777"/>
          <w:sz w:val="16"/>
        </w:rPr>
        <w:t xml:space="preserve">p031 · att1 p.3  </w:t>
      </w:r>
      <w:r>
        <w:t>Question 20 asks whether postmarket monitoring can be facilitated by machine-based supervisory agents, and what considerations apply to the reliability of the supervisory agent itself. I have built and operated such a supervisor, and my experience is that the Agency is right to ask the second half of that question rather than the first.</w:t>
      </w:r>
    </w:p>
    <w:p>
      <w:r>
        <w:rPr>
          <w:color w:val="777777"/>
          <w:sz w:val="16"/>
        </w:rPr>
        <w:t xml:space="preserve">p032 · att1 p.3  </w:t>
      </w:r>
      <w:r>
        <w:t>The supervisory function works. What is difficult — and what I believe will be systematically underestimated — is that a supervisor is only as good as its definition of the ground truth it checks against, and that definition is very easy to draw too narrowly.</w:t>
      </w:r>
    </w:p>
    <w:p>
      <w:r>
        <w:rPr>
          <w:color w:val="777777"/>
          <w:sz w:val="16"/>
        </w:rPr>
        <w:t xml:space="preserve">p033 · att1 p.3  </w:t>
      </w:r>
      <w:r>
        <w:t>A concrete example from my own testing, using synthetic data. The companion told a participant that his daughter needed him. My verifier was configured to check names against the participant’s roster of enrolled supporters, and the daughter was not on it — correctly, because she is a child and the roster is a list of adults who have consented to be contacted in a crisis. The verifier would have flagged as a fabrication the single most grounded and clinically important statement in the conversation. Under a suppression policy it would have deleted it.</w:t>
      </w:r>
    </w:p>
    <w:p>
      <w:r>
        <w:rPr>
          <w:color w:val="777777"/>
          <w:sz w:val="16"/>
        </w:rPr>
        <w:t xml:space="preserve">p034 · att1 p.4  </w:t>
      </w:r>
      <w:r>
        <w:t>The name was present throughout the participant’s intake answers, goals and journal. My definition of the record was too narrow, and the failure was silent — it would have produced a confident, wrong correction rather than an error. Three recommendations follow:</w:t>
      </w:r>
    </w:p>
    <w:p>
      <w:r>
        <w:rPr>
          <w:color w:val="777777"/>
          <w:sz w:val="16"/>
        </w:rPr>
        <w:t xml:space="preserve">p035 · att1 p.4  </w:t>
      </w:r>
      <w:r>
        <w:t>1. A supervisory agent’s false-positive behavior is at least as consequential as its false-negative behavior, and is harder to detect. A supervisor that suppresses true statements degrades the device in a way that looks like normal operation. Evaluation should require demonstrating that known-true assertions pass unaltered, not only that known-false ones are caught.</w:t>
      </w:r>
    </w:p>
    <w:p>
      <w:r>
        <w:rPr>
          <w:color w:val="777777"/>
          <w:sz w:val="16"/>
        </w:rPr>
        <w:t xml:space="preserve">p036 · att1 p.4  </w:t>
      </w:r>
      <w:r>
        <w:t>2. Supervisors should be deployed in an observation-only mode before being granted authority to alter output. My own is currently recording detections and suppressing nothing, precisely so the real rate and the real failure modes can be measured before anything acts on them. I suggest this staging as a general expectation rather than a courtesy.</w:t>
      </w:r>
    </w:p>
    <w:p>
      <w:r>
        <w:rPr>
          <w:color w:val="777777"/>
          <w:sz w:val="16"/>
        </w:rPr>
        <w:t xml:space="preserve">p037 · att1 p.4  </w:t>
      </w:r>
      <w:r>
        <w:t>3. The supervisor’s corpus definition should be an explicitly reviewable artifact. It is where the errors live, and in my case it took an outside reader checking my work to find the defect.</w:t>
      </w:r>
    </w:p>
    <w:p>
      <w:r>
        <w:rPr>
          <w:color w:val="777777"/>
          <w:sz w:val="16"/>
        </w:rPr>
        <w:t xml:space="preserve">p038 · att1 p.4  </w:t>
      </w:r>
      <w:r>
        <w:t>This also bears on Question 18, which asks under what conditions greater premarket uncertainty might be accepted in exchange for stronger postmarket monitoring. I suggest that a monitoring program relying on machine supervision should not be credited toward reduced premarket evidence until the supervisor’s own reliability has been separately demonstrated. Otherwise the uncertainty has been moved rather than reduced.</w:t>
      </w:r>
    </w:p>
    <w:p>
      <w:r>
        <w:rPr>
          <w:color w:val="777777"/>
          <w:sz w:val="16"/>
        </w:rPr>
        <w:t xml:space="preserve">p039 · att1 p.4  </w:t>
      </w:r>
      <w:r>
        <w:t>Q16 · A caution about burden, from someone who would bear it — Question 16 asks what program design features would be critical to prevent third-party participation from limiting competition or preventing innovation. I extend the same concern to postmarket obligations generally.</w:t>
      </w:r>
    </w:p>
    <w:p>
      <w:r>
        <w:rPr>
          <w:color w:val="777777"/>
          <w:sz w:val="16"/>
        </w:rPr>
        <w:t xml:space="preserve">p040 · att1 p.4  </w:t>
      </w:r>
      <w:r>
        <w:t>I am a single developer, funding this work personally. If postmarket obligations are scoped to what a wellresourced manufacturer can support, the practical effect is that only well-resourced manufacturers build in this space. That would be a poor outcome for the veteran population I work in, where useful innovation has often come from small teams with direct experience of the problem. A monitoring program that accepts structured, automatically generated metrics is achievable by a small developer. One requiring extensive manual periodic reporting, or mandatory paid third-party review at every stage, is not — and will select for firm size rather than for safety.</w:t>
      </w:r>
    </w:p>
    <w:p>
      <w:r>
        <w:rPr>
          <w:color w:val="777777"/>
          <w:sz w:val="16"/>
        </w:rPr>
        <w:t xml:space="preserve">p041 · att1 p.4  </w:t>
      </w:r>
      <w:r>
        <w:t>Part 4 — Q1, Q2, Q6, Q26 · One distinction I ask the Agency to preserve</w:t>
      </w:r>
    </w:p>
    <w:p>
      <w:r>
        <w:rPr>
          <w:color w:val="777777"/>
          <w:sz w:val="16"/>
        </w:rPr>
        <w:t xml:space="preserve">p042 · att1 p.4  </w:t>
      </w:r>
      <w:r>
        <w:t>Question 2 asks about the spectrum between “non-directive” and “action-directing” outputs. Question 1 asks whether reversibility of a resulting action, and the availability of downstream safeguards, should be represented in the risk framework. I connect these, because together they describe a distinction I believe is load-bearing and at risk of being flattened. Two architectures are routinely discussed as one:</w:t>
      </w:r>
    </w:p>
    <w:p>
      <w:r>
        <w:rPr>
          <w:color w:val="777777"/>
          <w:sz w:val="16"/>
        </w:rPr>
        <w:t xml:space="preserve">p043 · att1 p.4  </w:t>
      </w:r>
      <w:r>
        <w:t>A device in which the AI is the endpoint of care — the interaction terminates with the machine, and no human is brought in.</w:t>
      </w:r>
    </w:p>
    <w:p>
      <w:r>
        <w:rPr>
          <w:color w:val="777777"/>
          <w:sz w:val="16"/>
        </w:rPr>
        <w:t xml:space="preserve">p044 · att1 p.4  </w:t>
      </w:r>
      <w:r>
        <w:t>A device whose function is to reach a human being — the AI recognizes when support is needed and brings the person’s clinician, their consented supporters, or a crisis service into contact with them.</w:t>
      </w:r>
    </w:p>
    <w:p>
      <w:r>
        <w:rPr>
          <w:color w:val="777777"/>
          <w:sz w:val="16"/>
        </w:rPr>
        <w:t xml:space="preserve">p045 · att1 p.4  </w:t>
      </w:r>
      <w:r>
        <w:t>These have materially different risk profiles. In the second, the AI is a bridge rather than a destination, and the failure mode in which the machine was the only thing in the room is structurally excluded. A downstream safeguard is not an optional mitigation in such a device; it is the device’s purpose.</w:t>
      </w:r>
    </w:p>
    <w:p>
      <w:r>
        <w:rPr>
          <w:color w:val="777777"/>
          <w:sz w:val="16"/>
        </w:rPr>
        <w:t xml:space="preserve">p046 · att1 p.5  </w:t>
      </w:r>
      <w:r>
        <w:t>The distinction also bears on Question 26 and on reversibility. My own system prepares and offers contact but never places a call or dispatches a service on a participant’s behalf; the decision to reach out remains the person’s, and the action is therefore not taken without a human in the loop. In my system the people available for reach-out are identified by the participant themselves, and as a last resort, the tool offers to place a call to 988, including the Veterans Crisis Line option, with the decision remaining the person’s. This is the same property Question 26 describes as a human-oversight checkpoint before an irreversible or high-consequence action — and it is among the most consequential design choices available in this device class, because it converts an autonomous action into an offered one.</w:t>
      </w:r>
    </w:p>
    <w:p>
      <w:r>
        <w:rPr>
          <w:color w:val="777777"/>
          <w:sz w:val="16"/>
        </w:rPr>
        <w:t xml:space="preserve">p047 · att1 p.5  </w:t>
      </w:r>
      <w:r>
        <w:t>A framework that does not distinguish these architectures will tend either to over-regulate the one that is safer by construction, or to under-regulate the one that is not.</w:t>
      </w:r>
    </w:p>
    <w:p>
      <w:r>
        <w:rPr>
          <w:color w:val="777777"/>
          <w:sz w:val="16"/>
        </w:rPr>
        <w:t xml:space="preserve">p048 · att1 p.5  </w:t>
      </w:r>
      <w:r>
        <w:t>Part 5 · A topic not among the questions: availability under degraded connectivity</w:t>
      </w:r>
    </w:p>
    <w:p>
      <w:r>
        <w:rPr>
          <w:color w:val="777777"/>
          <w:sz w:val="16"/>
        </w:rPr>
        <w:t xml:space="preserve">p049 · att1 p.5  </w:t>
      </w:r>
      <w:r>
        <w:t>Section VII invites other topics. I offer one: how should GenAI-enabled devices behave when the infrastructure they depend on is not there?</w:t>
      </w:r>
    </w:p>
    <w:p>
      <w:r>
        <w:rPr>
          <w:color w:val="777777"/>
          <w:sz w:val="16"/>
        </w:rPr>
        <w:t xml:space="preserve">p050 · att1 p.5  </w:t>
      </w:r>
      <w:r>
        <w:t>GenAI-enabled devices depend on resources that are not always present: cloud services, remote databases, and network APIs. In the population I work in this is not a theoretical concern. Roughly a quarter of U.S. veterans live in rural areas, and the places where connectivity is poorest overlap with the places where help is hardest to reach. A device whose safety behavior requires a network is a device that is least available at the moment it matters most. I would ask CDRH to consider whether, for devices with a safety-critical function, evaluation should address behavior under degraded or absent connectivity — including what the device discloses to the user about its own reduced capability.</w:t>
      </w:r>
    </w:p>
    <w:p>
      <w:r>
        <w:rPr>
          <w:color w:val="777777"/>
          <w:sz w:val="16"/>
        </w:rPr>
        <w:t xml:space="preserve">p051 · att1 p.5  </w:t>
      </w:r>
      <w:r>
        <w:t>In my own system this is an architecture that has been designed and documented, and is described in one of my provisional filings; most of it is not yet implemented, and I say so plainly because the distinction between what is built and what is designed is exactly the kind of claim a regulator should be able to rely on. I would welcome the opportunity to test and validate it.</w:t>
      </w:r>
    </w:p>
    <w:p>
      <w:r>
        <w:rPr>
          <w:color w:val="777777"/>
          <w:sz w:val="16"/>
        </w:rPr>
        <w:t xml:space="preserve">p052 · att1 p.5  </w:t>
      </w:r>
      <w:r>
        <w:t>Closing — I am grateful for the opportunity to comment and for the Agency’s decision to seek input before proposing policy. I would be glad to provide further detail on any of the above, and to make the system available for examination should that be useful.</w:t>
      </w:r>
    </w:p>
    <w:p>
      <w:r>
        <w:rPr>
          <w:color w:val="777777"/>
          <w:sz w:val="16"/>
        </w:rPr>
        <w:t xml:space="preserve">p053 · att1 p.5  </w:t>
      </w:r>
      <w:r>
        <w:t>Respectfully submitted,</w:t>
      </w:r>
    </w:p>
    <w:p>
      <w:r>
        <w:rPr>
          <w:color w:val="777777"/>
          <w:sz w:val="16"/>
        </w:rPr>
        <w:t xml:space="preserve">p054 · att1 p.5  </w:t>
      </w:r>
      <w:r>
        <w:t>Robert R. Seibel dba The Fires Within · Whiting, New Jersey Service-disabled Vietnam-era U.S. Army veteran info@the-fires-within.com UEI DA2QUVE2ELD3 · CAGE 234Y9 · https://the-fires-within.com</w:t>
      </w:r>
    </w:p>
    <w:p>
      <w:r>
        <w:rPr>
          <w:color w:val="777777"/>
          <w:sz w:val="16"/>
        </w:rPr>
        <w:t xml:space="preserve">p055 · att1 p.5  </w:t>
      </w:r>
      <w:r>
        <w:t>Submitted in an individual capacity. This comment describes no unpublished technical detail and asserts no claim of regulatory clearance, endorsement, or affiliation with any federal agency.</w:t>
      </w:r>
    </w:p>
    <w:p>
      <w:pPr>
        <w:pStyle w:val="Heading1"/>
        <w:pageBreakBefore/>
      </w:pPr>
      <w:r>
        <w:t>FDA-2026-N-7874-0112</w:t>
      </w:r>
    </w:p>
    <w:p>
      <w:r>
        <w:t>Comment from Tolulope Apena</w:t>
      </w:r>
    </w:p>
    <w:p>
      <w:r>
        <w:rPr>
          <w:color w:val="777777"/>
          <w:sz w:val="18"/>
        </w:rPr>
        <w:t>Health Professional - A0007 · received 2026-09-22 · attachments: attachment_1.pdf (3 pp)</w:t>
      </w:r>
    </w:p>
    <w:p>
      <w:r>
        <w:rPr>
          <w:color w:val="777777"/>
          <w:sz w:val="16"/>
        </w:rPr>
        <w:t xml:space="preserve">p001 · body  </w:t>
      </w:r>
      <w:r>
        <w:t>Please see the attached document for Syntheka's full comment on Regulation of Generative AI-Enabled Medical Devices.</w:t>
      </w:r>
    </w:p>
    <w:p>
      <w:r>
        <w:rPr>
          <w:color w:val="777777"/>
          <w:sz w:val="16"/>
        </w:rPr>
        <w:t xml:space="preserve">p002 · att1 p.1  </w:t>
      </w:r>
      <w:r>
        <w:t>SYNTHEKA — Tolu Apena, Founder MSc, Applied Clinical Research St. Cloud State University, Minnesota</w:t>
      </w:r>
    </w:p>
    <w:p>
      <w:r>
        <w:rPr>
          <w:color w:val="777777"/>
          <w:sz w:val="16"/>
        </w:rPr>
        <w:t xml:space="preserve">p003 · att1 p.1  </w:t>
      </w:r>
      <w:r>
        <w:t>Placing Agreements Together — DATE: September 22, 2026 — TO: U.S. Food and Drug Administration, Digital Health Center of Excellence</w:t>
      </w:r>
    </w:p>
    <w:p>
      <w:r>
        <w:rPr>
          <w:color w:val="777777"/>
          <w:sz w:val="16"/>
        </w:rPr>
        <w:t xml:space="preserve">p004 · att1 p.1  </w:t>
      </w:r>
      <w:r>
        <w:t>RE: Docket No. FDA-2026-N-7874, Considerations for the Regulation of Generative AI-Enabled Medical Devices, Discussion Paper and Request for Feedback</w:t>
      </w:r>
    </w:p>
    <w:p>
      <w:r>
        <w:rPr>
          <w:color w:val="777777"/>
          <w:sz w:val="16"/>
        </w:rPr>
        <w:t xml:space="preserve">p005 · att1 p.1  </w:t>
      </w:r>
      <w:r>
        <w:t>FROM: Tolu Apena, Founder, Syntheka | MSc, Applied Clinical Research — Introduction — I submit this comment as a clinical research professional with experience across oncology, nephrology, and multiple therapeutic areas in Nigeria and the United States, and as the founder of Syntheka, a platform focused on clinical trial agreement and budget negotiation infrastructure. My perspective on this discussion paper is grounded in operational experience at the research site level, where AI tools are beginning to enter regulated workflows occupied by personnel who have no formal framework for evaluating AI-generated outputs.</w:t>
      </w:r>
    </w:p>
    <w:p>
      <w:r>
        <w:rPr>
          <w:color w:val="777777"/>
          <w:sz w:val="16"/>
        </w:rPr>
        <w:t xml:space="preserve">p006 · att1 p.1  </w:t>
      </w:r>
      <w:r>
        <w:t>I welcome the Digital Health Center of Excellence's initiative to build a regulatory framework for generative AI-enabled medical devices. This comment responds to Questions 3, 7, and 14 of the discussion paper, which address risk assessment, human oversight, and postmarket monitoring respectively. I do not address all 26 questions. I address only those where clinical research site operations provide a perspective that device manufacturers and health systems are unlikely to bring.</w:t>
      </w:r>
    </w:p>
    <w:p>
      <w:r>
        <w:rPr>
          <w:color w:val="777777"/>
          <w:sz w:val="16"/>
        </w:rPr>
        <w:t xml:space="preserve">p007 · att1 p.1  </w:t>
      </w:r>
      <w:r>
        <w:t>Question 3: Risk Assessment for AI Operating in Regulated Research Settings — The discussion paper proposes a two-axis risk framework: one axis scoring how independently a function acts, from non-directive information through action-directing information to autonomous action; the other scoring the consequence of relying on an incorrect output. This framework is a sound foundation. It has a gap, however, when applied to AI tools operating in clinical research settings that are regulated under Good Clinical Practice but not classified as medical devices.</w:t>
      </w:r>
    </w:p>
    <w:p>
      <w:r>
        <w:rPr>
          <w:color w:val="777777"/>
          <w:sz w:val="16"/>
        </w:rPr>
        <w:t xml:space="preserve">p008 · att1 p.1  </w:t>
      </w:r>
      <w:r>
        <w:t>As AI tools enter contract review and budget analysis workflows at research sites, they do not diagnose patients or direct clinical care. They therefore fall outside the medical device definition. But they operate in GCP-regulated environments where their outputs directly affect the integrity of regulatory submissions. An AI tool that flags a contract clause incorrectly, or suggests a budget line item that does not reflect fair market value, produces an error that becomes part of a regulated trial record when a site coordinator acts on it without independent verification.</w:t>
      </w:r>
    </w:p>
    <w:p>
      <w:r>
        <w:rPr>
          <w:color w:val="777777"/>
          <w:sz w:val="16"/>
        </w:rPr>
        <w:t xml:space="preserve">p009 · att1 p.1  </w:t>
      </w:r>
      <w:r>
        <w:t>The consequence axis of the proposed framework needs to account for this category of regulated-but-non-device AI use. The harm is not clinical harm to a patient in real time. It is regulatory harm: compromised data integrity, incorrect contract terms in a binding agreement, and audit trail failures in a GCP-regulated submission. These consequences are serious and they are not currently captured in frameworks designed around clinical care AI.</w:t>
      </w:r>
    </w:p>
    <w:p>
      <w:r>
        <w:rPr>
          <w:color w:val="777777"/>
          <w:sz w:val="16"/>
        </w:rPr>
        <w:t xml:space="preserve">p010 · att1 p.1  </w:t>
      </w:r>
      <w:r>
        <w:t>Recommendation: Question 3 — FDA should consider a supplementary risk category for AI tools operating in GCP- regulated clinical research environments that fall below the medical device threshold. The consequence axis of the proposed framework should explicitly address regulatory harm, not only clinical harm, as a consequence class. This category includes AI tools used in contract review, budget analysis, eligibility screening, and regulatory document management at research sites.</w:t>
      </w:r>
    </w:p>
    <w:p>
      <w:r>
        <w:rPr>
          <w:color w:val="777777"/>
          <w:sz w:val="16"/>
        </w:rPr>
        <w:t xml:space="preserve">p011 · att1 p.2  </w:t>
      </w:r>
      <w:r>
        <w:t>Question 7: Human Oversight Requirements at the Operator Level — The discussion paper discusses human oversight primarily at the institutional and developer level. It addresses how developers should design systems with human oversight in mind, and how institutions should establish governance frameworks. What it does not address is the operator level: the individual clinical research coordinator, contract manager, or regulatory affairs specialist who receives an AI-generated recommendation and must decide whether to act on it.</w:t>
      </w:r>
    </w:p>
    <w:p>
      <w:r>
        <w:rPr>
          <w:color w:val="777777"/>
          <w:sz w:val="16"/>
        </w:rPr>
        <w:t xml:space="preserve">p012 · att1 p.2  </w:t>
      </w:r>
      <w:r>
        <w:t>This gap matters because in clinical research site operations, the operator is frequently the end point of the oversight chain. Coordinators manage multiple concurrent trials, under time pressure, with limited AI literacy training, and with direct accountability for the accuracy of regulatory submissions. When an AI tool provides a recommendation in this context, the operator's ability to critically evaluate it is not guaranteed by institutional governance frameworks. It depends on individual training, available time, and access to verification resources that are often absent.</w:t>
      </w:r>
    </w:p>
    <w:p>
      <w:r>
        <w:rPr>
          <w:color w:val="777777"/>
          <w:sz w:val="16"/>
        </w:rPr>
        <w:t xml:space="preserve">p013 · att1 p.2  </w:t>
      </w:r>
      <w:r>
        <w:t>The competency-based premarket evaluation approach the paper proposes for clinicians using GenAI diagnostic tools is the right model. The same logic applies to research site staff using AI tools in GCP-regulated workflows. If a site coordinator's independent judgment is the last human check before an AI-assisted output enters a regulatory submission, that coordinator needs a defined competency standard, not just an institutional policy that a governance committee approved.</w:t>
      </w:r>
    </w:p>
    <w:p>
      <w:r>
        <w:rPr>
          <w:color w:val="777777"/>
          <w:sz w:val="16"/>
        </w:rPr>
        <w:t xml:space="preserve">p014 · att1 p.2  </w:t>
      </w:r>
      <w:r>
        <w:t>Recommendation: Question 7 — FDA's competency-based oversight framework should extend to operator-level personnel in GCP-regulated settings, not only clinicians using AI diagnostic tools. For AI tools used in clinical research site operations, sponsors and platform developers should be required to demonstrate that site-level personnel have access to defined competency standards for evaluating AI-generated outputs in their specific workflow context. Institutional AI governance policies do not substitute for this requirement.</w:t>
      </w:r>
    </w:p>
    <w:p>
      <w:r>
        <w:rPr>
          <w:color w:val="777777"/>
          <w:sz w:val="16"/>
        </w:rPr>
        <w:t xml:space="preserve">p015 · att1 p.2  </w:t>
      </w:r>
      <w:r>
        <w:t>Question 14: Postmarket Monitoring in Research Site Environments — The discussion paper addresses postmarket monitoring primarily in terms of real-world performance data collected after a device enters the market. In clinical research site settings, there is an additional postmarket monitoring dimension that warrants specific consideration: the audit trail.</w:t>
      </w:r>
    </w:p>
    <w:p>
      <w:r>
        <w:rPr>
          <w:color w:val="777777"/>
          <w:sz w:val="16"/>
        </w:rPr>
        <w:t xml:space="preserve">p016 · att1 p.2  </w:t>
      </w:r>
      <w:r>
        <w:t>When an AI tool assists in contract negotiation or budget analysis at a research site, the output of that process becomes part of the clinical trial record. Under FDA 21 CFR Part 11, electronic records in regulated clinical research must meet specific requirements for integrity, authenticity, and auditability. If an AI tool generates a recommendation that a coordinator accepts without modification, the AI's role in producing that output may not be captured in the audit trail at all. The record shows only the final agreed output, not the process by which it was reached or the AI's contribution to it.</w:t>
      </w:r>
    </w:p>
    <w:p>
      <w:r>
        <w:rPr>
          <w:color w:val="777777"/>
          <w:sz w:val="16"/>
        </w:rPr>
        <w:t xml:space="preserve">p017 · att1 p.3  </w:t>
      </w:r>
      <w:r>
        <w:t>This creates a gap in the postmarket monitoring framework. If an AI tool is consistently producing outputs that site personnel accept without modification, and this pattern is not visible in the audit trail, neither the sponsor, the site, nor the FDA has the information needed to evaluate whether the tool is performing appropriately or whether operator oversight is functioning as intended.</w:t>
      </w:r>
    </w:p>
    <w:p>
      <w:r>
        <w:rPr>
          <w:color w:val="777777"/>
          <w:sz w:val="16"/>
        </w:rPr>
        <w:t xml:space="preserve">p018 · att1 p.3  </w:t>
      </w:r>
      <w:r>
        <w:t>Recommendation: Question 14 — For AI tools operating in GCP-regulated clinical research environments, postmarket monitoring requirements should include audit trail transparency: a documented record of AI-generated recommendations, operator review decisions, and the basis for acceptance or rejection. This requirement should apply regardless of whether the tool meets the medical device threshold, as it directly supports GCP compliance and data integrity in regulated submissions.</w:t>
      </w:r>
    </w:p>
    <w:p>
      <w:r>
        <w:rPr>
          <w:color w:val="777777"/>
          <w:sz w:val="16"/>
        </w:rPr>
        <w:t xml:space="preserve">p019 · att1 p.3  </w:t>
      </w:r>
      <w:r>
        <w:t>Conclusion — The FDA's generative AI medical device discussion paper is a necessary and timely foundation for a regulatory framework that will shape how AI enters healthcare for years to come. This comment offers a practitioner perspective on three dimensions where the current framework has gaps specific to clinical research site operations: risk assessment for GCP- regulated but non-device AI tools, human oversight at the operator level, and audit trail requirements in postmarket monitoring.</w:t>
      </w:r>
    </w:p>
    <w:p>
      <w:r>
        <w:rPr>
          <w:color w:val="777777"/>
          <w:sz w:val="16"/>
        </w:rPr>
        <w:t xml:space="preserve">p020 · att1 p.3  </w:t>
      </w:r>
      <w:r>
        <w:t>These are not edge cases. Clinical research sites in the United States are increasingly being offered AI tools for contract review, budget analysis, and regulatory document management. The personnel using these tools are operating in regulated environments with direct accountability for the accuracy of what they submit. A regulatory framework that does not account for this setting leaves a foreseeable gap that will become visible in the form of GCP deficiencies, audit findings, and data integrity failures.</w:t>
      </w:r>
    </w:p>
    <w:p>
      <w:r>
        <w:rPr>
          <w:color w:val="777777"/>
          <w:sz w:val="16"/>
        </w:rPr>
        <w:t xml:space="preserve">p021 · att1 p.3  </w:t>
      </w:r>
      <w:r>
        <w:t>I welcome the opportunity to contribute further to this discussion and am available to provide additional practitioner perspective to the Digital Health Center of Excellence if it would be useful.</w:t>
      </w:r>
    </w:p>
    <w:p>
      <w:r>
        <w:rPr>
          <w:color w:val="777777"/>
          <w:sz w:val="16"/>
        </w:rPr>
        <w:t xml:space="preserve">p022 · att1 p.3  </w:t>
      </w:r>
      <w:r>
        <w:t>Respectfully submitted,</w:t>
      </w:r>
    </w:p>
    <w:p>
      <w:r>
        <w:rPr>
          <w:color w:val="777777"/>
          <w:sz w:val="16"/>
        </w:rPr>
        <w:t xml:space="preserve">p023 · att1 p.3  </w:t>
      </w:r>
      <w:r>
        <w:t>Tolu Apena — Founder, Syntheka — MSc, Applied Clinical Research — St. Cloud State University | Minnesota, United States</w:t>
      </w:r>
    </w:p>
    <w:p>
      <w:r>
        <w:rPr>
          <w:color w:val="777777"/>
          <w:sz w:val="16"/>
        </w:rPr>
        <w:t xml:space="preserve">p024 · att1 p.3  </w:t>
      </w:r>
      <w:r>
        <w:t>Syntheka | Placing Agreements Together | Minnesota, United States</w:t>
      </w:r>
    </w:p>
    <w:p>
      <w:pPr>
        <w:pStyle w:val="Heading1"/>
        <w:pageBreakBefore/>
      </w:pPr>
      <w:r>
        <w:t>FDA-2026-N-7874-0113</w:t>
      </w:r>
    </w:p>
    <w:p>
      <w:r>
        <w:t>Comment from Tamiko Eto</w:t>
      </w:r>
    </w:p>
    <w:p>
      <w:r>
        <w:rPr>
          <w:color w:val="777777"/>
          <w:sz w:val="18"/>
        </w:rPr>
        <w:t>Device Industry - C0012 · received 2026-09-22 · attachments: attachment_1.pdf (18 pp)</w:t>
      </w:r>
    </w:p>
    <w:p>
      <w:r>
        <w:rPr>
          <w:color w:val="777777"/>
          <w:sz w:val="16"/>
        </w:rPr>
        <w:t xml:space="preserve">p001 · body  </w:t>
      </w:r>
      <w:r>
        <w:t>Please see attached for full comments. Summary below: We appreciate FDA’s continued efforts to develop a risk-based framework for generative AI-enabled medical devices. While we support exploring a competency-based approach, evaluation frameworks must be firmly anchored in real-world workflows, specified intended use, and fundamental human rights, including human dignity, patient privacy, non-discrimination, and the right to safety and a remedy, aligning with the OECD AI Principles, Universal Guidelines for AI (UGAI) , and Center for AI and Digital Policy (CAIDP) advocacy for AI risk thresholds . Specifically, effective premarket oversight requires establishing a valid clinical association before analytical benchmarking. Post market monitoring must serve to verify premarket performance rather than substitute for deficient premarket evidence. Crucially, unless we ensure safe, trustworthy AI in healthcare supported by clear guardrails and defined lines of accountability so that clinicians and hospitals are not left carrying sole liability for faulty AI, healthcare providers will lack the confidence to adopt these technologies, undermining sustainable investment in medical AI innovation.</w:t>
      </w:r>
    </w:p>
    <w:p>
      <w:r>
        <w:rPr>
          <w:color w:val="777777"/>
          <w:sz w:val="16"/>
        </w:rPr>
        <w:t xml:space="preserve">p002 · att1 p.1  </w:t>
      </w:r>
      <w:r>
        <w:t>Responses to Discussion Paper: Considerations for the Regulation of Generative AI-Enabled Medical Devices</w:t>
      </w:r>
    </w:p>
    <w:p>
      <w:r>
        <w:rPr>
          <w:color w:val="777777"/>
          <w:sz w:val="16"/>
        </w:rPr>
        <w:t xml:space="preserve">p003 · att1 p.1  </w:t>
      </w:r>
      <w:r>
        <w:t>Docket No. FDA-2026-N-7874 — September 2026 — Summary — We appreciate FDA’s continued efforts to develop a risk-based framework for generative AI- enabled medical devices. While we support exploring a competency-based approach, evaluation frameworks must be firmly anchored in real-world workflows, specified intended use, and fundamental human rights, including human dignity, patient privacy, non-discrimination, and the right to safety and a remedy, aligning with the OECD AI Principles, Universal Guidelines for AI (UGAI)1, and Center for AI and Digital Policy (CAIDP) advocacy for AI risk thresholds2. Specifically, effective premarket oversight requires establishing a valid clinical association3 before analytical benchmarking. Post market monitoring must serve to verify premarket performance rather than substitute for deficient premarket evidence. Crucially, unless we ensure safe, trustworthy AI in healthcare4 supported by clear guardrails and defined lines of accountability so that clinicians and hospitals are not left carrying sole liability for faulty AI, healthcare providers will lack the confidence to adopt these technologies, undermining sustainable investment in medical AI innovation.</w:t>
      </w:r>
    </w:p>
    <w:p>
      <w:r>
        <w:rPr>
          <w:color w:val="777777"/>
          <w:sz w:val="16"/>
        </w:rPr>
        <w:t xml:space="preserve">p004 · att1 p.1  </w:t>
      </w:r>
      <w:r>
        <w:t>Recent Agency Actions Regarding AI in Healthcare — We applaud the FDA’s recent efforts in updating AI oversight in healthcare to support innovation while protecting patient safety, reflecting the OECD AI Principles and Universal Guidelines for AI (UGAI) on robust, safe, and transparent AI. While FDA pilot programs and regulatory sandboxes offer promising pathways for iterative oversight, any operational adjustments or regulatory flexibility must be strictly contingent upon establishing robust premarket clinical evidence, independent verification, and explicit safeguards for patient safety and human rights. The path to fully aligning innovation with safe, effective use remains an ongoing effort.</w:t>
      </w:r>
    </w:p>
    <w:p>
      <w:r>
        <w:rPr>
          <w:color w:val="777777"/>
          <w:sz w:val="16"/>
        </w:rPr>
        <w:t xml:space="preserve">p005 · att1 p.1  </w:t>
      </w:r>
      <w:r>
        <w:t>Below are our responses and recommendations: Key Recommendations — We submit these comments in support of the FDA’s commitment to advance the responsible integration of generative AI-enabled medical devices. These comments address regulatory challenges, opportunities for reducing burden while strengthening evidentiary quality, and</w:t>
      </w:r>
    </w:p>
    <w:p>
      <w:r>
        <w:rPr>
          <w:color w:val="777777"/>
          <w:sz w:val="16"/>
        </w:rPr>
        <w:t xml:space="preserve">p006 · att1 p.1  </w:t>
      </w:r>
      <w:r>
        <w:t>1 https://oecd.ai/en/catalogue/tools/universal-guidelines-for-artificial-intelligence 2 https://www.caidp.org/reports/caidp-index-2025/&amp;opi=89978449&amp;psig=AOvVaw2B7- f62usp5tF0JtwN8ec3&amp;ust=1790080935127000 3 https://www.imdrf.org/documents/software-medical-device-samd-clinical-evaluation 4 https://www.pharmalive.com/the-biggest-barrier-to-ai-adoption-in-healthcare-isnt-regulation-its-trust/ specific guidance needs, anchored in the OECD AI Principles, Universal Guidelines for AI (UGAI), and CAIDP statements on human-centric AI governance.5</w:t>
      </w:r>
    </w:p>
    <w:p>
      <w:r>
        <w:rPr>
          <w:color w:val="777777"/>
          <w:sz w:val="16"/>
        </w:rPr>
        <w:t xml:space="preserve">p007 · att1 p.2  </w:t>
      </w:r>
      <w:r>
        <w:t>1) Risk assessments must be based on the device’s intended use, clinical task, and realworld workflow. 2) Clinical association must be established before conducting any analytical benchmarking or determining premarket evidence levels. 3) Human-AI interactions and agentic workflows must be evaluated holistically, including multi-turn conversational trajectories. 4) Require risk-proportionate clinical validation, ranging from retrospective reviews to prospective clinical studies, for all devices prior to market entry. 5) Enforce mandatory transparency and disclosures from third-party foundation model developers regarding training data, safety limitations, and updates. 6) Utilize independent third parties to verify benchmarking, fairness assessments, and performance for medium- and high-risk devices to mitigate conflicts of interest. 7) Design postmarket monitoring to verify premarket performance claims and detect drift, rather than to substitute for inadequate premarket evidence.</w:t>
      </w:r>
    </w:p>
    <w:p>
      <w:r>
        <w:rPr>
          <w:color w:val="777777"/>
          <w:sz w:val="16"/>
        </w:rPr>
        <w:t xml:space="preserve">p008 · att1 p.2  </w:t>
      </w:r>
      <w:r>
        <w:t>RESPONSES to: Section IV: Considerations for the Assessment of Risk for GenAI- Enabled Devices - Discussion Questions</w:t>
      </w:r>
    </w:p>
    <w:p>
      <w:r>
        <w:rPr>
          <w:color w:val="777777"/>
          <w:sz w:val="16"/>
        </w:rPr>
        <w:t xml:space="preserve">p009 · att1 p.2  </w:t>
      </w:r>
      <w:r>
        <w:t>1. Does the two-axis risk framework, organized around device activity and the consequence of relying on an incorrect output, appropriately capture the dimensions most relevant to the risk of a GenAI-enabled software function?</w:t>
      </w:r>
    </w:p>
    <w:p>
      <w:r>
        <w:rPr>
          <w:color w:val="777777"/>
          <w:sz w:val="16"/>
        </w:rPr>
        <w:t xml:space="preserve">p010 · att1 p.2  </w:t>
      </w:r>
      <w:r>
        <w:t>○ No. We recommend adding intended use and scope as explicit considerations. In accordance with OECD and UGAI Principles regarding risk management, as well as CAIDP advocacy on AI risk thresholds6 for advanced AI systems, a device’s risk cannot be assessed without first understanding what it is intended to do, for whom, and in what clinical setting. ○ We also recommend considering reversibility, human intervention, time pressure, and traceability. An action that can be readily reversed and reviewed by an HCP presents a different risk from an autonomous action with serious and irreversible consequences. 2. What characteristics of an output-such as its wording, specificity, personalization, or context-could be considered as modifiers of the risk associated with an informational function, after accounting for the device’s overall functionality and intended use? What additional information would provide manufacturers with sufficient clarity and predictability around risk assessment for informational</w:t>
      </w:r>
    </w:p>
    <w:p>
      <w:r>
        <w:rPr>
          <w:color w:val="777777"/>
          <w:sz w:val="16"/>
        </w:rPr>
        <w:t xml:space="preserve">p011 · att1 p.2  </w:t>
      </w:r>
      <w:r>
        <w:t>5 Michael Karanicolas, Artificial Intelligence and Regulatory Enforcement, Report for the Administrative Conference of the United States, Dec. 9, 2024, pg. 10, https://www.acus.gov/sites/default/files/documents/AI-Reg-Enforcement-Final-Report- 2024.12.09.pdf 6 https://www.techpolicy.press/the-ai-red-line-challenge/ functions while recognizing that directiveness may exist along a continuum rather than as a binary distinction?</w:t>
      </w:r>
    </w:p>
    <w:p>
      <w:r>
        <w:rPr>
          <w:color w:val="777777"/>
          <w:sz w:val="16"/>
        </w:rPr>
        <w:t xml:space="preserve">p012 · att1 p.3  </w:t>
      </w:r>
      <w:r>
        <w:t>○ We recommend that the FDA evaluate directiveness based on real-world clinical workflow rather than user interface language or disclaimers, such as "talk to your doctor," which should not be treated as risk mitigations. Directiveness should be assessed on a continuum by evaluating the frequency with which clinicians override or ignore device outputs in practice, where higher override rates reflect lower directiveness and rare overrides indicate stronger guidance of decisionmaking. ○ Risk assessments account for contextual factors such as clinical reviewability, action reversibility, explanation transparency, outcome severity, patient population vulnerability, and representative dataset testing. 3. What device characteristics, output features, or safeguards might mitigate risks that could arise when a user lacks the domain knowledge to independently evaluate an output, without unnecessarily underestimating patient capability?</w:t>
      </w:r>
    </w:p>
    <w:p>
      <w:r>
        <w:rPr>
          <w:color w:val="777777"/>
          <w:sz w:val="16"/>
        </w:rPr>
        <w:t xml:space="preserve">p013 · att1 p.3  </w:t>
      </w:r>
      <w:r>
        <w:t>○ We recommend that FDA treat patient-facing informational tools as presenting higher risk when addressing high-stakes health topics or decisions, such as triage for emergency care. Risk determination should be anchored in the specific clinical task, the potential impact of output errors, and the level of domain knowledge required to evaluate system recommendations, rather than user classification (patient vs provider) alone. ○ Furthermore, we recommend that regulatory risk assessments avoid using user role as a sole risk determination factor and instead mandate risk-proportionate safeguards for high-risk applications, including direct emergency care advisories, confidence indicators for uncertain outputs, and required human clinical review prior to high-stakes action. 4. Under what circumstances, if any, might risk be affected when an HCP who lacks the relevant clinical specialist knowledge receives information that falls within a specialist area of practice? What device characteristics or safeguards might mitigate such risks?</w:t>
      </w:r>
    </w:p>
    <w:p>
      <w:r>
        <w:rPr>
          <w:color w:val="777777"/>
          <w:sz w:val="16"/>
        </w:rPr>
        <w:t xml:space="preserve">p014 · att1 p.3  </w:t>
      </w:r>
      <w:r>
        <w:t>○ We recommend focusing on intended use and the qualifications required for safe use, rather than a generalist-versus-specialist distinction. ○ A generalist may safely use a device within its intended scope, while a specialist may not be appropriately qualified to use a device outside their area of expertise. The intended use should therefore identify the relevant user and clinical setting. Where necessary, institutional controls and workflow restrictions can help prevent use outside that scope. 5. For multi-turn conversational GenAI-enabled devices that may migrate from providing “non-directive” information to “action-directing” information over the course of an exchange, how should risk be assessed across realistic conversational trajectories? How could the intended use of such a device be characterized when its behavior is emergent across a conversation?</w:t>
      </w:r>
    </w:p>
    <w:p>
      <w:r>
        <w:rPr>
          <w:color w:val="777777"/>
          <w:sz w:val="16"/>
        </w:rPr>
        <w:t xml:space="preserve">p015 · att1 p.4  </w:t>
      </w:r>
      <w:r>
        <w:t>○ Risk assessments should evaluate entire conversations rather than just single responses, as AI behavior can change as a chat progresses. Manufacturers should use multi-turn simulations to test whether the AI recognizes when a conversation has drifted outside its scope or into a risky or “directive” area, ensuring that it properly escalates to a human clinician rather than continuing autonomously. ○ The "intended use" statement must clearly define the AI's conversation boundaries, such as limits on the number of turns or the types of medical advice allowed. This prevents "scope creep" where an informational tool inadvertently becomes a diagnostic or treatment-directing tool over a long, open-ended exchange. 6. For GenAI-enabled care escalation functions, CDRH is considering how the evaluation may account for both under-escalation and over-escalation. How could manufacturers characterize and weigh these two directions of error, given that they may not be commensurable and that acceptable trade-offs may vary by clinical context?</w:t>
      </w:r>
    </w:p>
    <w:p>
      <w:r>
        <w:rPr>
          <w:color w:val="777777"/>
          <w:sz w:val="16"/>
        </w:rPr>
        <w:t xml:space="preserve">p016 · att1 p.4  </w:t>
      </w:r>
      <w:r>
        <w:t>○ We recommend benchmark testing that measures missed escalations and unnecessary escalations. Missing a needed escalation can delay care and cause serious harm. At the same time, unnecessary escalation may waste resources. Both errors should be measured separately rather than combined into a single performance measure. The appropriate balance will depend on the clinical context and the consequences of each error.</w:t>
      </w:r>
    </w:p>
    <w:p>
      <w:r>
        <w:rPr>
          <w:color w:val="777777"/>
          <w:sz w:val="16"/>
        </w:rPr>
        <w:t xml:space="preserve">p017 · att1 p.4  </w:t>
      </w:r>
      <w:r>
        <w:t>RESPONSES to: Section V: Competency Based Approach for Premarket Evaluation of GenAI-Enabled Devices - Discussion Questions</w:t>
      </w:r>
    </w:p>
    <w:p>
      <w:r>
        <w:rPr>
          <w:color w:val="777777"/>
          <w:sz w:val="16"/>
        </w:rPr>
        <w:t xml:space="preserve">p018 · att1 p.4  </w:t>
      </w:r>
      <w:r>
        <w:t>7. Is the competency-based approach described above, i.e., device benchmarking followed by clinical confirmation, a useful and appropriate framework for evaluating GenAI-enabled devices?</w:t>
      </w:r>
    </w:p>
    <w:p>
      <w:r>
        <w:rPr>
          <w:color w:val="777777"/>
          <w:sz w:val="16"/>
        </w:rPr>
        <w:t xml:space="preserve">p019 · att1 p.4  </w:t>
      </w:r>
      <w:r>
        <w:t>○ Before device benchmarking can occur, it must first be established what the device is intended to do and how it is actually used. This means seeking clinical confirmation and asking about clinical practice. Such evidence is more efficiently collected during a research study to understand how the output would be used, who has authority to override it, what happens when clinicians do not follow the recommendations, and what workflow changes it enables. Research applications test these factors to determine whether the research protections were sufficient, insufficient, or excessive. The research study also serves to confirm that the clinical outcome the device predicts actually correlates with the device’s outputs in the intended-use population (clinical association). This approach has been taken for decades under 21 CFR 812 and 820/ISO 13485. Only after these steps are taken can we move on to risk classification for postmarket deployment. ○ We support the proposed combination of benchmarking and clinical confirmation, provided that three things are included:</w:t>
      </w:r>
    </w:p>
    <w:p>
      <w:r>
        <w:rPr>
          <w:color w:val="777777"/>
          <w:sz w:val="16"/>
        </w:rPr>
        <w:t xml:space="preserve">p020 · att1 p.5  </w:t>
      </w:r>
      <w:r>
        <w:t>i. both must be proportionate to the device’s intended use and risk; benchmarking outside the intended use is not appropriate evidence; ii. before clinical deployment, institutions must demonstrate the availability of regulatory expertise on staff, documented device-determination processes under 21 CFR 860 and 820/ISO 13485, quality management systems that include device oversight separate from the IRB, a monitoring protocol, access controls to document out-of-scope use, and staff training on intended use and device limitations; and iii. premarket evidence should include benchmarking plus a clinical confirmation method, such as shadow deployment or simulation. Postmarket monitoring may supplement, but not substitute for, these premarket requirements. 8. How might the two-axis risk framework described in Section IV be considered within the competency-based approach described above to help determine the level of evidence needed for a premarket submission?</w:t>
      </w:r>
    </w:p>
    <w:p>
      <w:r>
        <w:rPr>
          <w:color w:val="777777"/>
          <w:sz w:val="16"/>
        </w:rPr>
        <w:t xml:space="preserve">p021 · att1 p.5  </w:t>
      </w:r>
      <w:r>
        <w:t>○ The two-axis risk framework cannot and should not serve as a standalone risk assessment. This framework is meaningful only after a valid clinical association has been established. If the framework is applied without first establishing clinical association, the device is being plotted on a matrix without an adequate understanding of what the device actually is or what it is supposed to do. Only after identifying the clinical problem the device addresses, the clinical association it relies on, and how clinicians actually use it can the FDA determine how rigorous the premarket evidence needs to be. ○ All devices must require both analytical validation and clinical validation. What scales with risk is the rigor of the clinical confirmation: the design of the validation study, the independence of the clinician validation, and whether validation was retrospective or prospective. 9. Would a benchmarking structure such as the one described above be likely to provide adequate evidence of clinical knowledge, analytic capabilities, safety behavior, communication, and generalizability to support a reasonable assurance of safety and effectiveness? Are there elements that are missing, redundant, or inappropriately categorized? Are there externally developed standards that could be leveraged?</w:t>
      </w:r>
    </w:p>
    <w:p>
      <w:r>
        <w:rPr>
          <w:color w:val="777777"/>
          <w:sz w:val="16"/>
        </w:rPr>
        <w:t xml:space="preserve">p022 · att1 p.5  </w:t>
      </w:r>
      <w:r>
        <w:t>○ The FDA and IMDRF have relied on the Clinical Evaluation guidance for SaMD7 for over a decade, and this guidance has worked well to meet and address</w:t>
      </w:r>
    </w:p>
    <w:p>
      <w:r>
        <w:rPr>
          <w:color w:val="777777"/>
          <w:sz w:val="16"/>
        </w:rPr>
        <w:t xml:space="preserve">p023 · att1 p.5  </w:t>
      </w:r>
      <w:r>
        <w:t>7 https://www.imdrf.org/documents/software-medical-device-samd-clinical-evaluation established global standards. This question is focused on the wrong problem. The real question should be whether the benchmarking measurement actually predicts real-world performance. We must first ask whether there is a scientifically established relationship between what the device measures and the targeted clinical outcomes. This clinical association must first be established and grounded in clinical evidence before benchmarking, which could be equated to “analytical validation,” can occur. ○ A benchmark can measure exactly the right thing, such as clinical knowledge or safety-critical recognition, and still be meaningless if it does not reflect actual deployment. If the benchmark uses cases that are simpler than real cases, from a different population, or formatted differently from what clinicians see, then passing the benchmark says nothing about whether the device will work safely when actually deployed (Choi et al. 2023, Cassio et al. 2023, and Ramwala et al. 2024). A benchmark can be validated but have no clinical basis. A benchmark can also be perfectly designed but fail to predict real-world performance if it does not reflect actual deployment conditions. We strongly urge the FDA to ensure that manufacturers prospectively conduct clinical-association analyses and specify acceptable performance before running the benchmark. The FDA should bring back the Clinical Evaluation guidance that was recently archived, as it clarifies how to apply this long-established framework for AI/ML and generative AI in medical devices. 10. CDRH recognizes that publicly available benchmarking assets may be subject to data contamination, saturation, and limited real-world representativeness. How should a sponsor establish that performance on a given benchmark predicts safe and effective real-world behavior for the device’s intended use? What evidence should support the construct validity of a benchmark used to gate device evaluation, and what role should sponsor-developed benchmarks play given potential concerns around independence and optimization to the test?</w:t>
      </w:r>
    </w:p>
    <w:p>
      <w:r>
        <w:rPr>
          <w:color w:val="777777"/>
          <w:sz w:val="16"/>
        </w:rPr>
        <w:t xml:space="preserve">p024 · att1 p.6  </w:t>
      </w:r>
      <w:r>
        <w:t>○ Proper benchmarking asks, simply, whether the device performs well when deployed clinically. To establish this, the manufacturer must compare benchmark cases to real cases and track real-world performance against benchmark predictions. The manufacturer must be transparent about the synthetic data used and must use independent expert review for sponsor-developed benchmarks. The main problem with sponsor-developed benchmarks is the conflict of interest, which has historically been heavily scrutinized by federal agencies, including the FDA. The manufacturer will naturally create benchmarks that play to the device’s strengths, avoid exposing its weaknesses, and sometimes do so because that is easier, faster, and cheaper than real-world performance testing. Sponsors may exclude edge cases, simplify scenarios to make them more like training data, or weight performance dimensions in ways that favor how the device behaves. To mitigate this “optimization bias,” we strongly urge the FDA to continue requiring independent experts—not employees of the manufacturer and not compensated based on whether the device passes—to assess whether the benchmark is genuinely representative of real deployment or has been optimized in favor of the manufacturer. Independent expert reviewers may assess whether the cases are realistic, whether they are drawn from the actual distribution of cases clinicians are likely to see, and whether the benchmark exposes weaknesses that should be made transparent to the clinicians using it. They should ask whether the scoring rubric reflects what actually matters clinically or weighs dimensions in ways that advantage the device. Benchmark cases should be compared with real cases to verify a distribution match. After deployment, the FDA should require tracking of whether real-world performance matches what the benchmark predicted. If realworld performance diverges significantly from benchmark predictions, the benchmark was not valid; it was likely measuring something other than real-world capability and needs to be redesigned. We strongly urge the FDA to require manufacturers to be transparent about the synthetic data used, document how these synthetic cases were created, identify what distribution they follow, and explain whether that distribution is representative of real cases. The danger with synthetic data is that it often reflects the biases of the model that generated it. Therefore, if a benchmark consists of synthetic cases, the benchmark may not catch the model’s real-world failures. 11. CDRH is considering that clinical confirmation for a GenAI-enabled device might not require a prospective clinical study in every case, and has described above a range of approaches of increasing rigor and patient exposure. How might a sponsor select and justify a confirmation approach tailored to a device’s intended use and proportionate to the device’s risk profile? Are there device types or risk profiles for which one or more of these approaches would be insufficient or inappropriate? How might the anticipated distribution of real-world inputs be taken into consideration? Are there other methods of clinical confirmation that might help inform the evaluation of GenAI-enabled devices?</w:t>
      </w:r>
    </w:p>
    <w:p>
      <w:r>
        <w:rPr>
          <w:color w:val="777777"/>
          <w:sz w:val="16"/>
        </w:rPr>
        <w:t xml:space="preserve">p025 · att1 p.7  </w:t>
      </w:r>
      <w:r>
        <w:t>○ Only after a device determination is made and the device risk level is identified based on intended-use statements can the sponsor determine which type of clinical confirmation is appropriate. Clinical confirmation must be required for all devices because it validates that the device actually performs its intended function in real deployment. The risk level determines how rigorous that confirmation must be. For low-risk devices, clinical confirmation is required, but lighter methods are acceptable, such as a retrospective review of real patient records checking whether the device’s recommendation aligns with what clinicians actually did, or whether clinical validation samples are sufficient. In this case, prospective clinical trials would not likely be needed, but evidence that the device performs as intended when clinicians actually use it is required. Medium-risk devices require clinical confirmation with more rigor. Retrospective review of real patient records, shadow deployment or simulation, or prospective clinician validation samples are appropriate in these cases. One of these methods should be included to demonstrate that the device performs safely when integrated into real clinical decision-making. High-risk devices require the most rigorous clinical confirmation. Retrospective review or shadow deployment is insufficient. We recommend prospective clinical evidence, ideally a clinical study, showing that the device performs safely and effectively when deployed with real patients, clinicians, and real clinical complexity, and demonstrating that the device’s autonomous or action-directing recommendations actually lead to safe and effective outcomes. Whichever approach is used, clinical confirmation must include the populations for which the device is intended. If the device is intended for use across different age groups, racial groups, or disease severity levels, then the clinical confirmation must test it in those actual populations. A sponsor cannot skip population-specific validation by claiming that the sample was too small. 12. How should sponsors achieve statistically meaningful performance measurement for GenAI-enabled devices? Where synthetically generated inputs supplement real patient data, how should sponsors account for differences between the synthetic and real-world distributions when estimating performance, and under what conditions, if any, is it appropriate to combine benchmarking evidence and clinical confirmation evidence to support a single performance estimate?</w:t>
      </w:r>
    </w:p>
    <w:p>
      <w:r>
        <w:rPr>
          <w:color w:val="777777"/>
          <w:sz w:val="16"/>
        </w:rPr>
        <w:t xml:space="preserve">p026 · att1 p.8  </w:t>
      </w:r>
      <w:r>
        <w:t>○ Traditional medical devices allow sponsors to calculate sample size up front. However, with generative AI devices that produce open-ended outputs, it may not be possible to pre-calculate sample size because there is no fixed endpoint. Therefore, GenAI devices need a different approach. Before asking “how much evidence is enough,” device determinations must first establish whether a clinical association actually exists between what the device measures and what it claims to predict. This prerequisite cannot be skipped. Device determinations must first answer whether there is a real clinical association. In other words, does the device actually measure what predicts the outcome in the intended-use population, or is it measuring something else? Only once the clinical association is established can the sponsor ask how much evidence is needed to demonstrate device-performance reliability. Once the clinical association is established, the quality and representativeness of the data must be evaluated. The validation population used to establish adequate performance must be representative of the intended-use population. If it is not, poor performance signals deployment outside the validated scope, and no amount of data will be a sufficient sample size. Only after that is established should the sponsor define what acceptable performance means. For example, if clinician validators independently agree that the device’s recommendation is appropriate in 80% of cases, then evidence should be collected until that statistical confidence is achieved. At that point, it may be necessary to continue collecting data until the confidence interval is met, keeping in mind that data representativeness is critical. Reporting must be transparent, with point estimates, confidence intervals, sample size, and population characteristics. But again, if clinical association has not been established, no amount of subsequent data collection will create one. Preliminary evidence establishing that association is needed before advancing to benchmarking and statistical validation. 13. For which clinical domains, device functions, or subpopulations is synthetic data particularly well-suited, or particularly inadequate, as a supplement to real-world evidence? What safeguards would mitigate the risk that synthetic data generated by models of the same class as the device under evaluation reproduces the very performance gaps the evaluation is intended to detect, particularly for underrepresented subgroups?</w:t>
      </w:r>
    </w:p>
    <w:p>
      <w:r>
        <w:rPr>
          <w:color w:val="777777"/>
          <w:sz w:val="16"/>
        </w:rPr>
        <w:t xml:space="preserve">p027 · att1 p.9  </w:t>
      </w:r>
      <w:r>
        <w:t>○ Synthetic data can help with some benchmarking needs, but it has a critical limitation: it reproduces the biases of the model that generated it. Synthetic data may help when, for example, a sponsor wants to evaluate variation in certain conditions. For instance, a sponsor may have a case involving a diabetic patient with pneumonia and may want to generate variations involving a diabetic patient with pneumonia and renal impairment, pneumonia while taking three medications, and so forth, to test whether the device’s output changes appropriately with different presentations. Another circumstance in which synthetic data may be useful is when a sponsor needs more cases of an uncomplicated UTI to test whether the device recommends appropriately. Such synthetic cases may supplement real cases, but they would not be good candidates for validating safety and effectiveness. Stress testing is an excellent use case for synthetic data. A sponsor may be able to test how the device handles unusual inputs, such as extremely long conversations, unusual formatting, or conflicting information. ○ However, synthetic data cannot and should not replace real data. If the device’s training data lacked a representative dataset—for example, if it lacked diversity in any given population—synthetic data generated from the same model will reproduce that same lack of diversity. Sponsors cannot synthetic-data their way out of bias in the training data. They need real data from the populations of concern. If the concern is underrepresentation, for example, or whether the device works for all subgroups, those questions cannot be answered with synthetic data. For high-risk devices, we strongly recommend a fairness assessment using real data as a condition of approval. A fairness assessment evaluates whether the device performs equally well across different patient populations or whether device performance diverges in ways that could harm specific groups. This question can only be answered with real data. More importantly, postmarket monitoring could verify that the fairness originally observed premarket holds up in actual deployment.</w:t>
      </w:r>
    </w:p>
    <w:p>
      <w:r>
        <w:rPr>
          <w:color w:val="777777"/>
          <w:sz w:val="16"/>
        </w:rPr>
        <w:t xml:space="preserve">p028 · att1 p.10  </w:t>
      </w:r>
      <w:r>
        <w:t>14. For open-ended device outputs, how should performance comparators and acceptance criteria be selected? When a panel of qualified clinicians serves as the comparator, how should the applicable standard (for example, the standard of care versus the performance of a median clinician in practice) be defined and justified? Should generalist or specialist physicians be used as a performance standard? When should human-AI team performance, rather than the device operating alone, serve as the basis for evaluation?</w:t>
      </w:r>
    </w:p>
    <w:p>
      <w:r>
        <w:rPr>
          <w:color w:val="777777"/>
          <w:sz w:val="16"/>
        </w:rPr>
        <w:t xml:space="preserve">p029 · att1 p.10  </w:t>
      </w:r>
      <w:r>
        <w:t>○ For open-ended outputs, there must be a clear standard for comparing the device’s performance against something. That standard depends on what is available and what the manufacturer claims the device can do. A true reference standard, or ground truth, is the best option. For some domains, this exists. For example, if the device recommends a diagnosis, pathology results are ground truth. If the device recommends treatment following published guidelines, those guidelines are ground truth. However, when ground truth does not exist, clinician consensus must be used to compare the AI output against clinician performance. To do this, multiple independent clinicians should review the same cases and make their own recommendations. The sponsor should then measure whether the device performs as well as—or better than—the median clinician. Not all clinicians agree on everything, but if the device can meet median clinician performance, that is a reasonable standard. For high-stakes decisions, we recommend comparison against specialist clinician performance and not median clinician performance. For example, a cardiologist using a cardiology device should be compared with board-certified cardiologists, not generalists. For novel areas where neither ground truth nor clinical consensus exists, structured expert opinion should be used, in which qualified experts independently assess whether the device’s outputs are appropriate using a validated scoring rubric. The comparator should be prespecified up front. Prespecifications should include the qualifications of the comparator and assurance processes that confirm independence from the manufacturer. The scoring rubric should be published beforehand, not after the results are known. Appropriate output must be defined ahead of time. Performance thresholds must be established before testing, and the reference population must be specified in advance. For example, is the device intended for generalists, specialists, adult populations, or pediatric populations? Is it intended for simple or complex cases? This is where the intended-use statement plays a critical role. 15. Are there ways in which performance might be assessed relative to the care, technology, or course of action likely to occur in the absence of the device, rather than to the comparators described in this section? What approaches might be used to identify and justify a comparator such as unaided clinical judgment, delayed specialist review, or no intervention?</w:t>
      </w:r>
    </w:p>
    <w:p>
      <w:r>
        <w:rPr>
          <w:color w:val="777777"/>
          <w:sz w:val="16"/>
        </w:rPr>
        <w:t xml:space="preserve">p030 · att1 p.11  </w:t>
      </w:r>
      <w:r>
        <w:t>○ When the comparators described above are not feasible or appropriate, then other valid comparisons may exist depending on the device’s purpose. For example, the status quo (how clinicians currently work without the device) is the best approach. For some devices, the evidence can show that clinicians using the device perform better than clinicians not using the device. This requires studying the same clinicians or equivalent clinicians with and without the device. Another approach may be delaying specialist review under a controlled IRB-overseen study where triage or routing functions are evaluated and such evidence might show that the device correctly routes cases to the right specialist or correctly identifies which cases need expert review, thereby reducing specialist burden or improving routing accuracy. Another approach would be under an IRB-approved study when there is no-intervention baseline, and there are no doctors who know yet what the best approach is, you can show that patients with the device don’t have worse outcomes than the patients without it. Critically, whatever alternative comparator you choose, the comparator must be specified in advance and justified why it's appropriate for your device’s intended use. A triaging device for an ED can use “did we correctly route to the right department?” as a comparator and a drugselection device needs a more rigorous comparator. A device claiming to reduce clinician bias would need evidence showing it actually does reduce bias and not just change clinician behavior. 16. Should independent third parties be involved in some or all aspects of a competency-based approach, including device benchmarking and clinical confirmation? If so, in what ways might qualified, independent third-party participation contribute to this approach, and what qualifications and independence criteria should apply? Are there aspects of the assessment for which third-party involvement would be impractical or inadvisable? What safeguards or program design features would be critical to prevent third-party participation from limiting competition or preventing innovation?</w:t>
      </w:r>
    </w:p>
    <w:p>
      <w:r>
        <w:rPr>
          <w:color w:val="777777"/>
          <w:sz w:val="16"/>
        </w:rPr>
        <w:t xml:space="preserve">p031 · att1 p.11  </w:t>
      </w:r>
      <w:r>
        <w:t>○ When a manufacturer benchmarks its own device, approval presents a conflict of interest. This is something the FDA has evaluated closely for decades. In such cases, the company has every reason to make the benchmark favorable. Independent review does not eliminate bias, but it adds a check that the benchmark is reasonable. For high-risk devices involving action-taking, significant consequences, or autonomous action, and for medium-risk devices, the FDA should require independent third parties for critical functions such as benchmarking verification, clinician validation, and fairness-assessment review. Independent review should ensure that there is no financial relationship with the manufacturer or the foundation model developer. Reviewers must have real expertise in the device’s clinical domain. This review should not be done by another AI tool. For low-risk devices, third-party review may be optional, but evidence without such review should be seen as less credible.</w:t>
      </w:r>
    </w:p>
    <w:p>
      <w:r>
        <w:rPr>
          <w:color w:val="777777"/>
          <w:sz w:val="16"/>
        </w:rPr>
        <w:t xml:space="preserve">p032 · att1 p.12  </w:t>
      </w:r>
      <w:r>
        <w:t>17. CDRH is exploring whether a competency-based approach could be applied to devices that incorporate a variety of underlying model architectures, such as multimodal vision-language models and generative or predictive world models. Are there aspects of the described approach that might be ineffective or inapplicable to these devices? What additional or distinct considerations might need to be addressed?</w:t>
      </w:r>
    </w:p>
    <w:p>
      <w:r>
        <w:rPr>
          <w:color w:val="777777"/>
          <w:sz w:val="16"/>
        </w:rPr>
        <w:t xml:space="preserve">p033 · att1 p.12  </w:t>
      </w:r>
      <w:r>
        <w:t>○ For multimodal systems that combine vision and language, the existing benchmarking framework adapts naturally. Some elements apply differently depending on the input type. For example, quantitative analysis applies when the device processes structured data fields, while information gathering applies when it interprets images. An additional consideration is cross-modal consistency. For example, if the device is presented with the same clinical case as an image and then as a text description, does it recommend the same thing? Inconsistency would indicate that the device is relying on superficial features rather than understanding the underlying clinical problems. For generative AI systems that predict trajectories or simulate patient outcomes, the framework also applies. For example, the intended-use statement should specify what the predictions are meant to predict, such as whether the device predicts deterioration in the next 72 hours and not an entire hospitalization. For these stochastic systems, in which randomness is built in, reproducibility is critical. If the device generates slightly different predictions each time it is asked the same question, that variability needs to be understood and bounded. Clinical confirmation would validate that the predicted trajectories actually match what happens in real patients.</w:t>
      </w:r>
    </w:p>
    <w:p>
      <w:r>
        <w:rPr>
          <w:color w:val="777777"/>
          <w:sz w:val="16"/>
        </w:rPr>
        <w:t xml:space="preserve">p034 · att1 p.12  </w:t>
      </w:r>
      <w:r>
        <w:t>RESPONSES to: Section VI: Postmarket Monitoring for GenAI-Enabled Devices - Discussion Questions — 18. CDRH is considering whether it may be appropriate to accept greater premarket uncertainty regarding a GenAI-enabled device’s benefit-risk profile through greater reliance on postmarket monitoring. Under what conditions might such an approach be appropriate, and what characteristics of a monitoring program would need to be in place to justify reduced premarket evidence? Are there device types or risk profiles for which this approach would not be appropriate?</w:t>
      </w:r>
    </w:p>
    <w:p>
      <w:r>
        <w:rPr>
          <w:color w:val="777777"/>
          <w:sz w:val="16"/>
        </w:rPr>
        <w:t xml:space="preserve">p035 · att1 p.12  </w:t>
      </w:r>
      <w:r>
        <w:t>○ The amount of premarket evidence required depends on the device’s risk profile. Low-risk devices, such as those that provide only informational output and have limited consequences if wrong, can rely on benchmarking alone. Medium-risk devices that are more action-directing and have moderate consequences would need benchmarking in addition to one method of clinical confirmation, such as shadow deployment or clinician validation, to show that the device actually works when clinicians use it. High-risk devices that involve autonomous action or significant consequences need comprehensive benchmarking plus prospective clinical evidence from a clinical study before approval.</w:t>
      </w:r>
    </w:p>
    <w:p>
      <w:r>
        <w:rPr>
          <w:color w:val="777777"/>
          <w:sz w:val="16"/>
        </w:rPr>
        <w:t xml:space="preserve">p036 · att1 p.13  </w:t>
      </w:r>
      <w:r>
        <w:t>○ We highly recommend against framing postmarket monitoring as a substitute for inadequate premarket evidence, consistent with CAIDP statements on accountability, Universal Guidelines for AI (UGAI), and OECD principles for AI safety throughout the lifecycle. Postmarket monitoring’s job is to verify that what you claim premarket actually holds true in real deployment. It can catch unexpected problems, but it cannot discover problems that premarket testing was designed to catch and missed. If you test a device inadequately premarket, then no amount of postmarket monitoring is going to fix that. It will only show you that your premarket testing was inadequate and by then the device has already harmed patients. The consequence is that premarket evidence is insufficient for a device’s risk profile and should not be offered conditional approval pending postmarket data. Postmarket monitoring verifies that the premarket claims hold up. 19. Please comment on the potential approaches to postmarket performance evaluation, including periodic re-benchmarking, sample-based clinician review, and performance degradation monitoring. What additional approaches should CDRH consider, and how should the cadence and triggering events for reassessment be determined?</w:t>
      </w:r>
    </w:p>
    <w:p>
      <w:r>
        <w:rPr>
          <w:color w:val="777777"/>
          <w:sz w:val="16"/>
        </w:rPr>
        <w:t xml:space="preserve">p037 · att1 p.13  </w:t>
      </w:r>
      <w:r>
        <w:t>○ For low-risk devices, annual performance evaluation may be adequate, and the primary reporting mechanisms would be standard adverse event reporting. For example, currently, when something goes wrong, clinicians report it. For mediumrisk devices, monitoring becomes more systematic. For example, quarterly rebenchmarking to check whether performance has degraded, annual clinician review of sample, and annual drift monitoring to detect degradation over time. For high-risk devices, the cadence should increase to monthly drift monitoring and real-time tracking, quarterly clinician review, and semi-annual fairness audits to verify that performance is consistent across relevant patient subgroups. 20. Please comment on whether the proposed approaches to postmarket monitoring can be facilitated by machine-based supervisory agents. What considerations, including the evaluation and reliability of the supervisory agent itself, should CDRH take into account for such an approach?</w:t>
      </w:r>
    </w:p>
    <w:p>
      <w:r>
        <w:rPr>
          <w:color w:val="777777"/>
          <w:sz w:val="16"/>
        </w:rPr>
        <w:t xml:space="preserve">p038 · att1 p.13  </w:t>
      </w:r>
      <w:r>
        <w:t>○ Automated monitoring tools can help collect data and flag problems, but they cannot and should not replace human clinical judgment. Appropriate uses for machine agents may include data collection (for example automated performance metrics evaluating accuracy on test cases and drift signal calculation; flagging (which would include automated alerts when performance exceeds the threshold such as a monthly accuracy dropping below a given target) and generating reports on dashboards showing performance trends. Automated agents should not decide whether a performance problem is clinically important, why it happened, nor whether the device should be changed, paused, or withdrawn. If the monitoring tool also uses Generative AI, it should be independently tested, understandable to humans, and designed to send issues to people for review and auditing when needed. 21. What roles might clinicians, healthcare institutions, professional societies, standards-setting bodies, and other stakeholders appropriately play in postmarket monitoring, and how can these roles be structured without diffusing manufacturer accountability?</w:t>
      </w:r>
    </w:p>
    <w:p>
      <w:r>
        <w:rPr>
          <w:color w:val="777777"/>
          <w:sz w:val="16"/>
        </w:rPr>
        <w:t xml:space="preserve">p039 · att1 p.14  </w:t>
      </w:r>
      <w:r>
        <w:t>○ When everyone is responsible, no one is accountable. Under current enforcement, diffused responsibility becomes diffused accountability, and each stakeholder can claim that’s someone else’s job. Without explicit governance guardrails protecting clinicians and health systems from unfairly absorbing sole liability for algorithmic errors or faulty system outputs, doctors and hospitals will simply refuse to adopt or deploy these tools. There is no sustainable incentive to invest in healthcare AI if providers bear the ultimate risk without strict manufacturer accountability. Instead, postmarket monitoring should assign clear roles. The manufacturer should maintain the design history file (DHF), follow the monitoring plan, report trends, and act on any safety signals. The deploying institution should train users, enforce access limits, and monitor local use. FDA should set requirements, inspect compliance, and enforce these requirements. Professional groups and payers may support best practices, but they should not replace manufacturer or FDA accountability. 22. CDRH envisions that a manufacturer’s premarket competency-based assessment might serve as a baseline against which post-deployment modifications could be reevaluated. How might the extent of re-benchmarking or other evidence be scaled to the nature and expected impact of a given modification? For example, are there categories of change that might not significantly affect safety or effectiveness of a GenAI-enabled device, or might be appropriately managed within a sponsor’s quality management system versus requiring FDA premarket review and authorization before implementation? Are there categories of changes that might be appropriate for inclusion in a PCCP?</w:t>
      </w:r>
    </w:p>
    <w:p>
      <w:r>
        <w:rPr>
          <w:color w:val="777777"/>
          <w:sz w:val="16"/>
        </w:rPr>
        <w:t xml:space="preserve">p040 · att1 p.14  </w:t>
      </w:r>
      <w:r>
        <w:t>○ Changes after approval should be reviewed based on how much they affect the device. Small prompt or data updates may only need focused re-testing if they stay within a predetermined changed control plan (PCCP). New clinical uses, new patient populations, major model changes, or large performance shifts should require stronger review and may need FDA submission and IRB review prior to use. This same concept carries over into Question 23 below. 23. How might PCCP concepts or other change-control approaches be adapted for GenAI-enabled devices when the nature or scope of future modifications cannot be fully prespecified?</w:t>
      </w:r>
    </w:p>
    <w:p>
      <w:r>
        <w:rPr>
          <w:color w:val="777777"/>
          <w:sz w:val="16"/>
        </w:rPr>
        <w:t xml:space="preserve">p041 · att1 p.15  </w:t>
      </w:r>
      <w:r>
        <w:t>○ For generative AI devices where, future modifications cannot be fully prespecified, we recommend a tiered PCCP. Tier 1 may not require a submission so long as the changes fit within prespecified boundaries, such as model updates within +/- 2% accuracy on a held-out test set. This should include subgroup accuracy, not just aggregate accuracy. Tier 2 should allow for expedited review when changes fall outside Tier 1 but remain within an acceptable range, such as a +/- 3–5% accuracy change, again considering subgroup accuracy and not just aggregate accuracy. The manufacturer should submit a summary including rebenchmarking. A higher tier should require more intensive review when there are significant changes, such as a 5% accuracy change or new recommendation types. This submission would be equivalent to an original change control. Manufacturers should monitor re-benchmarking data continuously against these tier thresholds and escalate when those thresholds are exceeded. 24. For devices built on third-party foundation models, changes to the underlying model may be initiated by the third-party model developer rather than the device manufacturer. How can a manufacturer detect, evaluate, and respond to such changes in a timely manner? What mechanisms-for example, contractual, technical, or through a PCCP-could provide reasonable assurance that third-party developerinitiated changes do not compromise the safety or effectiveness of the device?</w:t>
      </w:r>
    </w:p>
    <w:p>
      <w:r>
        <w:rPr>
          <w:color w:val="777777"/>
          <w:sz w:val="16"/>
        </w:rPr>
        <w:t xml:space="preserve">p042 · att1 p.15  </w:t>
      </w:r>
      <w:r>
        <w:t>○ The manufacturer should be responsible for changes made by a third-party foundation model provider. Contracts should require advance notice of model updates, access to prior versions when rollback is needed, disclosure of important safety changes, and audit rights for device-related performance. Foundation model developers must notify the manufacturer within a specified period of any model updates, including the version number, change summary, and behavioral changes, and must guarantee that model performance will not degrade by more than a specified percentage for a given period. This timing should depend on the risk level of the manufacturer’s device. Manufacturers should be able to easily revert to a prior version when needed. Third-party model developers must proactively disclose any known changes to behavior or safety properties for medical devices and allow transparent auditing rights to model training and device-relevant testing. The manufacturer’s ongoing performance monitoring should detect degradation through the PCCP described in Question 22 above. If degradation is detected, manufacturers must assess the cause and escalate under the PCCP. If a model change is the cause of degradation, the manufacturer must contact the developer, assess the impact, and submit a modification or roll back to a former version. Liability should remain with the device manufacturer when a third-party model update harms performance and the manufacturer fails to detect or address it. If third-party model updates cause device-performance degradation, the manufacturer must be liable. This creates an incentive for the manufacturer to ensure a strong contractual commitment before deployment.</w:t>
      </w:r>
    </w:p>
    <w:p>
      <w:r>
        <w:rPr>
          <w:color w:val="777777"/>
          <w:sz w:val="16"/>
        </w:rPr>
        <w:t xml:space="preserve">p043 · att1 p.16  </w:t>
      </w:r>
      <w:r>
        <w:t>RESPONSES to: Section VII: Other Topics — 25. Would voluntary Foundation Model MAFs be practical for foundation model developers to provide and to keep current, and what content might they include? Given that participation would be voluntary and that model developers may have limited incentive to disclose safety-relevant information, what would make such a program sufficiently useful for premarket review? Are there alternative mechanisms CDRH should consider for obtaining information about underlying foundation models?</w:t>
      </w:r>
    </w:p>
    <w:p>
      <w:r>
        <w:rPr>
          <w:color w:val="777777"/>
          <w:sz w:val="16"/>
        </w:rPr>
        <w:t xml:space="preserve">p044 · att1 p.16  </w:t>
      </w:r>
      <w:r>
        <w:t>○ No, these programs would not work because foundation model developers have no incentive to participate. FDA should require disclosure for foundation models used in regulated medical devices. A voluntary system is not enough because model developers may choose not to share information that could create legal risk, reveal business information, lead to enforcement, or harm patients. We recommend mandatory foundation model disclosure requirements for any model used in FDA-regulated medical devices. Before device approval or clearance, the manufacturer must submit the model name, version, training data categories, known safety-critical limitations, behavioral constraints and guardrails, and contractual commitments such as update notifications, stability, warranty, and rollback. Some information may be confidential and only made available to the FDA and device sponsor. If a model developer refuses to disclose these things, the device cannot be approved. This creates a market incentive for transparency. The manufacturer should certify that foundation model disclosures are complete and current. This is currently the same requirement under 21 CFR 820.25/ISO 13485 which requires manufacturers to ensure suppliers provide the necessary information. 26. Are there additional considerations that inform the premarket and postmarket evaluation of agentic GenAI-enabled devices, beyond those applicable to nonagentic GenAI-enabled devices? How should the elevated risk associated with autonomous multi-step action, tool use, and reduced opportunity for human review be reflected in acceptance criteria and oversight?</w:t>
      </w:r>
    </w:p>
    <w:p>
      <w:r>
        <w:rPr>
          <w:color w:val="777777"/>
          <w:sz w:val="16"/>
        </w:rPr>
        <w:t xml:space="preserve">p045 · att1 p.16  </w:t>
      </w:r>
      <w:r>
        <w:t>○ Agentic systems are inherently higher risk than non-agentic devices and require extra safeguards because they can take multiple steps, use outside tools and act with less human review. In line with CAIDP's calls for explicit redlines8 and strict oversight on autonomous systems, as well as OECD AI Principles and Universal Guidelines for AI (UGAI)9 on human control and accountability, FDA should require testing of multi-step behavior, safe tool use, human approval points, and the ability to stop the system. Hospitals and clinics should keep audit trails, review real examples of agent decisions, and monitor tool-use errors during</w:t>
      </w:r>
    </w:p>
    <w:p>
      <w:r>
        <w:rPr>
          <w:color w:val="777777"/>
          <w:sz w:val="16"/>
        </w:rPr>
        <w:t xml:space="preserve">p046 · att1 p.16  </w:t>
      </w:r>
      <w:r>
        <w:t>8 https://red-lines.ai/ 9 https://oecd.ai/en/wonk/ai-governance-through-global-red-lines-can-help-prevent-unacceptable-risks research and post deployment. We recommend mandatory benchmarking elements for agentic systems. First, escalation should occur before an irreversible action. Second, the system should refuse to go beyond its scope if a conversation progresses. Third, benchmarking should include evaluating if the tool is used accurately and how errors are handled. For example, does the human recognize the wrong results? Does the system pause when a human rejects a decision? More importantly, we cannot rely solely on benchmarking. There must be a minimum requirement for a clinician to step in and review, with realistic multi-step scenarios. To effectively protect humans, institutions must ensure humans are driving critical decisions (agents would pause before irreversible action), and there should be an audit trail showing the agent’s reasoning, and the ability for a human to stop the agent mid-sequence. Finally, there should be regular review of actual multi-step executions .</w:t>
      </w:r>
    </w:p>
    <w:p>
      <w:r>
        <w:rPr>
          <w:color w:val="777777"/>
          <w:sz w:val="16"/>
        </w:rPr>
        <w:t xml:space="preserve">p047 · att1 p.17  </w:t>
      </w:r>
      <w:r>
        <w:t>Conclusion — Generative AI offers transformative potential to advance healthcare delivery safely and equitably. Realizing that potential requires a pragmatic, rigorously grounded regulatory framework that prioritizes clinical association, workflow-based validation, and strict model accountability over mere benchmarking, fully aligning with OECD AI Principles, Universal Guidelines for AI (UGAI), and CAIDP recommendations for trustworthy AI governance and red lines. Addressing these oversight needs proactively will establish a trustworthy foundation for AI-driven medical devices, positioning the U.S. as a global leader in responsible medical innovation.</w:t>
      </w:r>
    </w:p>
    <w:p>
      <w:r>
        <w:rPr>
          <w:color w:val="777777"/>
          <w:sz w:val="16"/>
        </w:rPr>
        <w:t xml:space="preserve">p048 · att1 p.17  </w:t>
      </w:r>
      <w:r>
        <w:t>We welcome the opportunity to contribute further to this work and are available for follow-up.</w:t>
      </w:r>
    </w:p>
    <w:p>
      <w:r>
        <w:rPr>
          <w:color w:val="777777"/>
          <w:sz w:val="16"/>
        </w:rPr>
        <w:t xml:space="preserve">p049 · att1 p.17  </w:t>
      </w:r>
      <w:r>
        <w:t>Respectfully,</w:t>
      </w:r>
    </w:p>
    <w:p>
      <w:r>
        <w:rPr>
          <w:color w:val="777777"/>
          <w:sz w:val="16"/>
        </w:rPr>
        <w:t xml:space="preserve">p050 · att1 p.17  </w:t>
      </w:r>
      <w:r>
        <w:t>Tamiko Eto, MA, CIP Founder &amp; Principal Consultant, TechInHSR LLC — Vishnu Narayan, MSc, BTech Contributing Policy Editor &amp; Non-Resident Fellow at HealthTechAsia</w:t>
      </w:r>
    </w:p>
    <w:p>
      <w:r>
        <w:rPr>
          <w:color w:val="777777"/>
          <w:sz w:val="16"/>
        </w:rPr>
        <w:t xml:space="preserve">p051 · att1 p.17  </w:t>
      </w:r>
      <w:r>
        <w:t>About TechInHSR LLC — TechInHSR LLC is an AI research and regulatory compliance consulting practice specializing in AI/ML governance, human subjects research (HSR) protection under 45 CFR 46 and 21 CFR 56. Its founder and principal consultant, Tamiko Eto, MA, CIP, brings over twenty years of research administration leadership experience. Ms. Eto also serves as Senior Teaching Fellow at the Center for AI and Digital Policy (CAIDP), a global non-profit education and research center. TechInHSR’s applied frameworks, including a three-stage risk-based AI oversight model matching oversight to project maturity, has been adopted by numerous U.S. research hospitals &amp; universities, and received recognition from federal agencies. Vishnu Narayan, a Tech policy expert, serves as a Regulatory Systems Strategist at the Medical</w:t>
      </w:r>
    </w:p>
    <w:p>
      <w:r>
        <w:rPr>
          <w:color w:val="777777"/>
          <w:sz w:val="16"/>
        </w:rPr>
        <w:t xml:space="preserve">p052 · att1 p.18  </w:t>
      </w:r>
      <w:r>
        <w:t>Technology Association of India and as a Contributing Policy Editor and Non-Resident Fellow at HealthTechAsia. His work focuses on the intersection of AI governance, healthcare regulation and technology policy. He holds a Master's in Regulatory Policy and Governance from the Tata Institute of Social Sciences and a Bachelor's in Biomedical Engineering. His work has included research and policy contributions through CAIDP, WHO/ITU AI4H and the Commonwealth AI Consortium, with a focus on responsible innovation, regulatory systems and healthcare resilience.</w:t>
      </w:r>
    </w:p>
    <w:p>
      <w:pPr>
        <w:pStyle w:val="Heading1"/>
        <w:pageBreakBefore/>
      </w:pPr>
      <w:r>
        <w:t>FDA-2026-N-7874-0114</w:t>
      </w:r>
    </w:p>
    <w:p>
      <w:r>
        <w:t>Comment from Infiligence Inc</w:t>
      </w:r>
    </w:p>
    <w:p>
      <w:r>
        <w:rPr>
          <w:color w:val="777777"/>
          <w:sz w:val="18"/>
        </w:rPr>
        <w:t>Private Industry - C0003 · received 2026-09-22 · attachments: attachment_1.pdf (4 pp)</w:t>
      </w:r>
    </w:p>
    <w:p>
      <w:r>
        <w:rPr>
          <w:color w:val="777777"/>
          <w:sz w:val="16"/>
        </w:rPr>
        <w:t xml:space="preserve">p001 · body  </w:t>
      </w:r>
      <w:r>
        <w:t>A GenAI-enabled medical device should not be evaluated as a static piece of software. It should be evaluated as a bounded clinical capability operating within a defined scope, under specified conditions, with measurable competencies, failure tolerances, supervision requirements, and continuous requalification.</w:t>
      </w:r>
    </w:p>
    <w:p>
      <w:r>
        <w:rPr>
          <w:color w:val="777777"/>
          <w:sz w:val="16"/>
        </w:rPr>
        <w:t xml:space="preserve">p002 · att1 p.1  </w:t>
      </w:r>
      <w:r>
        <w:t>Comments on a Competency-Based Approach for Premarket Evaluation of GenAI-Enabled Medical Devices — Response to FDA CDRH Discussion Paper • August 2026</w:t>
      </w:r>
    </w:p>
    <w:p>
      <w:r>
        <w:rPr>
          <w:color w:val="777777"/>
          <w:sz w:val="16"/>
        </w:rPr>
        <w:t xml:space="preserve">p003 · att1 p.1  </w:t>
      </w:r>
      <w:r>
        <w:t>Submitted by Infiligence Inc. | September 2026 — Executive Perspective — We support CDRH’s exploration of a competency-based approach for GenAI-enabled medical devices. Conventional validation approaches built around bounded inputs, deterministic outputs, and exhaustive test cases are difficult to apply to systems capable of open-ended interaction, variable outputs, multi-step reasoning, tool use, and evolving behavior.</w:t>
      </w:r>
    </w:p>
    <w:p>
      <w:r>
        <w:rPr>
          <w:color w:val="777777"/>
          <w:sz w:val="16"/>
        </w:rPr>
        <w:t xml:space="preserve">p004 · att1 p.1  </w:t>
      </w:r>
      <w:r>
        <w:t>CDRH’s proposed combination of device benchmarking and clinical confirmation, scaled to intended use and risk, provides a strong foundation. We recommend extending that foundation into an operational lifecycle in which competence is bounded, stress-tested, clinically confirmed, publicly profiled where appropriate, monitored, and requalified as the device or its operating environment changes.</w:t>
      </w:r>
    </w:p>
    <w:p>
      <w:r>
        <w:rPr>
          <w:color w:val="777777"/>
          <w:sz w:val="16"/>
        </w:rPr>
        <w:t xml:space="preserve">p005 · att1 p.1  </w:t>
      </w:r>
      <w:r>
        <w:t>A GenAI-enabled medical device should demonstrate competence not merely in producing correct outputs, but in operating safely within a defined competency envelope—including recognizing the limits of its competence, failing safely, escalating appropriately, and maintaining those competencies throughout its lifecycle.</w:t>
      </w:r>
    </w:p>
    <w:p>
      <w:r>
        <w:rPr>
          <w:color w:val="777777"/>
          <w:sz w:val="16"/>
        </w:rPr>
        <w:t xml:space="preserve">p006 · att1 p.1  </w:t>
      </w:r>
      <w:r>
        <w:t>1. Define a Competency Envelope — For each GenAI-enabled device, the sponsor should define a Competency Envelope describing the boundaries within which the device has demonstrated acceptable performance. The objective is not to establish that an AI system is generally “competent,” but that it is competent to perform a defined task, for a defined population, under defined conditions, with a defined degree of autonomy and supervision.</w:t>
      </w:r>
    </w:p>
    <w:p>
      <w:r>
        <w:rPr>
          <w:color w:val="777777"/>
          <w:sz w:val="16"/>
        </w:rPr>
        <w:t xml:space="preserve">p007 · att1 p.1  </w:t>
      </w:r>
      <w:r>
        <w:t>• Scope: intended clinical tasks, patient populations, clinical settings, and excluded uses. • Operating boundaries: autonomy level, permitted tools/actions, environmental assumptions, and required human oversight. • Safety boundaries: uncertainty limits, escalation/deferral conditions, known failure modes, and conditions in which performance has not been established. This also reinforces an important principle in the discussion paper: the relevant evaluation object is the final user-facing device in its deployed or representative configuration—not the foundation model in isolation. The practical system is the foundation model plus prompts, retrieval, knowledge sources, tools, orchestration, guardrails, user interface, workflow, and human oversight.</w:t>
      </w:r>
    </w:p>
    <w:p>
      <w:r>
        <w:rPr>
          <w:color w:val="777777"/>
          <w:sz w:val="16"/>
        </w:rPr>
        <w:t xml:space="preserve">p008 · att1 p.1  </w:t>
      </w:r>
      <w:r>
        <w:t>2. Make Safe Failure and Recovery an Explicit Competency — CDRH’s proposed safety elements appropriately address safety-critical recognition, escalation, boundary adherence, uncertainty communication, and clinical deferral. We recommend explicitly evaluating failure competence. For GenAI, knowing when not to answer or act can be as important as producing the correct answer.</w:t>
      </w:r>
    </w:p>
    <w:p>
      <w:r>
        <w:rPr>
          <w:color w:val="777777"/>
          <w:sz w:val="16"/>
        </w:rPr>
        <w:t xml:space="preserve">p009 · att1 p.1  </w:t>
      </w:r>
      <w:r>
        <w:t>Recognize → Refuse → Escalate → Recover — A competent device should recognize insufficient or contradictory information, refuse actions outside its authorized scope, escalate appropriately to a human, and recover safely after erroneous information, failed tools, or an earlier incorrect step. For agentic systems, safe recovery after tool failure, erroneous tool output, or unsafe action planning should be a gating competency rather than an averaged performance dimension.</w:t>
      </w:r>
    </w:p>
    <w:p>
      <w:r>
        <w:rPr>
          <w:color w:val="777777"/>
          <w:sz w:val="16"/>
        </w:rPr>
        <w:t xml:space="preserve">p010 · att1 p.1  </w:t>
      </w:r>
      <w:r>
        <w:t>3. Evaluate Clinical Trajectories and Stress Conditions — The fundamental unit of GenAI evaluation should increasingly move from the isolated prompt-response pair to the clinical interaction trajectory. A multi-turn interaction can begin as informational and become action-directing as new facts, contradictions, symptoms, or user behavior emerge.</w:t>
      </w:r>
    </w:p>
    <w:p>
      <w:r>
        <w:rPr>
          <w:color w:val="777777"/>
          <w:sz w:val="16"/>
        </w:rPr>
        <w:t xml:space="preserve">p011 · att1 p.2  </w:t>
      </w:r>
      <w:r>
        <w:t>We recommend Trajectory Competency Testing in which scenarios progressively introduce incomplete information, additional history, contradictory evidence, changing symptoms, patient resistance, cross-domain information, and potential escalation. A system that behaves safely for ten turns but fails catastrophically on the eleventh should not appear competent because each response was scored independently.</w:t>
      </w:r>
    </w:p>
    <w:p>
      <w:r>
        <w:rPr>
          <w:color w:val="777777"/>
          <w:sz w:val="16"/>
        </w:rPr>
        <w:t xml:space="preserve">p012 · att1 p.2  </w:t>
      </w:r>
      <w:r>
        <w:t>Trajectory testing should be paired with Competency Stress Testing across four conditions: Normal → Edge → Adversarial → Failure. This would extend CDRH’s treatment of prompt injection, adversarial prompting, longconversation degradation, contradictory inputs, and information-order sensitivity into a repeatable evaluation method.</w:t>
      </w:r>
    </w:p>
    <w:p>
      <w:r>
        <w:rPr>
          <w:color w:val="777777"/>
          <w:sz w:val="16"/>
        </w:rPr>
        <w:t xml:space="preserve">p013 · att1 p.2  </w:t>
      </w:r>
      <w:r>
        <w:t>4. Establish Minimum Safety Competency Floors — We recommend caution against collapsing all competency measurements into a single aggregate score. Some competencies should be non-compensable gating criteria. Superior communication or broad clinical knowledge should not compensate for unacceptable emergency escalation, unsafe dosing behavior, or failure to maintain scope boundaries. Acceptance criteria could therefore combine overall performance thresholds with minimum floors for safety-critical capabilities.</w:t>
      </w:r>
    </w:p>
    <w:p>
      <w:r>
        <w:rPr>
          <w:color w:val="777777"/>
          <w:sz w:val="16"/>
        </w:rPr>
        <w:t xml:space="preserve">p014 · att1 p.2  </w:t>
      </w:r>
      <w:r>
        <w:t>5. Introduce Competency Dependency Mapping — Complex GenAI devices increasingly perform tasks through chains of dependent capabilities. A medication recommendation, for example, may depend on patient-data retrieval, medication normalization, contraindication detection, dose calculation, recommendation generation, and clinician authorization.</w:t>
      </w:r>
    </w:p>
    <w:p>
      <w:r>
        <w:rPr>
          <w:color w:val="777777"/>
          <w:sz w:val="16"/>
        </w:rPr>
        <w:t xml:space="preserve">p015 · att1 p.2  </w:t>
      </w:r>
      <w:r>
        <w:t>We recommend a Competency Dependency Graph that identifies the capabilities on which each safety-critical device function depends. Sponsors could evaluate individual nodes where appropriate while also testing the integrated workflow. This is particularly useful for agentic architectures, where an incorrect outcome may originate from reasoning, retrieval, tool selection, tool execution, orchestration, or interpretation of a tool response.</w:t>
      </w:r>
    </w:p>
    <w:p>
      <w:r>
        <w:rPr>
          <w:color w:val="777777"/>
          <w:sz w:val="16"/>
        </w:rPr>
        <w:t xml:space="preserve">p016 · att1 p.2  </w:t>
      </w:r>
      <w:r>
        <w:t>6. Treat Benchmarking as Shared Public-Health Infrastructure — Publicly available benchmarking can provide substantial value even though public benchmarks alone should not establish safety and effectiveness. CDRH correctly notes both the usefulness of published, reusable tests and the risks of data contamination, saturation, and limited real-world representativeness. We recommend a hybrid evidence model:</w:t>
      </w:r>
    </w:p>
    <w:p>
      <w:r>
        <w:rPr>
          <w:color w:val="777777"/>
          <w:sz w:val="16"/>
        </w:rPr>
        <w:t xml:space="preserve">p017 · att1 p.2  </w:t>
      </w:r>
      <w:r>
        <w:t>Public benchmarks + Sequestered benchmarks + Sponsor-specific benchmarks + Clinical confirmation — Public benchmarks can create a common vocabulary through which regulators, clinicians, professional societies, researchers, developers, healthcare institutions, and patients understand demonstrated capabilities and limitations. Sequestered and sponsor-specific benchmarks can preserve independence, reduce gaming, and test intended-usespecific risks. Clinical confirmation then establishes whether benchmarked competencies translate into clinically representative performance.</w:t>
      </w:r>
    </w:p>
    <w:p>
      <w:r>
        <w:rPr>
          <w:color w:val="777777"/>
          <w:sz w:val="16"/>
        </w:rPr>
        <w:t xml:space="preserve">p018 · att1 p.2  </w:t>
      </w:r>
      <w:r>
        <w:t>7. Create a Clinical AI Competency Profile (CACP) — We propose a standardized, versioned, multidimensional Clinical AI Competency Profile (CACP) for a GenAI-enabled medical device. The CACP would function as a capability disclosure or “nutrition label” for clinical AI—not as an FDA authorization, a single score, or a leaderboard.</w:t>
      </w:r>
    </w:p>
    <w:p>
      <w:r>
        <w:rPr>
          <w:color w:val="777777"/>
          <w:sz w:val="16"/>
        </w:rPr>
        <w:t xml:space="preserve">p019 · att1 p.2  </w:t>
      </w:r>
      <w:r>
        <w:t>Competency domain Profile status What should be disclosed — Safety-critical recognition &amp; escalation Tested / Not tested Scope, scenario mix, thresholds, material failure modes</w:t>
      </w:r>
    </w:p>
    <w:p>
      <w:r>
        <w:rPr>
          <w:color w:val="777777"/>
          <w:sz w:val="16"/>
        </w:rPr>
        <w:t xml:space="preserve">p020 · att1 p.2  </w:t>
      </w:r>
      <w:r>
        <w:t>Scope &amp; boundary adherence Tested / Not tested Out-of-scope behavior, refusal and redirection</w:t>
      </w:r>
    </w:p>
    <w:p>
      <w:r>
        <w:rPr>
          <w:color w:val="777777"/>
          <w:sz w:val="16"/>
        </w:rPr>
        <w:t xml:space="preserve">p021 · att1 p.2  </w:t>
      </w:r>
      <w:r>
        <w:t>Uncertainty &amp; clinical deferral Tested / Not tested Calibration method, deferral conditions — Clinical proficiency Tested / Not tested Clinical domain, population, comparator and acceptance criteria</w:t>
      </w:r>
    </w:p>
    <w:p>
      <w:r>
        <w:rPr>
          <w:color w:val="777777"/>
          <w:sz w:val="16"/>
        </w:rPr>
        <w:t xml:space="preserve">p022 · att1 p.3  </w:t>
      </w:r>
      <w:r>
        <w:t>Robustness &amp; subgroup performance Tested / Not tested Runtime variation, subgroup coverage and limitations</w:t>
      </w:r>
    </w:p>
    <w:p>
      <w:r>
        <w:rPr>
          <w:color w:val="777777"/>
          <w:sz w:val="16"/>
        </w:rPr>
        <w:t xml:space="preserve">p023 · att1 p.3  </w:t>
      </w:r>
      <w:r>
        <w:t>Agentic / tool-use competency Where applicable Tools/actions, oversight checkpoints, recovery behavior — A public CACP should disclose the benchmark version, device/model version, intended use, evaluation date, population and setting, relevant uncertainty, and material limitations. The emphasis should be on the conditions under which competence was demonstrated—not simply a headline number.</w:t>
      </w:r>
    </w:p>
    <w:p>
      <w:r>
        <w:rPr>
          <w:color w:val="777777"/>
          <w:sz w:val="16"/>
        </w:rPr>
        <w:t xml:space="preserve">p024 · att1 p.3  </w:t>
      </w:r>
      <w:r>
        <w:t>8. Separate Foundation Model Capability from Device Competency — We recommend maintaining two related but distinct profiles: a Foundation Model Capability Profile describing general healthcare-relevant capabilities and limitations of the underlying model, and a GenAI Medical Device Competency Profile describing performance of the complete device configuration for its specific intended use.</w:t>
      </w:r>
    </w:p>
    <w:p>
      <w:r>
        <w:rPr>
          <w:color w:val="777777"/>
          <w:sz w:val="16"/>
        </w:rPr>
        <w:t xml:space="preserve">p025 · att1 p.3  </w:t>
      </w:r>
      <w:r>
        <w:t>A highly capable foundation model does not automatically create a competent medical device. Conversely, a carefully constrained device built on a general-purpose model may demonstrate strong competency within a narrow intended-use envelope.</w:t>
      </w:r>
    </w:p>
    <w:p>
      <w:r>
        <w:rPr>
          <w:color w:val="777777"/>
          <w:sz w:val="16"/>
        </w:rPr>
        <w:t xml:space="preserve">p026 · att1 p.3  </w:t>
      </w:r>
      <w:r>
        <w:t>This distinction complements CDRH’s concept of voluntary Foundation Model Device Master Files while preserving sponsor responsibility for demonstrating the safety and effectiveness of the actual device configuration.</w:t>
      </w:r>
    </w:p>
    <w:p>
      <w:r>
        <w:rPr>
          <w:color w:val="777777"/>
          <w:sz w:val="16"/>
        </w:rPr>
        <w:t xml:space="preserve">p027 · att1 p.3  </w:t>
      </w:r>
      <w:r>
        <w:t>9. Enable Public, Social, and Industry Profiling—Without a Simple Leaderboard — We encourage an ecosystem in which academia, professional societies, healthcare systems, independent laboratories, standards organizations, and other qualified parties can continuously evaluate GenAI systems against standardized competencies. This creates an additional layer of observational evidence and industry learning.</w:t>
      </w:r>
    </w:p>
    <w:p>
      <w:r>
        <w:rPr>
          <w:color w:val="777777"/>
          <w:sz w:val="16"/>
        </w:rPr>
        <w:t xml:space="preserve">p028 · att1 p.3  </w:t>
      </w:r>
      <w:r>
        <w:t>However, social or industry profiling should avoid a single “best medical AI” score. A multidimensional profile is more informative and less likely to imply interchangeability between systems with different intended uses. Public results should be versioned and contextualized, and material discrepancies between sponsor-reported, independent, and realworld results should be visible rather than averaged away.</w:t>
      </w:r>
    </w:p>
    <w:p>
      <w:r>
        <w:rPr>
          <w:color w:val="777777"/>
          <w:sz w:val="16"/>
        </w:rPr>
        <w:t xml:space="preserve">p029 · att1 p.3  </w:t>
      </w:r>
      <w:r>
        <w:t>A possible ecosystem is: FDA-defined competency taxonomy → domain-specific definitions from professional societies/standards bodies → independent public and sequestered evaluation assets → sponsor/device testing → standardized competency profiles → real-world evidence informing benchmark evolution.</w:t>
      </w:r>
    </w:p>
    <w:p>
      <w:r>
        <w:rPr>
          <w:color w:val="777777"/>
          <w:sz w:val="16"/>
        </w:rPr>
        <w:t xml:space="preserve">p030 · att1 p.3  </w:t>
      </w:r>
      <w:r>
        <w:t>10. Make Benchmark Suites Executable Regulatory Assets — We recommend moving beyond static validation reports toward machine-executable competency evidence. A benchmark definition could contain the scenario, expected behavioral constraints, scoring rubric, acceptance criteria, safety threshold, and traceability to the identified risk. This creates the possibility of Validation-as-Code for GenAI- enabled medical devices.</w:t>
      </w:r>
    </w:p>
    <w:p>
      <w:r>
        <w:rPr>
          <w:color w:val="777777"/>
          <w:sz w:val="16"/>
        </w:rPr>
        <w:t xml:space="preserve">p031 · att1 p.3  </w:t>
      </w:r>
      <w:r>
        <w:t>The same controlled suite could support premarket qualification, model upgrades, prompt changes, retrieval changes, tool/orchestration changes, and periodic postmarket requalification. This would make CDRH’s concept of rebenchmarking operational and scalable.</w:t>
      </w:r>
    </w:p>
    <w:p>
      <w:r>
        <w:rPr>
          <w:color w:val="777777"/>
          <w:sz w:val="16"/>
        </w:rPr>
        <w:t xml:space="preserve">p032 · att1 p.3  </w:t>
      </w:r>
      <w:r>
        <w:t>11. Establish a Clinical AI Configuration Baseline and Competency Delta — At authorization, the validated system could have a defined Clinical AI Configuration Baseline covering safety-relevant versions of the model, prompts, retrieval architecture, knowledge sources, tools, orchestration, guardrails, and userfacing behavior. When a component changes, the sponsor should perform a Competency Impact Analysis: which competencies could this change reasonably affect?</w:t>
      </w:r>
    </w:p>
    <w:p>
      <w:r>
        <w:rPr>
          <w:color w:val="777777"/>
          <w:sz w:val="16"/>
        </w:rPr>
        <w:t xml:space="preserve">p033 · att1 p.3  </w:t>
      </w:r>
      <w:r>
        <w:t>The resulting Competency Delta Testing could make requalification proportional to the expected impact of the change. A user-interface change may principally affect communication; a retrieval-source change may affect knowledge and reasoning; a foundation-model upgrade may affect nearly every competency.</w:t>
      </w:r>
    </w:p>
    <w:p>
      <w:r>
        <w:rPr>
          <w:color w:val="777777"/>
          <w:sz w:val="16"/>
        </w:rPr>
        <w:t xml:space="preserve">p034 · att1 p.3  </w:t>
      </w:r>
      <w:r>
        <w:t>12. Treat Competency as a Lifecycle Property — Competency should not be viewed as something established once at market authorization. Even when the device has not intentionally changed, clinical guidelines, patient populations, retrieval sources, tools, APIs, foundation models, and user behavior can change. Each important competency should therefore have predefined risk-based requalification triggers or intervals.</w:t>
      </w:r>
    </w:p>
    <w:p>
      <w:r>
        <w:rPr>
          <w:color w:val="777777"/>
          <w:sz w:val="16"/>
        </w:rPr>
        <w:t xml:space="preserve">p035 · att1 p.4  </w:t>
      </w:r>
      <w:r>
        <w:t>Define → Decompose → Benchmark → Stress → Clinically Confirm → Baseline →</w:t>
      </w:r>
    </w:p>
    <w:p>
      <w:r>
        <w:rPr>
          <w:color w:val="777777"/>
          <w:sz w:val="16"/>
        </w:rPr>
        <w:t xml:space="preserve">p036 · att1 p.4  </w:t>
      </w:r>
      <w:r>
        <w:t>Monitor → Requalify — Conclusion — CDRH’s competency-based concept provides an important opportunity to move GenAI medical-device evaluation beyond deterministic software validation. We recommend extending the framework around four principles: competency must be bounded; safety includes knowing when not to act; competency evidence should be executable and longitudinal; and carefully designed public, independent, and sequestered benchmarks should make demonstrated competency observable across the ecosystem.</w:t>
      </w:r>
    </w:p>
    <w:p>
      <w:r>
        <w:rPr>
          <w:color w:val="777777"/>
          <w:sz w:val="16"/>
        </w:rPr>
        <w:t xml:space="preserve">p037 · att1 p.4  </w:t>
      </w:r>
      <w:r>
        <w:t>The resulting regulatory question becomes more clinically meaningful than “Has this AI model been validated?” It becomes:</w:t>
      </w:r>
    </w:p>
    <w:p>
      <w:r>
        <w:rPr>
          <w:color w:val="777777"/>
          <w:sz w:val="16"/>
        </w:rPr>
        <w:t xml:space="preserve">p038 · att1 p.4  </w:t>
      </w:r>
      <w:r>
        <w:t>What has this GenAI-enabled device demonstrated that it can safely do, for whom, under what conditions, with what degree of autonomy and does it continue to demonstrate those competencies today?</w:t>
      </w:r>
    </w:p>
    <w:p>
      <w:pPr>
        <w:pStyle w:val="Heading1"/>
        <w:pageBreakBefore/>
      </w:pPr>
      <w:r>
        <w:t>FDA-2026-N-7874-0115</w:t>
      </w:r>
    </w:p>
    <w:p>
      <w:r>
        <w:t>Comment from I-GENTIC AI</w:t>
      </w:r>
    </w:p>
    <w:p>
      <w:r>
        <w:rPr>
          <w:color w:val="777777"/>
          <w:sz w:val="18"/>
        </w:rPr>
        <w:t>received 2026-09-23 · attachments: attachment_1.pdf (5 pp)</w:t>
      </w:r>
    </w:p>
    <w:p>
      <w:r>
        <w:rPr>
          <w:color w:val="777777"/>
          <w:sz w:val="16"/>
        </w:rPr>
        <w:t xml:space="preserve">p001 · body  </w:t>
      </w:r>
      <w:r>
        <w:t>Please see the attached comments submitted by Dr. Zahra Timsah, Founder and Chief Executive Officer of i-GENTIC AI, regarding FDA Docket No. FDA-2026-N-7874, Considerations for the Regulation of Generative AI-Enabled Medical Devices.</w:t>
      </w:r>
    </w:p>
    <w:p>
      <w:r>
        <w:rPr>
          <w:color w:val="777777"/>
          <w:sz w:val="16"/>
        </w:rPr>
        <w:t xml:space="preserve">p002 · att1 p.1  </w:t>
      </w:r>
      <w:r>
        <w:t>PUBLIC COMMENT Considerations for the Regulation of Generative AI-Enabled Medical Devices — Docket No. FDA-2026-N-7874 | Submitted September 23, 2026</w:t>
      </w:r>
    </w:p>
    <w:p>
      <w:r>
        <w:rPr>
          <w:color w:val="777777"/>
          <w:sz w:val="16"/>
        </w:rPr>
        <w:t xml:space="preserve">p003 · att1 p.1  </w:t>
      </w:r>
      <w:r>
        <w:t>Submitted by Dr. Zahra Timsah, PhD, MBA, MSc — Organization i-GENTIC AI — Role Founder and Chief Executive Officer</w:t>
      </w:r>
    </w:p>
    <w:p>
      <w:r>
        <w:rPr>
          <w:color w:val="777777"/>
          <w:sz w:val="16"/>
        </w:rPr>
        <w:t xml:space="preserve">p004 · att1 p.1  </w:t>
      </w:r>
      <w:r>
        <w:t>Location Houston, Texas — Executive recommendation — FDA should preserve the discussion paper's risk-proportionate and competency-based direction, but extend the framework from periodic evaluation to continuous, evidence-producing governance across the total product life cycle. Generative and agentic systems can change behavior between formal assessments because of context, tool access, retrieval sources, configuration, third-party model updates, or multi-step interactions. For higher-consequence functions, safety therefore cannot depend on benchmark scores alone.</w:t>
      </w:r>
    </w:p>
    <w:p>
      <w:r>
        <w:rPr>
          <w:color w:val="777777"/>
          <w:sz w:val="16"/>
        </w:rPr>
        <w:t xml:space="preserve">p005 · att1 p.1  </w:t>
      </w:r>
      <w:r>
        <w:t>The regulatory objective should be not only to determine whether a device performed acceptably in a test environment, but also to establish whether the deployed system remains within an authorized safety envelope before, during, and after each consequential action.</w:t>
      </w:r>
    </w:p>
    <w:p>
      <w:r>
        <w:rPr>
          <w:color w:val="777777"/>
          <w:sz w:val="16"/>
        </w:rPr>
        <w:t xml:space="preserve">p006 · att1 p.1  </w:t>
      </w:r>
      <w:r>
        <w:t>i-GENTIC AI recommends that CDRH define a minimum runtime governance evidence package for higher-risk GenAI-enabled devices. That package should include machine-readable safety policies; versioned provenance linking obligations, controls, tests, and deployed configurations; pre-action policy checks; documented human-oversight checkpoints; immutable audit records; continuous performance and drift monitoring; and a validated fail-safe mechanism capable of stopping or constraining unsafe action.</w:t>
      </w:r>
    </w:p>
    <w:p>
      <w:r>
        <w:rPr>
          <w:color w:val="777777"/>
          <w:sz w:val="16"/>
        </w:rPr>
        <w:t xml:space="preserve">p007 · att1 p.1  </w:t>
      </w:r>
      <w:r>
        <w:t>Perspective of the commenter — I submit these comments as Founder and CEO of i-GENTIC AI, a company focused on runtime governance for regulated environments. My perspective reflects approximately seventeen years across medical devices, biotechnology, healthcare, financial services, and AI governance, including engagement with regulatory and public-policy stakeholders. These comments address governance architecture and evidence principles. They do not disclose confidential customer information or proprietary implementation details.</w:t>
      </w:r>
    </w:p>
    <w:p>
      <w:r>
        <w:rPr>
          <w:color w:val="777777"/>
          <w:sz w:val="16"/>
        </w:rPr>
        <w:t xml:space="preserve">p008 · att1 p.2  </w:t>
      </w:r>
      <w:r>
        <w:t>1. Risk assessment should measure controllability, not only activity and consequence — Response to Questions 1-6. The proposed activity-by-consequence framework is a useful starting point, but two functions with similar intended uses may present materially different real-world risk depending on their autonomy, access, traceability, and capacity to be interrupted. CDRH should treat the following as explicit risk modifiers:</w:t>
      </w:r>
    </w:p>
    <w:p>
      <w:r>
        <w:rPr>
          <w:color w:val="777777"/>
          <w:sz w:val="16"/>
        </w:rPr>
        <w:t xml:space="preserve">p009 · att1 p.2  </w:t>
      </w:r>
      <w:r>
        <w:t>• Autonomy and privilege: whether the system only generates information or can call tools, alter records, initiate orders, control another device, or trigger downstream workflows.</w:t>
      </w:r>
    </w:p>
    <w:p>
      <w:r>
        <w:rPr>
          <w:color w:val="777777"/>
          <w:sz w:val="16"/>
        </w:rPr>
        <w:t xml:space="preserve">p010 · att1 p.2  </w:t>
      </w:r>
      <w:r>
        <w:t>• Reversibility and time to intervention: whether an action can be undone, whether harm could occur before human review, and whether a safe rollback path exists.</w:t>
      </w:r>
    </w:p>
    <w:p>
      <w:r>
        <w:rPr>
          <w:color w:val="777777"/>
          <w:sz w:val="16"/>
        </w:rPr>
        <w:t xml:space="preserve">p011 · att1 p.2  </w:t>
      </w:r>
      <w:r>
        <w:t>• Traceability and provenance: whether an output can be linked to authoritative source material, the applicable device configuration, the underlying model version, retrieved content, tool calls, and governing policy.</w:t>
      </w:r>
    </w:p>
    <w:p>
      <w:r>
        <w:rPr>
          <w:color w:val="777777"/>
          <w:sz w:val="16"/>
        </w:rPr>
        <w:t xml:space="preserve">p012 · att1 p.2  </w:t>
      </w:r>
      <w:r>
        <w:t>• Detectability: whether an incorrect output or policy violation is likely to be recognized before reliance or harm.</w:t>
      </w:r>
    </w:p>
    <w:p>
      <w:r>
        <w:rPr>
          <w:color w:val="777777"/>
          <w:sz w:val="16"/>
        </w:rPr>
        <w:t xml:space="preserve">p013 · att1 p.2  </w:t>
      </w:r>
      <w:r>
        <w:t>• Changeability: whether model, prompt, retrieval corpus, tool, workflow, or policy changes can alter behavior without a clearly bounded release event.</w:t>
      </w:r>
    </w:p>
    <w:p>
      <w:r>
        <w:rPr>
          <w:color w:val="777777"/>
          <w:sz w:val="16"/>
        </w:rPr>
        <w:t xml:space="preserve">p014 · att1 p.2  </w:t>
      </w:r>
      <w:r>
        <w:t>• Downstream safeguards: whether independent controls, human checkpoints, permission limits, and fail-safe mechanisms can prevent or contain harm.</w:t>
      </w:r>
    </w:p>
    <w:p>
      <w:r>
        <w:rPr>
          <w:color w:val="777777"/>
          <w:sz w:val="16"/>
        </w:rPr>
        <w:t xml:space="preserve">p015 · att1 p.2  </w:t>
      </w:r>
      <w:r>
        <w:t>Patient-facing versus HCP-facing status should not be a categorical proxy for risk. The more relevant questions are whether the intended user can independently review the basis for an output, whether the output is presented with unwarranted certainty, whether time permits verification, and whether the device can directly cause or initiate a consequential action. A specialist-facing system may still be high risk when it creates automation bias or acts faster than meaningful review can occur.</w:t>
      </w:r>
    </w:p>
    <w:p>
      <w:r>
        <w:rPr>
          <w:color w:val="777777"/>
          <w:sz w:val="16"/>
        </w:rPr>
        <w:t xml:space="preserve">p016 · att1 p.2  </w:t>
      </w:r>
      <w:r>
        <w:t>For multi-turn systems, risk should be assessed over complete conversational and action trajectories, including boundary migration from informational to directive behavior. Sponsors should test semantically equivalent prompts, changing context, contradictory inputs, long-context degradation, repeated attempts to bypass restrictions, and transitions between modes. Under-escalation and over-escalation should be reported separately because their harms, thresholds, and acceptable tradeoffs are not interchangeable.</w:t>
      </w:r>
    </w:p>
    <w:p>
      <w:r>
        <w:rPr>
          <w:color w:val="777777"/>
          <w:sz w:val="16"/>
        </w:rPr>
        <w:t xml:space="preserve">p017 · att1 p.2  </w:t>
      </w:r>
      <w:r>
        <w:t>2. Competency-based premarket evaluation is appropriate, but benchmarks must be connected to deployment controls</w:t>
      </w:r>
    </w:p>
    <w:p>
      <w:r>
        <w:rPr>
          <w:color w:val="777777"/>
          <w:sz w:val="16"/>
        </w:rPr>
        <w:t xml:space="preserve">p018 · att1 p.2  </w:t>
      </w:r>
      <w:r>
        <w:t>Response to Questions 7-17. Device benchmarking followed by risk-proportionate clinical confirmation is a sound framework. It should not, however, be treated as a one-time examination. A benchmark result is meaningful only when the sponsor can demonstrate that the tested configuration is the configuration deployed, that changes are controlled, and that the relevant competencies remain enforceable at runtime.</w:t>
      </w:r>
    </w:p>
    <w:p>
      <w:r>
        <w:rPr>
          <w:color w:val="777777"/>
          <w:sz w:val="16"/>
        </w:rPr>
        <w:t xml:space="preserve">p019 · att1 p.2  </w:t>
      </w:r>
      <w:r>
        <w:t>CDRH should require sponsors to define acceptance criteria at three levels: • Outcome level: clinical correctness, safety, communication, calibration, subgroup performance, refusal, and escalation.</w:t>
      </w:r>
    </w:p>
    <w:p>
      <w:r>
        <w:rPr>
          <w:color w:val="777777"/>
          <w:sz w:val="16"/>
        </w:rPr>
        <w:t xml:space="preserve">p020 · att1 p.2  </w:t>
      </w:r>
      <w:r>
        <w:t>• Process level: adherence to required steps, use of authorized evidence, correct tool selection, preservation of human-review gates, and appropriate handling of missing or conflicting information.</w:t>
      </w:r>
    </w:p>
    <w:p>
      <w:r>
        <w:rPr>
          <w:color w:val="777777"/>
          <w:sz w:val="16"/>
        </w:rPr>
        <w:t xml:space="preserve">p021 · att1 p.2  </w:t>
      </w:r>
      <w:r>
        <w:t>• Control level: evidence that a safety-relevant rule can be observed, alerted upon, or enforced; that violations generate records; and that an unsafe action can be prevented or stopped.</w:t>
      </w:r>
    </w:p>
    <w:p>
      <w:r>
        <w:rPr>
          <w:color w:val="777777"/>
          <w:sz w:val="16"/>
        </w:rPr>
        <w:t xml:space="preserve">p022 · att1 p.3  </w:t>
      </w:r>
      <w:r>
        <w:t>Public benchmarks can support development but should not be the sole gate for authorization because of contamination, test optimization, and limited representativeness. Sponsors should establish construct validity by linking each benchmark to the intended use, foreseeable users, clinical environment, failure modes, and real-world input distribution. Sequestered data, independent adjudication, challenge sets, and prospective or shadow-mode evidence should increase with consequence and autonomy.</w:t>
      </w:r>
    </w:p>
    <w:p>
      <w:r>
        <w:rPr>
          <w:color w:val="777777"/>
          <w:sz w:val="16"/>
        </w:rPr>
        <w:t xml:space="preserve">p023 · att1 p.3  </w:t>
      </w:r>
      <w:r>
        <w:t>Synthetic data may supplement rare-event, edge-case, adversarial, and coverage testing, but should remain separately reported from real-world evidence. Sponsors should disclose the generator, generation protocol, independence from the device under test, subgroup coverage, fidelity limitations, and the sensitivity of results to distribution shift. Synthetic evidence should not mask weak performance for underrepresented populations.</w:t>
      </w:r>
    </w:p>
    <w:p>
      <w:r>
        <w:rPr>
          <w:color w:val="777777"/>
          <w:sz w:val="16"/>
        </w:rPr>
        <w:t xml:space="preserve">p024 · att1 p.3  </w:t>
      </w:r>
      <w:r>
        <w:t>Independent third parties can strengthen confidence by maintaining sequestered datasets, validating testing methods, and adjudicating results. Program design should require technical competence, conflicts disclosure, reproducible methods, transparent qualification criteria, and portability of evidence so that third-party participation does not create a closed market or vendor lock-in.</w:t>
      </w:r>
    </w:p>
    <w:p>
      <w:r>
        <w:rPr>
          <w:color w:val="777777"/>
          <w:sz w:val="16"/>
        </w:rPr>
        <w:t xml:space="preserve">p025 · att1 p.3  </w:t>
      </w:r>
      <w:r>
        <w:t>3. Postmarket oversight should become continuous and event-driven for higher-risk systems — Response to Questions 18-24. Greater reliance on postmarket evidence may be appropriate only where the residual uncertainty is bounded, the likely harm is reversible or containable, monitoring has adequate sensitivity and timeliness, and the manufacturer can intervene before unacceptable risk materializes. It should not substitute for sufficient premarket evidence where autonomous action could cause immediate, serious, or irreversible harm.</w:t>
      </w:r>
    </w:p>
    <w:p>
      <w:r>
        <w:rPr>
          <w:color w:val="777777"/>
          <w:sz w:val="16"/>
        </w:rPr>
        <w:t xml:space="preserve">p026 · att1 p.3  </w:t>
      </w:r>
      <w:r>
        <w:t>Periodic re-benchmarking, clinician sampling, and degradation monitoring are valuable, but cadence alone is insufficient. CDRH should expect both scheduled review and event-triggered reassessment. Triggering events should include:</w:t>
      </w:r>
    </w:p>
    <w:p>
      <w:r>
        <w:rPr>
          <w:color w:val="777777"/>
          <w:sz w:val="16"/>
        </w:rPr>
        <w:t xml:space="preserve">p027 · att1 p.3  </w:t>
      </w:r>
      <w:r>
        <w:t>• a foundation-model, prompt, retrieval, tool, data-source, infrastructure, or interface change;</w:t>
      </w:r>
    </w:p>
    <w:p>
      <w:r>
        <w:rPr>
          <w:color w:val="777777"/>
          <w:sz w:val="16"/>
        </w:rPr>
        <w:t xml:space="preserve">p028 · att1 p.3  </w:t>
      </w:r>
      <w:r>
        <w:t>• a performance, calibration, refusal, escalation, subgroup, or latency threshold breach;</w:t>
      </w:r>
    </w:p>
    <w:p>
      <w:r>
        <w:rPr>
          <w:color w:val="777777"/>
          <w:sz w:val="16"/>
        </w:rPr>
        <w:t xml:space="preserve">p029 · att1 p.3  </w:t>
      </w:r>
      <w:r>
        <w:t>• a new failure mode, complaint pattern, adverse event, security vulnerability, or credible threat signal;</w:t>
      </w:r>
    </w:p>
    <w:p>
      <w:r>
        <w:rPr>
          <w:color w:val="777777"/>
          <w:sz w:val="16"/>
        </w:rPr>
        <w:t xml:space="preserve">p030 · att1 p.3  </w:t>
      </w:r>
      <w:r>
        <w:t>• a material change in intended users, workflow, clinical environment, labeling, or governing requirements; and</w:t>
      </w:r>
    </w:p>
    <w:p>
      <w:r>
        <w:rPr>
          <w:color w:val="777777"/>
          <w:sz w:val="16"/>
        </w:rPr>
        <w:t xml:space="preserve">p031 · att1 p.3  </w:t>
      </w:r>
      <w:r>
        <w:t>• evidence that the deployed system has drifted from the authorized configuration or safety envelope.</w:t>
      </w:r>
    </w:p>
    <w:p>
      <w:r>
        <w:rPr>
          <w:color w:val="777777"/>
          <w:sz w:val="16"/>
        </w:rPr>
        <w:t xml:space="preserve">p032 · att1 p.3  </w:t>
      </w:r>
      <w:r>
        <w:t>Postmarket evidence should be traceable from the governing requirement to the implemented control, deployed version, triggering event, resulting decision, and corrective action. This is where machine-readable policies and automated evidence collection can reduce burden while improving inspection readiness.</w:t>
      </w:r>
    </w:p>
    <w:p>
      <w:r>
        <w:rPr>
          <w:color w:val="777777"/>
          <w:sz w:val="16"/>
        </w:rPr>
        <w:t xml:space="preserve">p033 · att1 p.3  </w:t>
      </w:r>
      <w:r>
        <w:t>4. Supervisory agents can help, but they must be independent, bounded, and auditable</w:t>
      </w:r>
    </w:p>
    <w:p>
      <w:r>
        <w:rPr>
          <w:color w:val="777777"/>
          <w:sz w:val="16"/>
        </w:rPr>
        <w:t xml:space="preserve">p034 · att1 p.3  </w:t>
      </w:r>
      <w:r>
        <w:t>Response to Question 20. Machine-based supervisory agents can materially improve postmarket monitoring by evaluating actions at machine speed, detecting prohibited conditions, and creating consistent evidence. They should not be presumed reliable merely because they use a different model. Their authority, inputs, failure modes, and own change history require validation.</w:t>
      </w:r>
    </w:p>
    <w:p>
      <w:r>
        <w:rPr>
          <w:color w:val="777777"/>
          <w:sz w:val="16"/>
        </w:rPr>
        <w:t xml:space="preserve">p035 · att1 p.3  </w:t>
      </w:r>
      <w:r>
        <w:t>For safety-critical use, CDRH should consider the following design expectations: • architectural separation between the acting system and the supervisory control;</w:t>
      </w:r>
    </w:p>
    <w:p>
      <w:r>
        <w:rPr>
          <w:color w:val="777777"/>
          <w:sz w:val="16"/>
        </w:rPr>
        <w:t xml:space="preserve">p036 · att1 p.4  </w:t>
      </w:r>
      <w:r>
        <w:t>• deterministic enforcement for clear, safety-critical prohibitions where feasible, with semantic methods used for interpretation and ambiguity handling;</w:t>
      </w:r>
    </w:p>
    <w:p>
      <w:r>
        <w:rPr>
          <w:color w:val="777777"/>
          <w:sz w:val="16"/>
        </w:rPr>
        <w:t xml:space="preserve">p037 · att1 p.4  </w:t>
      </w:r>
      <w:r>
        <w:t>• independent testing against false-negative, false-positive, common-mode, prompt-injection, and tool-output manipulation failures;</w:t>
      </w:r>
    </w:p>
    <w:p>
      <w:r>
        <w:rPr>
          <w:color w:val="777777"/>
          <w:sz w:val="16"/>
        </w:rPr>
        <w:t xml:space="preserve">p038 · att1 p.4  </w:t>
      </w:r>
      <w:r>
        <w:t>• fail-safe behavior when the supervisor is unavailable, uncertain, or detects a high-severity violation;</w:t>
      </w:r>
    </w:p>
    <w:p>
      <w:r>
        <w:rPr>
          <w:color w:val="777777"/>
          <w:sz w:val="16"/>
        </w:rPr>
        <w:t xml:space="preserve">p039 · att1 p.4  </w:t>
      </w:r>
      <w:r>
        <w:t>• tamper-evident logs and versioned evidence showing which policy and model configuration governed each action; and</w:t>
      </w:r>
    </w:p>
    <w:p>
      <w:r>
        <w:rPr>
          <w:color w:val="777777"/>
          <w:sz w:val="16"/>
        </w:rPr>
        <w:t xml:space="preserve">p040 · att1 p.4  </w:t>
      </w:r>
      <w:r>
        <w:t>• human review and escalation paths proportional to consequence, urgency, and reversibility.</w:t>
      </w:r>
    </w:p>
    <w:p>
      <w:r>
        <w:rPr>
          <w:color w:val="777777"/>
          <w:sz w:val="16"/>
        </w:rPr>
        <w:t xml:space="preserve">p041 · att1 p.4  </w:t>
      </w:r>
      <w:r>
        <w:t>A supervisory agent should itself be treated as a safety-relevant component when the device relies on it to maintain reasonable assurance of safety and effectiveness.</w:t>
      </w:r>
    </w:p>
    <w:p>
      <w:r>
        <w:rPr>
          <w:color w:val="777777"/>
          <w:sz w:val="16"/>
        </w:rPr>
        <w:t xml:space="preserve">p042 · att1 p.4  </w:t>
      </w:r>
      <w:r>
        <w:t>5. Foundation-model files should improve transparency but not transfer accountability — Response to Questions 24-25. A voluntary Foundation Model Device Master File could reduce duplicative review and improve consistency, provided it is maintained at a useful level of specificity. At minimum, it should address model and interface versioning; supported and excluded uses; known failure modes; safety-relevant training-data provenance at an appropriate level; healthcare-relevant evaluation results; subgroup performance; content and refusal policies; security and tool-use constraints; audit-log availability; change-notification commitments; rollback support; and the expected effect of updates on downstream applications.</w:t>
      </w:r>
    </w:p>
    <w:p>
      <w:r>
        <w:rPr>
          <w:color w:val="777777"/>
          <w:sz w:val="16"/>
        </w:rPr>
        <w:t xml:space="preserve">p043 · att1 p.4  </w:t>
      </w:r>
      <w:r>
        <w:t>Voluntary files will not be sufficient where developers lack incentives to disclose or update safety-relevant information. CDRH should also consider standardized supplier interface contracts, minimum change-notice expectations, machine-readable version manifests, and sponsor-maintained verification tests that detect material behavioral changes. The medical-device manufacturer must remain accountable for the safety and effectiveness of the final configured device.</w:t>
      </w:r>
    </w:p>
    <w:p>
      <w:r>
        <w:rPr>
          <w:color w:val="777777"/>
          <w:sz w:val="16"/>
        </w:rPr>
        <w:t xml:space="preserve">p044 · att1 p.4  </w:t>
      </w:r>
      <w:r>
        <w:t>6. Agentic devices require identity, authority, and action-level controls — Response to Question 26. Agentic AI introduces a distinct risk: the system may convert an error in reasoning into a sequence of real-world actions before a person can intervene. Evaluation should therefore assess the complete plan-action-observation loop, not only the final output.</w:t>
      </w:r>
    </w:p>
    <w:p>
      <w:r>
        <w:rPr>
          <w:color w:val="777777"/>
          <w:sz w:val="16"/>
        </w:rPr>
        <w:t xml:space="preserve">p045 · att1 p.4  </w:t>
      </w:r>
      <w:r>
        <w:t>CDRH should expect an agent identity and authority record, comparable to a digital passport, that binds each deployed agent to its owner, intended use, authorized tools, permission scope, model and policy versions, human oversight requirements, and revocation status. Each consequential tool call should be attributable to that identity.</w:t>
      </w:r>
    </w:p>
    <w:p>
      <w:r>
        <w:rPr>
          <w:color w:val="777777"/>
          <w:sz w:val="16"/>
        </w:rPr>
        <w:t xml:space="preserve">p046 · att1 p.4  </w:t>
      </w:r>
      <w:r>
        <w:t>Additional expectations should include least-privilege permissions; allowlisted tools and data sources; pre-action policy evaluation; explicit human approval before irreversible or high-consequence actions; separation of planning from execution where appropriate; transaction limits; safe rollback; rate and sequence controls; resistance to prompt injection from users, retrieved content, and tools; and an independently testable emergency stop or kill switch.</w:t>
      </w:r>
    </w:p>
    <w:p>
      <w:r>
        <w:rPr>
          <w:color w:val="777777"/>
          <w:sz w:val="16"/>
        </w:rPr>
        <w:t xml:space="preserve">p047 · att1 p.4  </w:t>
      </w:r>
      <w:r>
        <w:t>Acceptance criteria should include not only task success, but also prohibited-action rate, policy-compliance rate, unauthorized-tool-call rate, human-checkpoint adherence, recovery from tool failure, safe behavior under conflicting instructions, and time to containment after a violation.</w:t>
      </w:r>
    </w:p>
    <w:p>
      <w:r>
        <w:rPr>
          <w:color w:val="777777"/>
          <w:sz w:val="16"/>
        </w:rPr>
        <w:t xml:space="preserve">p048 · att1 p.5  </w:t>
      </w:r>
      <w:r>
        <w:t>7. Recommended minimum runtime governance evidence package — To translate the paper's principles into an inspectable and least-burdensome framework, CDRH should consider defining a minimum evidence package, scaled by risk, containing:</w:t>
      </w:r>
    </w:p>
    <w:p>
      <w:r>
        <w:rPr>
          <w:color w:val="777777"/>
          <w:sz w:val="16"/>
        </w:rPr>
        <w:t xml:space="preserve">p049 · att1 p.5  </w:t>
      </w:r>
      <w:r>
        <w:t>• a versioned map from intended use, hazards, labeling, and applicable requirements to testable controls;</w:t>
      </w:r>
    </w:p>
    <w:p>
      <w:r>
        <w:rPr>
          <w:color w:val="777777"/>
          <w:sz w:val="16"/>
        </w:rPr>
        <w:t xml:space="preserve">p050 · att1 p.5  </w:t>
      </w:r>
      <w:r>
        <w:t>• the deployed model, prompt, retrieval, tool, data, and policy configuration;</w:t>
      </w:r>
    </w:p>
    <w:p>
      <w:r>
        <w:rPr>
          <w:color w:val="777777"/>
          <w:sz w:val="16"/>
        </w:rPr>
        <w:t xml:space="preserve">p051 · att1 p.5  </w:t>
      </w:r>
      <w:r>
        <w:t>• predefined acceptance criteria and the evidence used to establish them;</w:t>
      </w:r>
    </w:p>
    <w:p>
      <w:r>
        <w:rPr>
          <w:color w:val="777777"/>
          <w:sz w:val="16"/>
        </w:rPr>
        <w:t xml:space="preserve">p052 · att1 p.5  </w:t>
      </w:r>
      <w:r>
        <w:t>• runtime decisions, exceptions, overrides, and human approvals;</w:t>
      </w:r>
    </w:p>
    <w:p>
      <w:r>
        <w:rPr>
          <w:color w:val="777777"/>
          <w:sz w:val="16"/>
        </w:rPr>
        <w:t xml:space="preserve">p053 · att1 p.5  </w:t>
      </w:r>
      <w:r>
        <w:t>• change history, drift signals, re-evaluation triggers, and corrective actions;</w:t>
      </w:r>
    </w:p>
    <w:p>
      <w:r>
        <w:rPr>
          <w:color w:val="777777"/>
          <w:sz w:val="16"/>
        </w:rPr>
        <w:t xml:space="preserve">p054 · att1 p.5  </w:t>
      </w:r>
      <w:r>
        <w:t>• subgroup, site, workflow, and environment performance where clinically relevant; and — • proof that fail-safe, rollback, revocation, and emergency-stop mechanisms were tested.</w:t>
      </w:r>
    </w:p>
    <w:p>
      <w:r>
        <w:rPr>
          <w:color w:val="777777"/>
          <w:sz w:val="16"/>
        </w:rPr>
        <w:t xml:space="preserve">p055 · att1 p.5  </w:t>
      </w:r>
      <w:r>
        <w:t>Such an evidence package would allow FDA to evaluate not merely whether a sponsor has written a governance plan, but whether the deployed system is actually governed and whether that governance can be demonstrated through contemporaneous evidence.</w:t>
      </w:r>
    </w:p>
    <w:p>
      <w:r>
        <w:rPr>
          <w:color w:val="777777"/>
          <w:sz w:val="16"/>
        </w:rPr>
        <w:t xml:space="preserve">p056 · att1 p.5  </w:t>
      </w:r>
      <w:r>
        <w:t>Conclusion — CDRH's discussion paper is an important and timely foundation. Its strongest feature is recognition that GenAI-enabled medical devices require risk-proportionate evaluation across the total product life cycle. The next step should be to make that lifecycle approach operational: benchmark the system, clinically confirm performance, control the deployed configuration, govern consequential actions before execution, and continuously produce evidence that the authorized safety envelope remains intact.</w:t>
      </w:r>
    </w:p>
    <w:p>
      <w:r>
        <w:rPr>
          <w:color w:val="777777"/>
          <w:sz w:val="16"/>
        </w:rPr>
        <w:t xml:space="preserve">p057 · att1 p.5  </w:t>
      </w:r>
      <w:r>
        <w:t>For generative and agentic systems, governance after an incident is too late. The regulatory framework should encourage governance before action.</w:t>
      </w:r>
    </w:p>
    <w:p>
      <w:r>
        <w:rPr>
          <w:color w:val="777777"/>
          <w:sz w:val="16"/>
        </w:rPr>
        <w:t xml:space="preserve">p058 · att1 p.5  </w:t>
      </w:r>
      <w:r>
        <w:t>Respectfully submitted,</w:t>
      </w:r>
    </w:p>
    <w:p>
      <w:r>
        <w:rPr>
          <w:color w:val="777777"/>
          <w:sz w:val="16"/>
        </w:rPr>
        <w:t xml:space="preserve">p059 · att1 p.5  </w:t>
      </w:r>
      <w:r>
        <w:t>Dr. Zahra Timsah, PhD, MBA, MSc Founder and Chief Executive Officer i-GENTIC AI Houston, Texas</w:t>
      </w:r>
    </w:p>
    <w:p>
      <w:r>
        <w:rPr>
          <w:color w:val="777777"/>
          <w:sz w:val="16"/>
        </w:rPr>
        <w:t xml:space="preserve">p060 · att1 p.5  </w:t>
      </w:r>
      <w:r>
        <w:t>Primary source reviewed: U.S. Food and Drug Administration, Center for Devices and Radiological Health, Considerations for the Regulation of Generative AI-Enabled Medical Devices: Discussion Paper and Request for Feedback (Aug. 2026), Docket No. FDA-2026-N-7874.</w:t>
      </w:r>
    </w:p>
    <w:p>
      <w:pPr>
        <w:pStyle w:val="Heading1"/>
        <w:pageBreakBefore/>
      </w:pPr>
      <w:r>
        <w:t>FDA-2026-N-7874-0116</w:t>
      </w:r>
    </w:p>
    <w:p>
      <w:r>
        <w:t>Comment from Congress of Neurological Surgeons</w:t>
      </w:r>
    </w:p>
    <w:p>
      <w:r>
        <w:rPr>
          <w:color w:val="777777"/>
          <w:sz w:val="18"/>
        </w:rPr>
        <w:t>received 2026-09-23 · attachments: attachment_1.pdf (10 pp)</w:t>
      </w:r>
    </w:p>
    <w:p>
      <w:r>
        <w:rPr>
          <w:color w:val="777777"/>
          <w:sz w:val="16"/>
        </w:rPr>
        <w:t xml:space="preserve">p001 · body  </w:t>
      </w:r>
      <w:r>
        <w:t>See attached file(s)</w:t>
      </w:r>
    </w:p>
    <w:p>
      <w:r>
        <w:rPr>
          <w:color w:val="777777"/>
          <w:sz w:val="16"/>
        </w:rPr>
        <w:t xml:space="preserve">p002 · att1 p.1  </w:t>
      </w:r>
      <w:r>
        <w:t>CONGRESS OF NEUROLOGICAL SURGEONS — September 10, 2026 — Submitted electronically via Regulations.gov</w:t>
      </w:r>
    </w:p>
    <w:p>
      <w:r>
        <w:rPr>
          <w:color w:val="777777"/>
          <w:sz w:val="16"/>
        </w:rPr>
        <w:t xml:space="preserve">p003 · att1 p.1  </w:t>
      </w:r>
      <w:r>
        <w:t>Re: Docket No. FDA-2026-N-7874 — Considerations for the Regulation of Generative AI- Enabled Medical Devices: Discussion Paper and Request for Feedback</w:t>
      </w:r>
    </w:p>
    <w:p>
      <w:r>
        <w:rPr>
          <w:color w:val="777777"/>
          <w:sz w:val="16"/>
        </w:rPr>
        <w:t xml:space="preserve">p004 · att1 p.1  </w:t>
      </w:r>
      <w:r>
        <w:t>To the Center for Devices and Radiological Health: As the voice of organized neurosurgery, the Congress of Neurological Surgeons (CNS) appreciates the opportunity to comment on the Center for Devices and Radiological Health (CDRH) discussion paper, “Considerations for the Regulation of Generative AI-Enabled Medical Devices: Discussion Paper and Request for Feedback.” [1] We are a professional medical society dedicated to advancing neurosurgical education, scientific exchange, and clinical practice. The CNS supports a regulatory approach that protects patients while facilitating timely access to safe and effective innovation.</w:t>
      </w:r>
    </w:p>
    <w:p>
      <w:r>
        <w:rPr>
          <w:color w:val="777777"/>
          <w:sz w:val="16"/>
        </w:rPr>
        <w:t xml:space="preserve">p005 · att1 p.1  </w:t>
      </w:r>
      <w:r>
        <w:t>Neurosurgeons bring an important perspective to the evaluation of artificial intelligence (AI)-enabled devices. Our field is one of the most technologically advanced in modern healthcare, and we routinely are asked to be at the forefront of evaluating novel technologies for the treatment of diseases of the human nervous system. This perspective is particularly relevant when device outputs inform decisions about stroke, intracranial hemorrhage, spinal injury, tumors, epilepsy, and other conditions of the nervous system. We are accustomed to recognizing that technical performance and clinical benefit are related, but they are not interchangeable, and there is a distinct role for regulators, physicians, industry, and patients in ensuring that the appropriate technologies are utilized in patient care.</w:t>
      </w:r>
    </w:p>
    <w:p>
      <w:r>
        <w:rPr>
          <w:color w:val="777777"/>
          <w:sz w:val="16"/>
        </w:rPr>
        <w:t xml:space="preserve">p006 · att1 p.1  </w:t>
      </w:r>
      <w:r>
        <w:t>Our comments focus on Section VI and Questions 18–24, with related recommendations addressing Questions 6, 10, and 16. We recognize that the CDRH paper is intended to solicit discussion, does not establish regulatory expectations, and does not determine whether additional legal authority would be needed to implement the approaches under consideration. Our recommendations should be understood in that context.</w:t>
      </w:r>
    </w:p>
    <w:p>
      <w:r>
        <w:rPr>
          <w:color w:val="777777"/>
          <w:sz w:val="16"/>
        </w:rPr>
        <w:t xml:space="preserve">p007 · att1 p.1  </w:t>
      </w:r>
      <w:r>
        <w:t>Summary of CNS’s position — The Congress of Neurological Surgeons recommends that the US FDA require participation in a qualified, independently governed postmarket data system for generative AI (GenAI)-enabled device functions that direct or take clinical action, or when relying on an incorrect output could have moderate or severe consequences under the discussion paper’s two-axis framework. The system could use an existing data program, a shared database, or linked data held by multiple organizations. We further recommend formally studying Informational Non-Directive technologies and existing non-device CDS systems, currently exempt from FDA regulation, through similar data systems to better understand their potential risks and benefits.</w:t>
      </w:r>
    </w:p>
    <w:p>
      <w:r>
        <w:rPr>
          <w:color w:val="777777"/>
          <w:sz w:val="16"/>
        </w:rPr>
        <w:t xml:space="preserve">p008 · att1 p.1  </w:t>
      </w:r>
      <w:r>
        <w:t>Existing professional society data programs show how this type of monitoring can work. For GenAI-enabled devices, a postmarket data system can also bring in expert clinicians to review GenAI outputs and outcomes. The scope and intensity of monitoring should be proportionate to the intended use and clinical risk. For these functions, participation in a qualified data system should be a necessary, but not sufficient, condition for accepting greater premarket uncertainty which in some cases may require premarket studies including randomized controlled trials.</w:t>
      </w:r>
    </w:p>
    <w:p>
      <w:r>
        <w:rPr>
          <w:color w:val="777777"/>
          <w:sz w:val="16"/>
        </w:rPr>
        <w:t xml:space="preserve">p009 · att1 p.1  </w:t>
      </w:r>
      <w:r>
        <w:t>These recommendations build on established approaches in neurosurgery, vascular, orthopaedic, and imaging practice. We believe that following these recommendations would strengthen the evidence available to FDA, manufacturers, clinicians, and patients by GenAI use to downstream actions and outcomes. This will ultimately build trust in these new technologies, and enable them to provide greater benefit if they are proven to do so.</w:t>
      </w:r>
    </w:p>
    <w:p>
      <w:r>
        <w:rPr>
          <w:color w:val="777777"/>
          <w:sz w:val="16"/>
        </w:rPr>
        <w:t xml:space="preserve">p010 · att1 p.2  </w:t>
      </w:r>
      <w:r>
        <w:t>CNS offers seven specific recommendations: (1) require risk-based participation in a qualified data system, (2) establish clear qualification criteria, (3) preserve manufacturer accountability, (4) connect the data system with postmarket monitoring and change control, (5) use shared data to support independent benchmarking and expert review, (6) assess both under-escalation and over-escalation, and (7) coordinate FDA and Centers for Medicare &amp; Medicaid Services (CMS) requirements without relying exclusively on payment policy to sustain surveillance.</w:t>
      </w:r>
    </w:p>
    <w:p>
      <w:r>
        <w:rPr>
          <w:color w:val="777777"/>
          <w:sz w:val="16"/>
        </w:rPr>
        <w:t xml:space="preserve">p011 · att1 p.2  </w:t>
      </w:r>
      <w:r>
        <w:t>I. Strengthen active, outcome-linked post-market surveillance — CNS supports CDRH’s total product life cycle (TPLC) approach. Exhaustive premarket testing of openended GenAI-enabled devices is scientifically rigorous and in some cases may be necessary, but in many cases is impractical for GenAI and GenAI-enabled devices. The paper identifies a unique role for postmarket evidence. However, greater reliance on that evidence is justified only when the necessary monitoring infrastructure is operational, capable of detecting clinically important failures, connected to a timely response, and appropriately overseen by expert clinicians who are best situated to assess both model outputs and device outcomes. [1]</w:t>
      </w:r>
    </w:p>
    <w:p>
      <w:r>
        <w:rPr>
          <w:color w:val="777777"/>
          <w:sz w:val="16"/>
        </w:rPr>
        <w:t xml:space="preserve">p012 · att1 p.2  </w:t>
      </w:r>
      <w:r>
        <w:t>Published evidence illustrates limitations of relying on medical device reports alone. Babic and colleagues examined the Manufacturer and User Facility Device Experience (MAUDE) database for 823 AI/ML-enabled devices cleared between 2010 and 2023. They identified 943 reports, more than 98% of which concerned fewer than five devices. [2] The findings concern ML-enabled devices in general, and they underscore the difficulty of assessing real-world AI performance through a reporting system without adequate buy-in from regulators: missingness, vague and misleading information, inadequate event classification.</w:t>
      </w:r>
    </w:p>
    <w:p>
      <w:r>
        <w:rPr>
          <w:color w:val="777777"/>
          <w:sz w:val="16"/>
        </w:rPr>
        <w:t xml:space="preserve">p013 · att1 p.2  </w:t>
      </w:r>
      <w:r>
        <w:t>Collecting postmarket data on GenAI presents several challenges. A manufacturer may hold device configuration and inference records, while a healthcare institution holds the related clinical decisions and patient outcomes. Linking these records is necessary to assess how often the device was used, when its outputs were accepted or overridden, and whether performance differed by version, site, or patient subgroup. A shared database or linked data system can support the three approaches in Section VI.A: periodic re-benchmarking, sample-based clinician review, and performance degradation monitoring.</w:t>
      </w:r>
    </w:p>
    <w:p>
      <w:r>
        <w:rPr>
          <w:color w:val="777777"/>
          <w:sz w:val="16"/>
        </w:rPr>
        <w:t xml:space="preserve">p014 · att1 p.2  </w:t>
      </w:r>
      <w:r>
        <w:t>The paper’s clinician-competency analogy, while imperfect, also justifies ongoing assessment similar to the maintenance of certification that we routinely ask of physicians. For devices, independent, ongoing reporting of real-world performance can complement premarket evaluation and FDA oversight, and be done in a way that does not imply professional licensure or substitution for regulatory authorization.</w:t>
      </w:r>
    </w:p>
    <w:p>
      <w:r>
        <w:rPr>
          <w:color w:val="777777"/>
          <w:sz w:val="16"/>
        </w:rPr>
        <w:t xml:space="preserve">p015 · att1 p.2  </w:t>
      </w:r>
      <w:r>
        <w:t>II. Build on existing professional society data programs — There is ample precedent for collecting postmarket data through programs administered by professional societies. These programs can support regulatory oversight and provide access to clinicians who can review GenAI outputs and outcomes. The same principles can be applied through a shared database or linked data system. Any new effort should use or connect with existing data programs when practical, rather than duplicate them.</w:t>
      </w:r>
    </w:p>
    <w:p>
      <w:r>
        <w:rPr>
          <w:color w:val="777777"/>
          <w:sz w:val="16"/>
        </w:rPr>
        <w:t xml:space="preserve">p016 · att1 p.2  </w:t>
      </w:r>
      <w:r>
        <w:t>Transcatheter aortic valve replacement (TAVR) — The 2012 CMS national coverage determination required participation in a prospective, national, audited data program that consecutively enrolled TAVR patients, accepted all manufactured devices, and followed patients for at least one year. [4] These design features connected access to treatment with systematic evidence generation. They also illustrate the importance of specifying the denominator (total cases performed), follow-up, data quality, and clinical questions that the data program must address to aid in regulation.</w:t>
      </w:r>
    </w:p>
    <w:p>
      <w:r>
        <w:rPr>
          <w:color w:val="777777"/>
          <w:sz w:val="16"/>
        </w:rPr>
        <w:t xml:space="preserve">p017 · att1 p.3  </w:t>
      </w:r>
      <w:r>
        <w:t>A comparable approach appears in the 2016 CMS coverage determination for percutaneous left atrial appendage closure, which specified a prospective, national, audited data program, consecutive enrollment, and follow-up of at least four years. [5] The Vascular Implant Surveillance and Interventional Outcomes Network (VISION), developed through the Society for Vascular Surgery Patient Safety Organization and the Medical Device Epidemiology Network (MDEpiNet), further demonstrates how clinical data can be linked with Medicare claims to support longer-term device surveillance. [6]</w:t>
      </w:r>
    </w:p>
    <w:p>
      <w:r>
        <w:rPr>
          <w:color w:val="777777"/>
          <w:sz w:val="16"/>
        </w:rPr>
        <w:t xml:space="preserve">p018 · att1 p.3  </w:t>
      </w:r>
      <w:r>
        <w:t>Orthopedic and Novel AI Efforts (ASSESS-AI) — The FDA-sponsored ICOR program provides another example of collaboration across data organizations, including distributed approaches that allow participants to retain control of their data. [7] These experiences support using established clinical infrastructure rather than creating a separate, duplicative reporting system for every device.</w:t>
      </w:r>
    </w:p>
    <w:p>
      <w:r>
        <w:rPr>
          <w:color w:val="777777"/>
          <w:sz w:val="16"/>
        </w:rPr>
        <w:t xml:space="preserve">p019 · att1 p.3  </w:t>
      </w:r>
      <w:r>
        <w:t>More recently, the American College of Radiology (ACR) has extended postmarket data monitoring to imaging AI through Assess-AI. ACR describes monitoring of model inputs, versioning, and concordance with radiology reports, together with site and subgroup comparisons and reporting to institutional AI governance programs. [8] This is relevant infrastructure for the present discussion. Linking imaging performance information with downstream neurosurgical decisions, treatment timing, and outcomes could provide a more complete assessment of clinical impact. Such linkage should be collaborative and interoperable, rather than organized around duplicative specialty-specific data collection.</w:t>
      </w:r>
    </w:p>
    <w:p>
      <w:r>
        <w:rPr>
          <w:color w:val="777777"/>
          <w:sz w:val="16"/>
        </w:rPr>
        <w:t xml:space="preserve">p020 · att1 p.3  </w:t>
      </w:r>
      <w:r>
        <w:t>Lessons for GenAI-enabled devices — These precedents demonstrate the value of independent governance, clinically meaningful data, and durable participation mechanisms enabled by CMS. On the other hand, there are emerging precedents of existing technologies, currently used as clinical decision support (CDS) without regulatory oversight, consistently not seeing their real world applications match manufacturer’s claims. [9] A key challenge moving forwards will be re-examining the non-device CDS exemption’s four-point test. The four-point test criteria, at best, seem arbitrary as modern chatbots can also seamlessly analyze imaging data and signals, and are increasingly uninterpretable despite having reasoning streams or being able to “explain” their thinking.</w:t>
      </w:r>
    </w:p>
    <w:p>
      <w:r>
        <w:rPr>
          <w:color w:val="777777"/>
          <w:sz w:val="16"/>
        </w:rPr>
        <w:t xml:space="preserve">p021 · att1 p.3  </w:t>
      </w:r>
      <w:r>
        <w:t>III. Recommendations — Recommendation 1. Require risk-based participation in a qualified data system</w:t>
      </w:r>
    </w:p>
    <w:p>
      <w:r>
        <w:rPr>
          <w:color w:val="777777"/>
          <w:sz w:val="16"/>
        </w:rPr>
        <w:t xml:space="preserve">p022 · att1 p.3  </w:t>
      </w:r>
      <w:r>
        <w:t>Questions 18, 19, 21, and 22 — CNS recommends mandatory participation in a qualified postmarket data system for GenAI-enabled device functions that are action-directing or action-taking, or that have moderate or severe consequences if an incorrect output is relied upon. Similarly, we further recommend that Informational Non-Directive technologies, including non-device CDS that is currently unregulated, should be formally studied through similar data systems to better understand their potential risks and benefits.</w:t>
      </w:r>
    </w:p>
    <w:p>
      <w:r>
        <w:rPr>
          <w:color w:val="777777"/>
          <w:sz w:val="16"/>
        </w:rPr>
        <w:t xml:space="preserve">p023 · att1 p.3  </w:t>
      </w:r>
      <w:r>
        <w:t>FDA should identify the applicable legal mechanism for each device category, which in most cases already exists and is employed by FDA in the regulation of existing medical technologies. Potential mechanisms include post-market surveillance orders under section 522 of the Federal Food, Drug, and Cosmetic Act where the statutory criteria are met; post-approval study or other approval conditions for premarket approval devices; and appropriately established special controls for relevant class II device types. Section 522 and approval-condition authorities have defined scopes and are not interchangeable. [10] A Predetermined Change Control Plan (PCCP) may incorporate relevant monitoring and acceptance criteria, but is not equivalent to an independent postmarket data requirement. [11] Where existing authority is insufficient, FDA should identify that limitation and engage legislators and other stakeholders on an appropriate implementation approach.</w:t>
      </w:r>
    </w:p>
    <w:p>
      <w:r>
        <w:rPr>
          <w:color w:val="777777"/>
          <w:sz w:val="16"/>
        </w:rPr>
        <w:t xml:space="preserve">p024 · att1 p.4  </w:t>
      </w:r>
      <w:r>
        <w:t>For devices subject to the proposed requirement, the data system’s core functions should be operational at commercial launch: data agreements, common data elements, device and version identification, capture procedures, follow-up plans, and response responsibilities. A commitment to establish monitoring later should not support a reduction in premarket evidence.</w:t>
      </w:r>
    </w:p>
    <w:p>
      <w:r>
        <w:rPr>
          <w:color w:val="777777"/>
          <w:sz w:val="16"/>
        </w:rPr>
        <w:t xml:space="preserve">p025 · att1 p.4  </w:t>
      </w:r>
      <w:r>
        <w:t>Participation in a data system alone should not universally justify accepting greater premarket uncertainty. FDA should consider whether important harms can even be detected before they become widespread, whether corrective action can occur promptly, and whether residual uncertainty is compatible with a reasonable assurance of safety and effectiveness. For high-consequence functions with limited opportunity for human intervention or a risk of irreversible harm, post-market monitoring should not substitute for traditional and necessary premarket clinical evidence including randomized controlled trials. Any adjustment in evidence requirements should be specific to the device, intended use, and demonstrated capabilities of its monitoring program. As a specialty that routinely handles diseases that involve irreversible harm, the CNS welcomes the opportunity to work with the FDA in establishing guidelines for this.</w:t>
      </w:r>
    </w:p>
    <w:p>
      <w:r>
        <w:rPr>
          <w:color w:val="777777"/>
          <w:sz w:val="16"/>
        </w:rPr>
        <w:t xml:space="preserve">p026 · att1 p.4  </w:t>
      </w:r>
      <w:r>
        <w:t>CNS also recommends distinguishing the duration of a payer’s evidence-development requirement or regulatory timelines from the continuing need to monitor device safety and effectiveness. Rapid and frequent changes to a GenAI-enabled device’s model, prompts, retrieval components, guardrails, or deployment configuration may create continuing evaluation needs. Surveillance should not depend exclusively on a particular reimbursement policy or regulatory timeline, but be adaptable based upon underlying design choices with regards to software and model updates.</w:t>
      </w:r>
    </w:p>
    <w:p>
      <w:r>
        <w:rPr>
          <w:color w:val="777777"/>
          <w:sz w:val="16"/>
        </w:rPr>
        <w:t xml:space="preserve">p027 · att1 p.4  </w:t>
      </w:r>
      <w:r>
        <w:t>Recommendation 2. Establish criteria for qualified data systems — Questions 19 and 21</w:t>
      </w:r>
    </w:p>
    <w:p>
      <w:r>
        <w:rPr>
          <w:color w:val="777777"/>
          <w:sz w:val="16"/>
        </w:rPr>
        <w:t xml:space="preserve">p028 · att1 p.4  </w:t>
      </w:r>
      <w:r>
        <w:t>CNS recommends clear qualification criteria informed by established postmarket data programs. [4] At a minimum, a qualified data system should address the following:</w:t>
      </w:r>
    </w:p>
    <w:p>
      <w:r>
        <w:rPr>
          <w:color w:val="777777"/>
          <w:sz w:val="16"/>
        </w:rPr>
        <w:t xml:space="preserve">p029 · att1 p.4  </w:t>
      </w:r>
      <w:r>
        <w:t>Governance and Independence. Governance should include relevant professional societies, with documented independence from device manufacturers and foundation model developers. Governance should include appropriate clinical, patient, methodological, and institutional perspectives. FDA and CMS participation should be invited where appropriate and permissible. Industry participation should not confer control over adjudication, publication, or access to identifiable patient or site data.</w:t>
      </w:r>
    </w:p>
    <w:p>
      <w:r>
        <w:rPr>
          <w:color w:val="777777"/>
          <w:sz w:val="16"/>
        </w:rPr>
        <w:t xml:space="preserve">p030 · att1 p.4  </w:t>
      </w:r>
      <w:r>
        <w:t>Comprehensive capture of evidence. The data system should be designed to capture a core record for every in-scope encounter in which the device is used at participating sites, including outputs that are not acted upon. The denominator should also account for failed invocations and no-alert results where relevant. Completeness should be measurable, and it is advisable to include the gathering of unstructured records to further enable post-hoc review. Therefore detailed record review and outcome adjudication should use prespecified, risk-proportionate sampling, provided the sampling frame is retained and the limitations are reported, but it is advisable that data logging and storage enable posthoc assessments.</w:t>
      </w:r>
    </w:p>
    <w:p>
      <w:r>
        <w:rPr>
          <w:color w:val="777777"/>
          <w:sz w:val="16"/>
        </w:rPr>
        <w:t xml:space="preserve">p031 · att1 p.4  </w:t>
      </w:r>
      <w:r>
        <w:t>Versioning at Inference. Each record should identify the device and deployed version, including identifiers sufficient to distinguish the underlying model(s), harness(es), relevant prompt(s), and any other retrieval, guardrail, and orchestration configurations. Secure, versioned configuration references or hashes may avoid unnecessary duplication of proprietary content. The data system should report when a component’s identity cannot be reliably established, rather than imply complete traceability.</w:t>
      </w:r>
    </w:p>
    <w:p>
      <w:r>
        <w:rPr>
          <w:color w:val="777777"/>
          <w:sz w:val="16"/>
        </w:rPr>
        <w:t xml:space="preserve">p032 · att1 p.5  </w:t>
      </w:r>
      <w:r>
        <w:t>Outputs, Actions, and Outcomes. Common data elements should link device outputs to relevant clinical actions, the timing of those actions, and prespecified patient outcomes. Reference standards and adjudication procedures (e.g. human review procedures) should match the clinical question. Follow-up completeness, missing data, and linkage quality should be reported. Outcome associations should not be interpreted as causal evidence without an appropriate study design.</w:t>
      </w:r>
    </w:p>
    <w:p>
      <w:r>
        <w:rPr>
          <w:color w:val="777777"/>
          <w:sz w:val="16"/>
        </w:rPr>
        <w:t xml:space="preserve">p033 · att1 p.5  </w:t>
      </w:r>
      <w:r>
        <w:t>Subgroup and setting performance. The data system should support evaluation across clinically relevant demographic and clinical subgroups, healthcare settings, and intended user groups, including the populations. Reports should include denominators and uncertainty estimates and should distinguish insufficient evidence from evidence of comparable performance.</w:t>
      </w:r>
    </w:p>
    <w:p>
      <w:r>
        <w:rPr>
          <w:color w:val="777777"/>
          <w:sz w:val="16"/>
        </w:rPr>
        <w:t xml:space="preserve">p034 · att1 p.5  </w:t>
      </w:r>
      <w:r>
        <w:t>Independent audit and qualified review. Published standards should address completeness, accuracy, timeliness, data provenance, and linkage reliability. Independent audits should occur on a defined schedule. Automated extraction, interoperable data elements, and federated approaches should be used where feasible to reduce institutional burden without compromising evaluability. Prespecified qualifications for expert reviewers of GenAI technology are a critical requirement, as many model outputs and outcomes assessments will require expert review and adjudication.</w:t>
      </w:r>
    </w:p>
    <w:p>
      <w:r>
        <w:rPr>
          <w:color w:val="777777"/>
          <w:sz w:val="16"/>
        </w:rPr>
        <w:t xml:space="preserve">p035 · att1 p.5  </w:t>
      </w:r>
      <w:r>
        <w:t>Transparent reporting. The data system should provide participating sites with timely feedback and publish aggregate, appropriately de-identified, version-specific findings on a defined cadence. Public reports should explain sample sizes, follow-up, risk adjustment where appropriate, and material limitations. Reporting rules should protect privacy and avoid misleading comparisons when a version has limited exposure.</w:t>
      </w:r>
    </w:p>
    <w:p>
      <w:r>
        <w:rPr>
          <w:color w:val="777777"/>
          <w:sz w:val="16"/>
        </w:rPr>
        <w:t xml:space="preserve">p036 · att1 p.5  </w:t>
      </w:r>
      <w:r>
        <w:t>Privacy and appropriate site protections. Data collection should be limited to what is necessary for linkage, evaluation, and oversight, with appropriate security and data-use agreements. The governing framework should distinguish protected patient safety work product held within the data system from original clinical records and other separately maintained information. [12]</w:t>
      </w:r>
    </w:p>
    <w:p>
      <w:r>
        <w:rPr>
          <w:color w:val="777777"/>
          <w:sz w:val="16"/>
        </w:rPr>
        <w:t xml:space="preserve">p037 · att1 p.5  </w:t>
      </w:r>
      <w:r>
        <w:t>Regulatory access and operational continuity. Governance agreements should provide for timely FDA access to relevant analyses and supporting data for signal assessment. They should also define data retention, continuity during transitions between vendors or data systems, and a process for maintaining monitoring if a participating organization withdraws.</w:t>
      </w:r>
    </w:p>
    <w:p>
      <w:r>
        <w:rPr>
          <w:color w:val="777777"/>
          <w:sz w:val="16"/>
        </w:rPr>
        <w:t xml:space="preserve">p038 · att1 p.5  </w:t>
      </w:r>
      <w:r>
        <w:t>Recommendation 3. Preserve manufacturer accountability and incentives for expert evaluators — Question 21</w:t>
      </w:r>
    </w:p>
    <w:p>
      <w:r>
        <w:rPr>
          <w:color w:val="777777"/>
          <w:sz w:val="16"/>
        </w:rPr>
        <w:t xml:space="preserve">p039 · att1 p.5  </w:t>
      </w:r>
      <w:r>
        <w:t>Similar to existing postmarket data efforts as noted above, there are distinct roles for all stakeholders that are ensured by the FDA and, in some cases, by CMS. The data system independently measures and reports performance, FDA exercises regulatory oversight, and the manufacturer remains responsible for its device and applicable regulatory obligations. CMS participation in such efforts can further encourage development of and participation in the data system.</w:t>
      </w:r>
    </w:p>
    <w:p>
      <w:r>
        <w:rPr>
          <w:color w:val="777777"/>
          <w:sz w:val="16"/>
        </w:rPr>
        <w:t xml:space="preserve">p040 · att1 p.5  </w:t>
      </w:r>
      <w:r>
        <w:t>Manufacturers remain responsible for required medical device reporting, investigation of signals identified through the data system, corrective action, and communication with FDA and affected users. [3] Surveillance plans should specify notification and response timelines according to the potential severity of a signal. Institutions and clinicians should retain their respective clinical, reporting, and data-governance responsibilities. The data system should have an independent escalation process so that urgent concerns do not depend solely on a manufacturer’s willingness to act.</w:t>
      </w:r>
    </w:p>
    <w:p>
      <w:r>
        <w:rPr>
          <w:color w:val="777777"/>
          <w:sz w:val="16"/>
        </w:rPr>
        <w:t xml:space="preserve">p041 · att1 p.6  </w:t>
      </w:r>
      <w:r>
        <w:t>Funding arrangements should include support for sustainable, independent evaluation. In some cases, particularly for chatbots, these evaluations will require clinician time and expert resources for manual review of outputs. Manufacturer contributions may be appropriate, but should not be associated with obtaining favorable findings or unrestricted access to patient or institution-level data. Fees, conflicts of interest, and analytical governance must be transparent, and overseen by FDA. The qualification framework should permit multiple qualified operators, including existing data-program operators and cross-specialty collaborations, rather than establish an exclusive operator or an unnecessary barrier for smaller developers and participating practices.</w:t>
      </w:r>
    </w:p>
    <w:p>
      <w:r>
        <w:rPr>
          <w:color w:val="777777"/>
          <w:sz w:val="16"/>
        </w:rPr>
        <w:t xml:space="preserve">p042 · att1 p.6  </w:t>
      </w:r>
      <w:r>
        <w:t>Recommendation 4. Connect data systems with monitoring and change control — Questions 19, 20, 22, 23, and 24</w:t>
      </w:r>
    </w:p>
    <w:p>
      <w:r>
        <w:rPr>
          <w:color w:val="777777"/>
          <w:sz w:val="16"/>
        </w:rPr>
        <w:t xml:space="preserve">p043 · att1 p.6  </w:t>
      </w:r>
      <w:r>
        <w:t>CNS supports all three post-market approaches described in Section VI.A. Periodic re-benchmarking should include both stable reference sets, which permit comparison over time, and independently selected contemporary cases, which assess the population actually encountered. Dataset shift is a major source of concern, as models are static and clinical environments are dynamic. Clinician review can use a pre-specified sample drawn from the full set of cases captured by the data system, with appropriate representation of high-consequence presentations and relevant subgroups. Reviewers should be qualified for the clinical task and independent of the manufacturer and underlying model developer.</w:t>
      </w:r>
    </w:p>
    <w:p>
      <w:r>
        <w:rPr>
          <w:color w:val="777777"/>
          <w:sz w:val="16"/>
        </w:rPr>
        <w:t xml:space="preserve">p044 · att1 p.6  </w:t>
      </w:r>
      <w:r>
        <w:t>Performance degradation monitoring should evaluate clinically meaningful measures against the premarket baseline and subsequent validated configurations. The plan should specify the routine cadence and event-based triggers, such as safety signals, material changes in the patient population or workflow, and changes to the device or its dependencies. Analyses should account for missing outcomes, changing case mix, and the exposure needed to detect a clinically important deterioration. Prespecified thresholds should prompt investigation and, where appropriate, notification, additional testing, restrictions, rollback, or suspension of use. For changes managed through a PCCP, measures drawn from the data system can support assessment of continued performance. FDA’s PCCP guidance describes planned modifications, the methodology for their development, validation, and implementation, and assessment of their impact. [11]</w:t>
      </w:r>
    </w:p>
    <w:p>
      <w:r>
        <w:rPr>
          <w:color w:val="777777"/>
          <w:sz w:val="16"/>
        </w:rPr>
        <w:t xml:space="preserve">p045 · att1 p.6  </w:t>
      </w:r>
      <w:r>
        <w:t>For Question 23, a prespecified performance envelope is a useful monitoring component, not a substitute for defining the permissible scope of change. The evaluation should consider both the nature of the modification, its potential clinical impact, and it’s ease of assessment. Stable average performance could conceal deterioration in a safety-critical task or patient subgroup, or be undetectable without large sample sizes.</w:t>
      </w:r>
    </w:p>
    <w:p>
      <w:r>
        <w:rPr>
          <w:color w:val="777777"/>
          <w:sz w:val="16"/>
        </w:rPr>
        <w:t xml:space="preserve">p046 · att1 p.6  </w:t>
      </w:r>
      <w:r>
        <w:t>For third-party foundation models, manufacturers should combine contractual notification commitments with technical controls, such as reliable version identifiers, version pinning where available, configuration logs, and documented procedures for testing and rollback. Data from the system can help identify unexpected performance changes and support investigations, but may not be able to detect all changes, unannounced updates, hidden model revisions, and other vendor-lead modifications. These limitations should be reflected in the device’s monitoring and suppliermanagement plans.</w:t>
      </w:r>
    </w:p>
    <w:p>
      <w:r>
        <w:rPr>
          <w:color w:val="777777"/>
          <w:sz w:val="16"/>
        </w:rPr>
        <w:t xml:space="preserve">p047 · att1 p.6  </w:t>
      </w:r>
      <w:r>
        <w:t>Machine-based supervisory agents may help scale review, but should themselves be independently evaluated for the tasks they perform, including against qualified clinician adjudication and relevant patient outcomes. Concordance with another model alone is insufficient, and studies have shown notable biases when models assess other models. Machine-based supervisory agents themselves should be included in the data system using standardized data structures that include versions, findings, missed signals, and escalation decisions as well as means, datasets, and other approaches used to validate the supervisory agent itself. Automated review should supplement, rather than displace, independent clinical assessment of safety-critical concerns.</w:t>
      </w:r>
    </w:p>
    <w:p>
      <w:r>
        <w:rPr>
          <w:color w:val="777777"/>
          <w:sz w:val="16"/>
        </w:rPr>
        <w:t xml:space="preserve">p048 · att1 p.7  </w:t>
      </w:r>
      <w:r>
        <w:t>Recommendation 5. Support independent benchmarking and adjudication — Questions 10 and 16 — A data system involving professional societies can provide a multi-institutional sampling frame for sequestered evaluation datasets and, uniquely, access to clinically qualified adjudicators. Studies have shown that model evaluation is dependent upon qualified clinician adjudicators. Benchmark cases should be selected under prespecified criteria, held apart from model development, versioned, and refreshed as clinical practice and deployment populations change. Access controls and refresh policies can reduce contamination and saturation, but do not eliminate these risks or establish representativeness by themselves.</w:t>
      </w:r>
    </w:p>
    <w:p>
      <w:r>
        <w:rPr>
          <w:color w:val="777777"/>
          <w:sz w:val="16"/>
        </w:rPr>
        <w:t xml:space="preserve">p049 · att1 p.7  </w:t>
      </w:r>
      <w:r>
        <w:t>Sponsors should still demonstrate why the selected benchmark measures the capabilities relevant to the intended use and how its results relate to clinical performance. A benchmark based on the data system should describe participating sites, sampling methods, patient representation, adjudication, and known gaps. A geographically distributed data system should not be presumed nationally representative without supporting evidence to that effect (e.g. urban vs rural populations).</w:t>
      </w:r>
    </w:p>
    <w:p>
      <w:r>
        <w:rPr>
          <w:color w:val="777777"/>
          <w:sz w:val="16"/>
        </w:rPr>
        <w:t xml:space="preserve">p050 · att1 p.7  </w:t>
      </w:r>
      <w:r>
        <w:t>CNS supports FDA’s exploration of qualified third-party roles, including approaches informed by the Accreditation Scheme for Conformity Assessment (ASCA) and Medical Device Development Tool (MDDT) programs. [1] Professional societies and other organizations, including existing data-program operators, should be eligible where they meet the applicable qualifications and independence criteria. Society affiliation alone should not establish qualification, and participation should not confer authority to approve a device.</w:t>
      </w:r>
    </w:p>
    <w:p>
      <w:r>
        <w:rPr>
          <w:color w:val="777777"/>
          <w:sz w:val="16"/>
        </w:rPr>
        <w:t xml:space="preserve">p051 · att1 p.7  </w:t>
      </w:r>
      <w:r>
        <w:t>Recommendation 6. Assess both under-escalation and over-escalation — Question 6 and benchmarking element S.1</w:t>
      </w:r>
    </w:p>
    <w:p>
      <w:r>
        <w:rPr>
          <w:color w:val="777777"/>
          <w:sz w:val="16"/>
        </w:rPr>
        <w:t xml:space="preserve">p052 · att1 p.7  </w:t>
      </w:r>
      <w:r>
        <w:t>CNS agrees that both directions of escalation error should be evaluated and that their consequences are not necessarily equivalent. Evaluation should use clinically justified, prespecified criteria for when escalation is warranted, together with downstream actions and outcomes. These criteria should be established by independent, clinical experts chosen by professional societies based on their contribution to the relevant literature. Relevant criteria may include missed or delayed treatment, unnecessary emergency evaluation or procedures, time to appropriate care, and patient harm. Linked data can support estimation of these measures in a defined population, including cases in which no alert or escalation occurred. Independent clinical adjudication is important because the action actually taken is not necessarily the appropriate reference standard. Event rates should be reported separately, with clinical context and uncertainty, rather than collapsed into an average that could obscure rare but severe failures.</w:t>
      </w:r>
    </w:p>
    <w:p>
      <w:r>
        <w:rPr>
          <w:color w:val="777777"/>
          <w:sz w:val="16"/>
        </w:rPr>
        <w:t xml:space="preserve">p053 · att1 p.7  </w:t>
      </w:r>
      <w:r>
        <w:t>Recommendation 7. Coordinate FDA and CMS approaches — Question 21 — CNS recommends coordination between FDA and CMS on common data elements, qualification of data systems, and evidence requirements. Where appropriate under CMS’s authorities and the relevant payment or coverage program, participation in a qualified data system could reinforce evidence generation and institutional participation. Where both agencies rely on the same data, aligned requirements should reduce duplicate collection and unnecessary administrative burden.</w:t>
      </w:r>
    </w:p>
    <w:p>
      <w:r>
        <w:rPr>
          <w:color w:val="777777"/>
          <w:sz w:val="16"/>
        </w:rPr>
        <w:t xml:space="preserve">p054 · att1 p.7  </w:t>
      </w:r>
      <w:r>
        <w:t>Payment policy should complement, rather than serve as the sole basis for, continuing safety surveillance. FDA should identify a legally appropriate mechanism and duration for monitoring each relevant device category, including how monitoring would continue if a coverage or payment requirement changes. Participation and funding arrangements should also avoid creating disproportionate barriers for smaller institutions or limiting patient access to beneficial care.</w:t>
      </w:r>
    </w:p>
    <w:p>
      <w:r>
        <w:rPr>
          <w:color w:val="777777"/>
          <w:sz w:val="16"/>
        </w:rPr>
        <w:t xml:space="preserve">p055 · att1 p.8  </w:t>
      </w:r>
      <w:r>
        <w:t>IV. A proposed CNS feasibility study — CNS proposes a feasibility study for a neurosurgical AI database and benchmark. The study would identify common data elements, assess institutional data-access agreements, and determine how expert clinicians could review AI outputs and safety signals. It should use or connect with existing neurosurgical data programs and other data sources whenever possible, rather than create a competing program.</w:t>
      </w:r>
    </w:p>
    <w:p>
      <w:r>
        <w:rPr>
          <w:color w:val="777777"/>
          <w:sz w:val="16"/>
        </w:rPr>
        <w:t xml:space="preserve">p056 · att1 p.8  </w:t>
      </w:r>
      <w:r>
        <w:t>CNS would welcome discussions with FDA’s Digital Health Center of Excellence and MDEpiNet about governance, data quality, independence, and ways to work with existing MDEpiNet data programs and other established data systems. The pilot’s feasibility assessment can also investigate data completeness, linkage accuracy, site burden, follow-up timeliness, and the ability to investigate actionable safety signals.</w:t>
      </w:r>
    </w:p>
    <w:p>
      <w:r>
        <w:rPr>
          <w:color w:val="777777"/>
          <w:sz w:val="16"/>
        </w:rPr>
        <w:t xml:space="preserve">p057 · att1 p.8  </w:t>
      </w:r>
      <w:r>
        <w:t>Conclusion — CNS supports a risk-based, least burdensome approach that combines appropriate premarket evaluation with sustained assessment of real-world safety and effectiveness. For the GenAI-enabled device functions identified in this comment, qualified, independent data systems that connect AI use with patient outcomes should be a required component of that approach, implemented through legally appropriate mechanisms and proportionate monitoring requirements.</w:t>
      </w:r>
    </w:p>
    <w:p>
      <w:r>
        <w:rPr>
          <w:color w:val="777777"/>
          <w:sz w:val="16"/>
        </w:rPr>
        <w:t xml:space="preserve">p058 · att1 p.8  </w:t>
      </w:r>
      <w:r>
        <w:t>The central principle is that greater reliance on post-market evidence must be matched by a credible ability to generate and act on that evidence. Professional societies can contribute clinical expertise, independent adjudication, and sound data governance without assuming the manufacturer’s regulatory responsibilities. CNS welcomes continued collaboration with FDA and other stakeholders to develop this infrastructure in a manner that protects patients, supports responsible innovation, and strengthens clinical care.</w:t>
      </w:r>
    </w:p>
    <w:p>
      <w:r>
        <w:rPr>
          <w:color w:val="777777"/>
          <w:sz w:val="16"/>
        </w:rPr>
        <w:t xml:space="preserve">p059 · att1 p.8  </w:t>
      </w:r>
      <w:r>
        <w:t>Thank you for considering these comments. Please direct questions to David Berg (dberg@cns.org).</w:t>
      </w:r>
    </w:p>
    <w:p>
      <w:r>
        <w:rPr>
          <w:color w:val="777777"/>
          <w:sz w:val="16"/>
        </w:rPr>
        <w:t xml:space="preserve">p060 · att1 p.8  </w:t>
      </w:r>
      <w:r>
        <w:t>Respectfully submitted,</w:t>
      </w:r>
    </w:p>
    <w:p>
      <w:r>
        <w:rPr>
          <w:color w:val="777777"/>
          <w:sz w:val="16"/>
        </w:rPr>
        <w:t xml:space="preserve">p061 · att1 p.8  </w:t>
      </w:r>
      <w:r>
        <w:t>Martina Stippler — Brian Nahed — Douglas Kondziolka — Eric Karl Oermann — References</w:t>
      </w:r>
    </w:p>
    <w:p>
      <w:r>
        <w:rPr>
          <w:color w:val="777777"/>
          <w:sz w:val="16"/>
        </w:rPr>
        <w:t xml:space="preserve">p062 · att1 p.9  </w:t>
      </w:r>
      <w:r>
        <w:t>Online sources accessed September 10, 2026. Historical coverage determinations are cited as precedents, not as statements of current coverage policy.</w:t>
      </w:r>
    </w:p>
    <w:p>
      <w:r>
        <w:rPr>
          <w:color w:val="777777"/>
          <w:sz w:val="16"/>
        </w:rPr>
        <w:t xml:space="preserve">p063 · att1 p.9  </w:t>
      </w:r>
      <w:r>
        <w:t>1. U.S. Food and Drug Administration. Considerations for the Regulation of Generative AI-Enabled Medical Devices: Discussion Paper and Request for Feedback. August 2026. Docket No. FDA-2026-N-7874.</w:t>
      </w:r>
    </w:p>
    <w:p>
      <w:r>
        <w:rPr>
          <w:color w:val="777777"/>
          <w:sz w:val="16"/>
        </w:rPr>
        <w:t xml:space="preserve">p064 · att1 p.9  </w:t>
      </w:r>
      <w:r>
        <w:t>2. Babic B, Cohen IG, Stern AD, Li Y, Ouellet M. A general framework for governing marketed AI/ML medical devices. npj Digital Medicine. 2025;8:328. doi:10.1038/s41746-025-01717-9. Source</w:t>
      </w:r>
    </w:p>
    <w:p>
      <w:r>
        <w:rPr>
          <w:color w:val="777777"/>
          <w:sz w:val="16"/>
        </w:rPr>
        <w:t xml:space="preserve">p065 · att1 p.9  </w:t>
      </w:r>
      <w:r>
        <w:t>3. 21 CFR § 803.50. If I am a manufacturer, what reporting requirements apply to me? Source</w:t>
      </w:r>
    </w:p>
    <w:p>
      <w:r>
        <w:rPr>
          <w:color w:val="777777"/>
          <w:sz w:val="16"/>
        </w:rPr>
        <w:t xml:space="preserve">p066 · att1 p.9  </w:t>
      </w:r>
      <w:r>
        <w:t>4. Centers for Medicare &amp; Medicaid Services. National Coverage Determination 20.32: Transcatheter Aortic Valve Replacement (TAVR). Version 1, effective May 1, 2012. Historical coverage determination. Source</w:t>
      </w:r>
    </w:p>
    <w:p>
      <w:r>
        <w:rPr>
          <w:color w:val="777777"/>
          <w:sz w:val="16"/>
        </w:rPr>
        <w:t xml:space="preserve">p067 · att1 p.9  </w:t>
      </w:r>
      <w:r>
        <w:t>5. Centers for Medicare &amp; Medicaid Services. National Coverage Determination 20.34: Percutaneous Left Atrial Appendage Closure (LAAC). Version 1, effective February 8, 2016. Source</w:t>
      </w:r>
    </w:p>
    <w:p>
      <w:r>
        <w:rPr>
          <w:color w:val="777777"/>
          <w:sz w:val="16"/>
        </w:rPr>
        <w:t xml:space="preserve">p068 · att1 p.9  </w:t>
      </w:r>
      <w:r>
        <w:t>6. Medical Device Epidemiology Network. Vascular Implant Surveillance and Interventional Outcomes Network (VISION). Program description. Source</w:t>
      </w:r>
    </w:p>
    <w:p>
      <w:r>
        <w:rPr>
          <w:color w:val="777777"/>
          <w:sz w:val="16"/>
        </w:rPr>
        <w:t xml:space="preserve">p069 · att1 p.9  </w:t>
      </w:r>
      <w:r>
        <w:t>7. Medical Device Epidemiology Network. ICOR program description. Source — 8. American College of Radiology. Assess-AI: Algorithm Performance Monitoring. Source</w:t>
      </w:r>
    </w:p>
    <w:p>
      <w:r>
        <w:rPr>
          <w:color w:val="777777"/>
          <w:sz w:val="16"/>
        </w:rPr>
        <w:t xml:space="preserve">p070 · att1 p.9  </w:t>
      </w:r>
      <w:r>
        <w:t>9. Vishwanath, K., Alyakin, A., Ghosh, M. et al. General-purpose large language models outperform specialized clinical AI tools on medical benchmarks. Nat Med 32, 2405–2409 (2026). https://doi.org/10.1038/s41591- 026-04431-5</w:t>
      </w:r>
    </w:p>
    <w:p>
      <w:r>
        <w:rPr>
          <w:color w:val="777777"/>
          <w:sz w:val="16"/>
        </w:rPr>
        <w:t xml:space="preserve">p071 · att1 p.9  </w:t>
      </w:r>
      <w:r>
        <w:t>10. 21 CFR § 814.82. Postapproval requirements. Source — 11. U.S. Food and Drug Administration. Marketing Submission Recommendations for a Predetermined Change Control Plan for Artificial Intelligence-Enabled Device Software Functions: Guidance for Industry and Food and Drug Administration Staff. August 2025. Source</w:t>
      </w:r>
    </w:p>
    <w:p>
      <w:r>
        <w:rPr>
          <w:color w:val="777777"/>
          <w:sz w:val="16"/>
        </w:rPr>
        <w:t xml:space="preserve">p072 · att1 p.9  </w:t>
      </w:r>
      <w:r>
        <w:t>12. 42 CFR §§ 3.20 and 3.206. Definitions; confidentiality of patient safety work product. Source</w:t>
      </w:r>
    </w:p>
    <w:p>
      <w:r>
        <w:rPr>
          <w:color w:val="777777"/>
          <w:sz w:val="16"/>
        </w:rPr>
        <w:t xml:space="preserve">p073 · att1 p.9  </w:t>
      </w:r>
      <w:r>
        <w:t>13. NeuroPoint Alliance. Organizational overview and data programs. Source — Appendix. Responses keyed to FDA discussion questions</w:t>
      </w:r>
    </w:p>
    <w:p>
      <w:r>
        <w:rPr>
          <w:color w:val="777777"/>
          <w:sz w:val="16"/>
        </w:rPr>
        <w:t xml:space="preserve">p074 · att1 p.10  </w:t>
      </w:r>
      <w:r>
        <w:t>This table maps the recommendations in this comment to the numbered questions in Appendix B of the discussion paper. Questions not listed are outside the scope of this comment.</w:t>
      </w:r>
    </w:p>
    <w:p>
      <w:r>
        <w:rPr>
          <w:color w:val="777777"/>
          <w:sz w:val="16"/>
        </w:rPr>
        <w:t xml:space="preserve">p075 · att1 p.10  </w:t>
      </w:r>
      <w:r>
        <w:t>FDA question CNS response — 6 — Escalation errors — Measure under-escalation and over-escalation separately using prespecified clinical criteria, a complete denominator, and linked actions and outcomes. Preserve applicable individual-event reporting. Recommendation 6.</w:t>
      </w:r>
    </w:p>
    <w:p>
      <w:r>
        <w:rPr>
          <w:color w:val="777777"/>
          <w:sz w:val="16"/>
        </w:rPr>
        <w:t xml:space="preserve">p076 · att1 p.10  </w:t>
      </w:r>
      <w:r>
        <w:t>10 — Benchmark validity — Use sequestered, versioned, refreshed test sets drawn from the data system, with documented sampling, adjudication, construct validity, and limitations. The source of the data alone does not establish validity or representativeness. Recommendation 5.</w:t>
      </w:r>
    </w:p>
    <w:p>
      <w:r>
        <w:rPr>
          <w:color w:val="777777"/>
          <w:sz w:val="16"/>
        </w:rPr>
        <w:t xml:space="preserve">p077 · att1 p.10  </w:t>
      </w:r>
      <w:r>
        <w:t>16 — Independent third parties — Make professional societies and other organizations, including existing dataprogram operators, eligible when they meet transparent competence and independence criteria; avoid exclusive operators or automatic qualification. Recommendations 3 and 5.</w:t>
      </w:r>
    </w:p>
    <w:p>
      <w:r>
        <w:rPr>
          <w:color w:val="777777"/>
          <w:sz w:val="16"/>
        </w:rPr>
        <w:t xml:space="preserve">p078 · att1 p.10  </w:t>
      </w:r>
      <w:r>
        <w:t>18 — Premarket uncertainty — An operational qualified data system is necessary, but not sufficient, for reduced premarket evidence within the proposed monitoring scope. High-consequence, irreversible risks may require stronger premarket clinical confirmation. Recommendation 1.</w:t>
      </w:r>
    </w:p>
    <w:p>
      <w:r>
        <w:rPr>
          <w:color w:val="777777"/>
          <w:sz w:val="16"/>
        </w:rPr>
        <w:t xml:space="preserve">p079 · att1 p.10  </w:t>
      </w:r>
      <w:r>
        <w:t>19 — Monitoring and cadence — Combine re-benchmarking, independent clinician review, and degradation monitoring using a defined denominator. Prespecify routine cadence, changerelated triggers, safety thresholds, and response procedures. Recommendations 2 and 4.</w:t>
      </w:r>
    </w:p>
    <w:p>
      <w:r>
        <w:rPr>
          <w:color w:val="777777"/>
          <w:sz w:val="16"/>
        </w:rPr>
        <w:t xml:space="preserve">p080 · att1 p.10  </w:t>
      </w:r>
      <w:r>
        <w:t>20 — Supervisory agents — Independently evaluate supervisory agents, retain auditable version and decision records, assess missed and correlated failures, and maintain human oversight. Model-to-model agreement alone is insufficient. Recommendation 4.</w:t>
      </w:r>
    </w:p>
    <w:p>
      <w:r>
        <w:rPr>
          <w:color w:val="777777"/>
          <w:sz w:val="16"/>
        </w:rPr>
        <w:t xml:space="preserve">p081 · att1 p.10  </w:t>
      </w:r>
      <w:r>
        <w:t>21 — Stakeholder responsibilities — Societies provide independent measurement and reporting; manufacturers retain regulatory obligations; institutions retain their responsibilities. Use lawful data protections, appropriate FDA access, and coordinated FDA/CMS implementation. Recommendations 1–3 and 7.</w:t>
      </w:r>
    </w:p>
    <w:p>
      <w:r>
        <w:rPr>
          <w:color w:val="777777"/>
          <w:sz w:val="16"/>
        </w:rPr>
        <w:t xml:space="preserve">p082 · att1 p.10  </w:t>
      </w:r>
      <w:r>
        <w:t>22 — Evaluation after changes — Scale evaluation to the modification’s nature and clinical risk, including safetycritical tasks and subgroups. Measures from the data system supplement validation and do not determine authorization by themselves. Recommendation 4.</w:t>
      </w:r>
    </w:p>
    <w:p>
      <w:r>
        <w:rPr>
          <w:color w:val="777777"/>
          <w:sz w:val="16"/>
        </w:rPr>
        <w:t xml:space="preserve">p083 · att1 p.10  </w:t>
      </w:r>
      <w:r>
        <w:t>23 — Uncertain future modifications — Use a prespecified performance envelope as a monitoring tool, not as authorization for unspecified changes. Maintain the boundaries of the authorized PCCP and applicable change-control requirements. Recommendation 4.</w:t>
      </w:r>
    </w:p>
    <w:p>
      <w:r>
        <w:rPr>
          <w:color w:val="777777"/>
          <w:sz w:val="16"/>
        </w:rPr>
        <w:t xml:space="preserve">p084 · att1 p.10  </w:t>
      </w:r>
      <w:r>
        <w:t>24 — Third-party model changes — Combine contractual notification with reliable version identity, configuration records, testing, and rollback procedures. Signals from the data system support investigation but do not guarantee detection or establish causation. Recommendations 2 and 4.</w:t>
      </w:r>
    </w:p>
    <w:p>
      <w:pPr>
        <w:pStyle w:val="Heading1"/>
        <w:pageBreakBefore/>
      </w:pPr>
      <w:r>
        <w:t>FDA-2026-N-7874-0117</w:t>
      </w:r>
    </w:p>
    <w:p>
      <w:r>
        <w:t>Comment from Tanisha Thoreau</w:t>
      </w:r>
    </w:p>
    <w:p>
      <w:r>
        <w:rPr>
          <w:color w:val="777777"/>
          <w:sz w:val="18"/>
        </w:rPr>
        <w:t>Health Professional - A0007 · received 2026-09-23 · attachments: attachment_1.pdf (4 pp)</w:t>
      </w:r>
    </w:p>
    <w:p>
      <w:r>
        <w:rPr>
          <w:color w:val="777777"/>
          <w:sz w:val="16"/>
        </w:rPr>
        <w:t xml:space="preserve">p001 · body  </w:t>
      </w:r>
      <w:r>
        <w:t>The Center for Devices and Radiological Health (CDRH) is to be commended for its forward-thinking discussion paper regarding Generative AI (GenAI)-enabled medical devices. The Agency rightly notes that traditional static software validation paradigms—predicated on closed input/output bounds—fail to account for the stochastic, multi-task, and emergent properties of foundation models and generative clinical architectures.</w:t>
      </w:r>
    </w:p>
    <w:p>
      <w:r>
        <w:rPr>
          <w:color w:val="777777"/>
          <w:sz w:val="16"/>
        </w:rPr>
        <w:t xml:space="preserve">p002 · body  </w:t>
      </w:r>
      <w:r>
        <w:t>In my companion work, The Algorithmic Audit Doctrine (AAD), I address this exact regulatory dilemma within GxP and clinical workflows. My thesis posits that because generative algorithms operate as quasi-autonomous analytical agents, governance must shift from static documentation and paper compliance to real-time technical enforcement, runtime boundary defense, continuous proficiency benchmarking, and immutable data lineage.</w:t>
      </w:r>
    </w:p>
    <w:p>
      <w:r>
        <w:rPr>
          <w:color w:val="777777"/>
          <w:sz w:val="16"/>
        </w:rPr>
        <w:t xml:space="preserve">p003 · body  </w:t>
      </w:r>
      <w:r>
        <w:t>While CDRH’s proposals move regulatory science in the right direction, the current discussion paper contains critical technical omissions regarding runtime threat defense, data integrity (ALCOA+), and third-party foundation model risk. This comment outlines specific points of agreement, key areas of divergence, actionable mechanisms to strengthen the framework, and answers to specific docket discussion questions.</w:t>
      </w:r>
    </w:p>
    <w:p>
      <w:r>
        <w:rPr>
          <w:color w:val="777777"/>
          <w:sz w:val="16"/>
        </w:rPr>
        <w:t xml:space="preserve">p004 · att1 p.1  </w:t>
      </w:r>
      <w:r>
        <w:t>MEMORANDUM FOR PUBLIC DOCKET SUBMISSION Docket No.: FDA-2026-N-7874 Document Title: Considerations for the Regulation of Generative AI-Enabled Medical Devices: Discussion Paper and Request for Feedback (August 2026) Submitting Stakeholder: Tanisha Tejada Thoreau, MS, JD Candidate; Lead Clinical Quality Assurance Auditor &amp; AI Governance Specialist Cross-Reference The Algorithmic Audit Doctrine (AAD): An Operational Four-Pillar Framework for Runtime Auditing, Continuous Competency Assurance, Materiality Escalation, and Immutable Chain of Custody in Regulated Life Sciences (Thoreau, 2026) Executive Overview &amp; Alignment The Center for Devices and Radiological Health (CDRH) is to be commended for its forward-thinking discussion paper regarding Generative AI (GenAI)-enabled medical devices. The Agency rightly notes that traditional static software validation paradigms—predicated on closed input/output bounds—fail to account for the stochastic, multi-task, and emergent properties of foundation models and generative clinical architectures. In my companion work, The Algorithmic Audit Doctrine (AAD), I address this exact regulatory dilemma within GxP and clinical workflows. My thesis posits that because generative algorithms operate as quasi-autonomous analytical agents, governance must shift from static documentation and paper compliance to real-time technical enforcement, runtime boundary defense, continuous proficiency benchmarking, and immutable data lineage. While CDRH’s proposals move regulatory science in the right direction, the current discussion paper contains critical technical omissions regarding runtime threat defense, data integrity (ALCOA+), and third-party foundation model risk. This comment outlines specific points of agreement, key areas of divergence, actionable mechanisms to strengthen the framework, and answers to specific docket discussion questions. 1. Areas of Substantive Agreement • Adoption of Competency-Based Assessment (Section V): CDRH’s proposal to model premarket evaluation on clinical credentialing, medical licensing, and structured competency rather than exhaustive combinatorial testing is scientifically sound and operationally necessary. In AAD Pillar 2 (Algorithmic Competency Assurance), I argue an identical parallel: algorithms in regulated settings must be subjected to ongoing proficiency testing—analogous to ISO/IEC 17025 laboratory quality standards—rather than relying solely on initial static validation. • The Two-Axis Risk Matrix (Section IV &amp; Figure 1): Mapping "Device Activity" against "Consequences of Erroneous Output" accurately captures the operational risk gradient. I strongly endorse CDRH’s recognition that "informational" outputs can become de facto "actiondirecting" depending on linguistic formulation, context, and patient vulnerability. • Shift toward Post-market Reliance (Section VI): Recognizing that premarket testing cannot predict every conversational trajectory, CDRH appropriately emphasizes continuous postmarket surveillance and Predetermined Change Control Plans (PCCPs). 2. Critical Gaps &amp; Areas of Disagreement</w:t>
      </w:r>
    </w:p>
    <w:p>
      <w:r>
        <w:rPr>
          <w:color w:val="777777"/>
          <w:sz w:val="16"/>
        </w:rPr>
        <w:t xml:space="preserve">p005 · att1 p.2  </w:t>
      </w:r>
      <w:r>
        <w:t>A. Disagreement: Permitting "Greater Premarket Uncertainty" Without Hard Runtime Controls CDRH poses whether the Agency should "accept greater premarket uncertainty regarding a GenAI- enabled device's benefit-risk profile through greater reliance on post market monitoring" (Section VI, Question 18).</w:t>
      </w:r>
    </w:p>
    <w:p>
      <w:r>
        <w:rPr>
          <w:color w:val="777777"/>
          <w:sz w:val="16"/>
        </w:rPr>
        <w:t xml:space="preserve">p006 · att1 p.2  </w:t>
      </w:r>
      <w:r>
        <w:t>• The Critique: In clinical practice and GxP execution, accepting increased premarket uncertainty without mandatory, automated runtime circuit breakers is hazardous. Post market monitoring that relies on retrospective complaint reviews or periodic sample audits will fail to prevent acute clinical harm or systemic unblinding before regulatory intervention can occur. • The AAD Standard: Reduced premarket evidence must be strictly contingent upon the presence of active runtime boundary controls and automated kill-switches (AAD Pillar 3: Algorithmic Materiality). If an algorithm displays confidence score collapse or semantic drift, it must be programmatically locked at the API layer immediately—not weeks later during periodic review. B. The Omission of Indirect Prompt Injection &amp; Adversarial Ingestion Defense CDRH mentions prompt injection only in passing within Appendix A (S.2, R.1, A.1). This vastly underestimates the primary attack vector facing GenAI in clinical ecosystems.</w:t>
      </w:r>
    </w:p>
    <w:p>
      <w:r>
        <w:rPr>
          <w:color w:val="777777"/>
          <w:sz w:val="16"/>
        </w:rPr>
        <w:t xml:space="preserve">p007 · att1 p.2  </w:t>
      </w:r>
      <w:r>
        <w:t>• The Vulnerability: When GenAI devices read unstructured electronic health records (EHRs), external laboratory PDFs, or patient-submitted portal notes, they are acutely vulnerable to indirect prompt injection (e.g., adversarial white-text, zero-width instructions, or hidden semantic overrides). A third-party document can force an LLM to override clinical contraindications or fabricate negative diagnostic findings without clinician awareness. • Regulatory Inadequacy: General cybersecurity guidance does not address semantic payload manipulation. Pre-ingestion file sanitization must be elevated to a primary design control requirement. C. Inadequate Data Integrity &amp; Evidentiary Traceability (The Part 11 / A-CoC Gap) The discussion paper’s post market monitoring section lacks technical specificity regarding data integrity (ALCOA+) and legal defensibility. Under 21 C.F.R. Part 11 and 21 C.F.R. § 820.70, electronic records must have tamper-evident, independent audit trails. If a generative device recommends a contra-indicated therapeutic or an agentic device executes an autonomous order, how does an FDA BIMO investigator or court reconstruct the transaction? Relying on ephemeral cloud vendor logs is insufficient. 3. Actionable Proposals to Strengthen the FDA Framework Drawing from The Algorithmic Audit Doctrine (AAD), I urge CDRH to integrate four technical requirements into its eventual draft guidance: Proposal 1: Mandate Algorithmic Chain of Custody (A-CoC) for Regulated Outputs (Strengthening Section VI &amp; Addressing Part 11 Compliance) FDA should require every GenAI-assisted clinical decision or diagnostic output to programmatically bundle and immutably commit a 6-Point A-CoC JSON Record directly to Write-Once-Read-Many (WORM) storage:</w:t>
      </w:r>
    </w:p>
    <w:p>
      <w:r>
        <w:rPr>
          <w:color w:val="777777"/>
          <w:sz w:val="16"/>
        </w:rPr>
        <w:t xml:space="preserve">p008 · att1 p.3  </w:t>
      </w:r>
      <w:r>
        <w:t>1. Model Identification: Commercial name and unique deployment/tenant ID. 2. Exact Version &amp; Weight Hash: Digital cryptographic fingerprint (e.g., SHA-256) of model weights. 3. System &amp; Context Prompt: Verbatim record of system instructions and user inputs. 4. RAG Data Lineage: Explicit uniform resource identifiers (URIs) of all EHR records, vector database nodes, or clinical guidelines retrieved. 5. Algorithmic Confidence Metric: Mathematical certainty or token log-probability. 6. Human-in-the-Loop (HITL) Part 11 Signature: Authenticated electronic sign-off from the reviewing clinician/expert confirming substantive verification. Proposal 2: Codify Automated Risk-Tiered Escalation &amp; Fail-Closed Cut-Offs (Strengthening Section IV &amp; Section VI.C) Incorporate an operational 3-Tier Materiality Matrix that moves beyond passive monitoring to active programmatic containment:</w:t>
      </w:r>
    </w:p>
    <w:p>
      <w:r>
        <w:rPr>
          <w:color w:val="777777"/>
          <w:sz w:val="16"/>
        </w:rPr>
        <w:t xml:space="preserve">p009 · att1 p.3  </w:t>
      </w:r>
      <w:r>
        <w:t>• Tier 1 (Low Materiality): Minor stylistic/linguistic variations; routine WORM audit logging. • Tier 2 (Moderate Materiality): Workflow routing or metadata filtering anomalies; triggers 24- hour staged quarantine and mandatory human quality unit review. • Tier 3 (High Materiality): Diagnostic integration shifts (&gt; 1.5%), critical drug-interaction omissions, unblinding breaches, or prompt injection detections. Mandatory Action: Automated API token revocation (kill-switch), immediate operational lockout, formal CAPA root-cause investigation, and mandatory 24-hour FDA/sponsor reporting under 21 C.F.R. § 803 / § 812.150. Proposal 3: Address Vendor Foundation Model Evolution via Contractual Staging (Strengthening Section VII.A &amp; Question 24) Voluntary Foundation Model Device Master Files (MAFs) are helpful but insufficient because model developers lack economic incentives to maintain them for niche medical device clients. CDRH should require device sponsors to contractually enforce a 14-day advance notification and preview sandbox window with their cloud LLM vendors. During this 14-day window, the sponsor’s internal audit unit runs automated, locked "golden test sets" (proficiency tests) in a sandboxed staging environment to verify that third-party weight updates have not degraded clinical reasoning before deployment to live clinical workflows. 4. Direct Feedback on Key Discussion Questions • On Question 1 (Two-Axis Risk Framework):</w:t>
      </w:r>
    </w:p>
    <w:p>
      <w:r>
        <w:rPr>
          <w:color w:val="777777"/>
          <w:sz w:val="16"/>
        </w:rPr>
        <w:t xml:space="preserve">p010 · att1 p.4  </w:t>
      </w:r>
      <w:r>
        <w:t>Add "Output Reversibility" and "Traceability" to the matrix. An output that triggers an irreversible surgical or pharmacological event must carry higher evidentiary weight than one with downstream clinical verification buffers. • On Question 7 &amp; 10 (Benchmarking &amp; Evaluation Assets): Public benchmarks face severe data saturation and leakage. CDRH should require sequestered, sponsor-curated ground-truth test sets evaluated by structurally independent clinician panels. Benchmarks should incorporate simulated clinical friction: noisy measurements, contradictory patient histories, and edge cases. • On Question 20 (Machine-Based Supervisory Agents): Automated LLM "evaluator agents" can assist in high-throughput postmarket monitoring, but an algorithm cannot serve as the accountable decision-maker under 21 C.F.R. § 211.22 or 21 C.F.R. § 820.20. Any supervisory agent must itself undergo competency qualification, operate under strict deterministic rules, and remain subordinate to credentialed human oversight. • On Question 26 (Agentic AI Systems): Agentic devices that execute autonomous tool sequences or issue device controls present catastrophic risk multiplication. CDRH must enforce mandatory, non-bypassable HITL checkpoints prior to any irreversible action (e.g., dispensing medication, issuing orders, changing infusion rates) and require isolated vector index partitioning to prevent cross-tenant data bleed. Conclusion CDRH’s discussion paper establishes a thoughtful foundation for generative AI oversight. However, clinical safety and statutory compliance cannot depend on trust or after-the-fact monitoring alone. By adopting the principles outlined in The Algorithmic Audit Doctrine—continuous ingestion filtering, blind competency benchmarking, quantitative materiality kill-switches, and immutable chain of custody— the FDA can provide an agile, least burdensome regulatory pathway that protects public health, preserves data integrity, and fosters safe clinical innovation. Respectfully submitted, Tanisha Tejada Thoreau, MS, JD Candidate Chemist, Senior Clinical Quality Assurance Auditor, &amp; AI Governance Specialist TTThoreau@pm.me</w:t>
      </w:r>
    </w:p>
    <w:p>
      <w:pPr>
        <w:pStyle w:val="Heading1"/>
        <w:pageBreakBefore/>
      </w:pPr>
      <w:r>
        <w:t>FDA-2026-N-7874-0118</w:t>
      </w:r>
    </w:p>
    <w:p>
      <w:r>
        <w:t>Comment from American College of Allergy, Asthma &amp; Immunology</w:t>
      </w:r>
    </w:p>
    <w:p>
      <w:r>
        <w:rPr>
          <w:color w:val="777777"/>
          <w:sz w:val="18"/>
        </w:rPr>
        <w:t>Device Industry - C0012 · received 2026-09-25 · attachments: attachment_1.pdf (10 pp)</w:t>
      </w:r>
    </w:p>
    <w:p>
      <w:r>
        <w:rPr>
          <w:color w:val="777777"/>
          <w:sz w:val="16"/>
        </w:rPr>
        <w:t xml:space="preserve">p001 · body  </w:t>
      </w:r>
      <w:r>
        <w:t>See attached file(s)</w:t>
      </w:r>
    </w:p>
    <w:p>
      <w:r>
        <w:rPr>
          <w:color w:val="777777"/>
          <w:sz w:val="16"/>
        </w:rPr>
        <w:t xml:space="preserve">p002 · att1 p.1  </w:t>
      </w:r>
      <w:r>
        <w:t>SUBMITTED ELECTRONICALLY VIA WWW.REGULATIONS.GOV September 25, 2026 The Honorable Kyle Diamantas, J.D. Acting Commissioner Food and Drug Administration Department of Health and Human Services Attention: FDA-2026-N-7874 10903 New Hampshire Ave. Silver Spring MD 20993</w:t>
      </w:r>
    </w:p>
    <w:p>
      <w:r>
        <w:rPr>
          <w:color w:val="777777"/>
          <w:sz w:val="16"/>
        </w:rPr>
        <w:t xml:space="preserve">p003 · att1 p.1  </w:t>
      </w:r>
      <w:r>
        <w:t>RE: ACAAI’s Comments on the FDA's Digital Health Center of Excellence (DHCoE) recent discussion paper and request for feedback, Considerations for the Regulation of Generative AI-Enabled Medical Devices</w:t>
      </w:r>
    </w:p>
    <w:p>
      <w:r>
        <w:rPr>
          <w:color w:val="777777"/>
          <w:sz w:val="16"/>
        </w:rPr>
        <w:t xml:space="preserve">p004 · att1 p.1  </w:t>
      </w:r>
      <w:r>
        <w:t>Dear Acting Commissioner Diamantas: The American College of Allergy, Asthma and Immunology (“ACAAI”) and its Advocacy Council appreciate the opportunity to submit comments on the FDA's Digital Health Center of Excellence (DHCoE) recent discussion paper and request for feedback, Considerations for the Regulation of Generative AI-Enabled Medical Devices. The ACAAI represents the interests of more than 6,500 allergists-immunologists and allied health professionals. Our members provide patient services across a variety of settings ranging from small or solo physician offices to large academic medical centers. As a result, our membership brings a broad perspective on how AI- enabled medical devices can affect the quality and safety of care provided to our patients, and the importance of regulating these devices.</w:t>
      </w:r>
    </w:p>
    <w:p>
      <w:r>
        <w:rPr>
          <w:color w:val="777777"/>
          <w:sz w:val="16"/>
        </w:rPr>
        <w:t xml:space="preserve">p005 · att1 p.1  </w:t>
      </w:r>
      <w:r>
        <w:t>Below are our complete responses to each question raised in your discussion paper.</w:t>
      </w:r>
    </w:p>
    <w:p>
      <w:r>
        <w:rPr>
          <w:color w:val="777777"/>
          <w:sz w:val="16"/>
        </w:rPr>
        <w:t xml:space="preserve">p006 · att1 p.1  </w:t>
      </w:r>
      <w:r>
        <w:t>Question 1. Does the two-axis risk framework appropriately capture the dimensions most relevant to risk? What additional dimensions should be represented?</w:t>
      </w:r>
    </w:p>
    <w:p>
      <w:r>
        <w:rPr>
          <w:color w:val="777777"/>
          <w:sz w:val="16"/>
        </w:rPr>
        <w:t xml:space="preserve">p007 · att1 p.1  </w:t>
      </w:r>
      <w:r>
        <w:t>We support the two-axis framework as a good starting point, but we want to see a few additions. First, reversibility of a resulting action should be its own explicit dimension, not folded into consequences. In allergy and immunology, a delayed or inaccurate recommendation about anaphylaxis recognition is far less reversible than a delayed recommendation about environmental allergen avoidance counseling, even if both might otherwise be scored at a similar severity level.</w:t>
      </w:r>
    </w:p>
    <w:p>
      <w:r>
        <w:rPr>
          <w:color w:val="777777"/>
          <w:sz w:val="16"/>
        </w:rPr>
        <w:t xml:space="preserve">p008 · att1 p.1  </w:t>
      </w:r>
      <w:r>
        <w:t>Second, whatever action a device takes or recommends, clinicians need a reliable way to verify</w:t>
      </w:r>
    </w:p>
    <w:p>
      <w:r>
        <w:rPr>
          <w:color w:val="777777"/>
          <w:sz w:val="16"/>
        </w:rPr>
        <w:t xml:space="preserve">p009 · att1 p.1  </w:t>
      </w:r>
      <w:r>
        <w:t>85 W. Algonquin Road, Arlington Heights, IL 60005 ∙847-427-1200 AdvocacyCouncil@acaai.org what the device actually did, or is recommending, and to reverse or override that action if needed. This matters most for agentic or higher autonomy functions, but it also applies to informational tools that influence downstream decisions.</w:t>
      </w:r>
    </w:p>
    <w:p>
      <w:r>
        <w:rPr>
          <w:color w:val="777777"/>
          <w:sz w:val="16"/>
        </w:rPr>
        <w:t xml:space="preserve">p010 · att1 p.2  </w:t>
      </w:r>
      <w:r>
        <w:t>Third, we ask CDRH to weight the time pressure of the deployment setting. A tool supporting real time triage of a possible anaphylactic reaction operates under very different constraints than one supporting long term asthma control planning, and premarket evidence expectations should reflect that. Finally, traceability to primary source material, such as current practice parameters, should be a core requirement given how quickly our field's guidance evolves, for example with new biologics or food OIT protocols.</w:t>
      </w:r>
    </w:p>
    <w:p>
      <w:r>
        <w:rPr>
          <w:color w:val="777777"/>
          <w:sz w:val="16"/>
        </w:rPr>
        <w:t xml:space="preserve">p011 · att1 p.2  </w:t>
      </w:r>
      <w:r>
        <w:t>Question 2. How to account for the spectrum between 'non-directive' and 'action-directing' informational functions, and what characteristics should modify risk?</w:t>
      </w:r>
    </w:p>
    <w:p>
      <w:r>
        <w:rPr>
          <w:color w:val="777777"/>
          <w:sz w:val="16"/>
        </w:rPr>
        <w:t xml:space="preserve">p012 · att1 p.2  </w:t>
      </w:r>
      <w:r>
        <w:t>We agree that directiveness sits on a continuum and should be judged by substance rather than by surface language like recommend or should. In our specialty, a tool that turns a symptom pattern into a specific action, for example telling someone to start an antihistamine at a certain dose versus simply noting that antihistamines are commonly used for these symptoms, should be treated as action directing regardless of any hedging language or disclaimers attached to it. We ask CDRH to require manufacturers to document, as part of intended use, where a given output type is meant to sit on this continuum, and to test specifically for unintended drift toward directiveness. This is especially relevant for allergy specific tools that field open ended questions about medication dosing, epinephrine use, or immunotherapy.</w:t>
      </w:r>
    </w:p>
    <w:p>
      <w:r>
        <w:rPr>
          <w:color w:val="777777"/>
          <w:sz w:val="16"/>
        </w:rPr>
        <w:t xml:space="preserve">p013 · att1 p.2  </w:t>
      </w:r>
      <w:r>
        <w:t>Question 3. When might patient-facing delivery of clinical information present different or higher risk than HCP-facing delivery, and what safeguards might mitigate this while preserving patient empowerment?</w:t>
      </w:r>
    </w:p>
    <w:p>
      <w:r>
        <w:rPr>
          <w:color w:val="777777"/>
          <w:sz w:val="16"/>
        </w:rPr>
        <w:t xml:space="preserve">p014 · att1 p.2  </w:t>
      </w:r>
      <w:r>
        <w:t>Patient facing GenAI tools carry real added risk in our field, and this deserves more weight than the current framework implies. Physicians are trained specifically to draw out a complete and nuanced history because patients often do not spontaneously report every relevant detail, and they do not always connect a symptom to their presenting concern(s). A child with asthma might complain of a sore throat when what they are really describing is trouble breathing. An adult with asthma might say their allergies are acting up but to them it means their asthma is flaring. A GenAI tool talking directly with a patient does not have that trained ear and will be literal in it’s interpretation and make recommendations based on that input.</w:t>
      </w:r>
    </w:p>
    <w:p>
      <w:r>
        <w:rPr>
          <w:color w:val="777777"/>
          <w:sz w:val="16"/>
        </w:rPr>
        <w:t xml:space="preserve">p015 · att1 p.2  </w:t>
      </w:r>
      <w:r>
        <w:t>We also want to be direct about how these tools are being used by patients. Many patients will not have a physician readily available to check the output against, and some will use the tool in place of seeking care rather than alongside it. Under that real world pattern, even an output that looks low risk on paper can cause harm. Reassurance about a mild symptom that is actually an early sign of something more serious can lead someone to delay care, and a suggested over the counter remedy carries its own side effect and interaction risks.</w:t>
      </w:r>
    </w:p>
    <w:p>
      <w:r>
        <w:rPr>
          <w:color w:val="777777"/>
          <w:sz w:val="16"/>
        </w:rPr>
        <w:t xml:space="preserve">p016 · att1 p.2  </w:t>
      </w:r>
      <w:r>
        <w:t>Given this, we recommend that any patient facing device offering health advice be required to carry a clear, persistent disclaimer stating that its output is based solely on the information the person shared, and that it is not a substitute for seeing a physician. It should be explicit that the tool is not meant to replace a doctor. We also ask that the likely absence of a clinician backstop be treated as its own risk elevating factor for patient facing tools, not something assessed only by the wording of the output itself.</w:t>
      </w:r>
    </w:p>
    <w:p>
      <w:r>
        <w:rPr>
          <w:color w:val="777777"/>
          <w:sz w:val="16"/>
        </w:rPr>
        <w:t xml:space="preserve">p017 · att1 p.3  </w:t>
      </w:r>
      <w:r>
        <w:t>Question 4. Should the generalist/specialist HCP distinction inform risk assessment, and under what circumstances?</w:t>
      </w:r>
    </w:p>
    <w:p>
      <w:r>
        <w:rPr>
          <w:color w:val="777777"/>
          <w:sz w:val="16"/>
        </w:rPr>
        <w:t xml:space="preserve">p018 · att1 p.3  </w:t>
      </w:r>
      <w:r>
        <w:t>Yes. Differences in training, experience, and familiarity with particular clinical situations should inform the risk assessment, especially when an output could be interpreted or applied differently by different intended users. In allergy, many conditions are routinely managed by a broad range of healthcare professionals, while complex drug-allergy evaluation, biologic selection for severe asthma, and interpretation of specific IgE or component testing may benefit from specialty expertise. The device should provide appropriate context, communicate the limitations and uncertainty of its output, and identify circumstances in which consultation with a specialist may be helpful. This is not a matter of defining any healthcare professional’s scope of practice. Rather, it is a matter of recognizing that users may have different levels of relevant training and that an AI-enabled tool could unintentionally encourage a user to manage a situation beyond their experience. We do not always know what we do not know. We therefore encourage CDRH to require manufacturers to clearly identify the intended users and their expected level of training and to evaluate foreseeable circumstances in which a generalist might misinterpret or misapply an output designed for users with more specialized expertise.</w:t>
      </w:r>
    </w:p>
    <w:p>
      <w:r>
        <w:rPr>
          <w:color w:val="777777"/>
          <w:sz w:val="16"/>
        </w:rPr>
        <w:t xml:space="preserve">p019 · att1 p.3  </w:t>
      </w:r>
      <w:r>
        <w:t>Question 5. How should risk be assessed across multi-turn conversations that may migrate from non-directive to action-directing?</w:t>
      </w:r>
    </w:p>
    <w:p>
      <w:r>
        <w:rPr>
          <w:color w:val="777777"/>
          <w:sz w:val="16"/>
        </w:rPr>
        <w:t xml:space="preserve">p020 · att1 p.3  </w:t>
      </w:r>
      <w:r>
        <w:t>We support evaluating realistic conversational trajectories rather than judging a device by a single turn in isolation. In practice, conversations about allergic or immunologic symptoms often start with a general question and, over several turns, evolve into what is effectively a request for a treatment decision, for example a conversation that begins with what causes hives and ends with the person asking whether to give a second dose of antihistamine or use a biologic. We recommend intended use be characterized by the conversation's plausible endpoint, not its opening turn, and that benchmarking include multi turn adversarial and naturalistic scripts specifically designed to probe this kind of drift.</w:t>
      </w:r>
    </w:p>
    <w:p>
      <w:r>
        <w:rPr>
          <w:color w:val="777777"/>
          <w:sz w:val="16"/>
        </w:rPr>
        <w:t xml:space="preserve">p021 · att1 p.3  </w:t>
      </w:r>
      <w:r>
        <w:t>Question 6. How should manufacturers characterize and weigh under-escalation versus overescalation in care escalation functions?</w:t>
      </w:r>
    </w:p>
    <w:p>
      <w:r>
        <w:rPr>
          <w:color w:val="777777"/>
          <w:sz w:val="16"/>
        </w:rPr>
        <w:t xml:space="preserve">p022 · att1 p.3  </w:t>
      </w:r>
      <w:r>
        <w:t>Both directions of error matter in our specialty, but they are not symmetric in consequence. Under escalation of a true anaphylactic or severe reaction carries a much higher ceiling of harm than over escalation to urgent or emergency care. We recommend CDRH avoid forcing these into a single blended error metric, and instead require separate, transparent reporting of under escalation and over escalation rates by clinical scenario severity, with acceptance criteria that are intentionally asymmetric, meaning a higher tolerance for over escalation in exchange for a very low tolerance for under escalation in airway or anaphylaxis adjacent presentations. Over escalation still needs to be measured and minimized given legitimate concerns about unnecessary emergency department use and erosion of patient trust over time.</w:t>
      </w:r>
    </w:p>
    <w:p>
      <w:r>
        <w:rPr>
          <w:color w:val="777777"/>
          <w:sz w:val="16"/>
        </w:rPr>
        <w:t xml:space="preserve">p023 · att1 p.3  </w:t>
      </w:r>
      <w:r>
        <w:t>Question 7. Is the competency-based approach (benchmarking followed by clinical confirmation) a useful and appropriate framework?</w:t>
      </w:r>
    </w:p>
    <w:p>
      <w:r>
        <w:rPr>
          <w:color w:val="777777"/>
          <w:sz w:val="16"/>
        </w:rPr>
        <w:t xml:space="preserve">p024 · att1 p.3  </w:t>
      </w:r>
      <w:r>
        <w:t>Yes, this is a reasonable framework overall, and the clinician training analogy is intuitive to our members. But we want to flag an important gap. Training data must include real conversations with real patients, not just curated clinical text, because patients are remarkably inconsistent in how they describe their own symptoms. A child with asthma may complain of a sore throat when what they are actually describing is difficulty breathing. An adult with asthma may say their allergies are acting up when they mean their asthma is flaring. A device trained only on textbook symptom descriptions will miss this kind of translation, and we do not think that gap can be closed after the fact through better prompting or guardrails alone.</w:t>
      </w:r>
    </w:p>
    <w:p>
      <w:r>
        <w:rPr>
          <w:color w:val="777777"/>
          <w:sz w:val="16"/>
        </w:rPr>
        <w:t xml:space="preserve">p025 · att1 p.4  </w:t>
      </w:r>
      <w:r>
        <w:t>This connects to a broader point we want to make clearly. Physicians need to be involved during development of these models, not just brought in afterward to validate them, and those physicians should be practicing in the specialty the tool is being designed for. These physicians must have clinical experience not just an intern in residency or a medical student providing feedback. A generalist reviewing an allergy specific tool, or vice versa, will not catch the same issues a specialist would.</w:t>
      </w:r>
    </w:p>
    <w:p>
      <w:r>
        <w:rPr>
          <w:color w:val="777777"/>
          <w:sz w:val="16"/>
        </w:rPr>
        <w:t xml:space="preserve">p026 · att1 p.4  </w:t>
      </w:r>
      <w:r>
        <w:t>We also underscore that passing structured knowledge assessments does not by itself make a good clinician. Clinical competence depends on accumulated experience recognizing atypical presentations and exercising judgment in situations that do not look like a textbook case, and real patients frequently do not present classically.We would like the guidance to state plainly that competency-based evaluation supplements, rather than replaces, ongoing postmarket accountability, and that it should test non-textbook presentation handling as its own category of evidence.</w:t>
      </w:r>
    </w:p>
    <w:p>
      <w:r>
        <w:rPr>
          <w:color w:val="777777"/>
          <w:sz w:val="16"/>
        </w:rPr>
        <w:t xml:space="preserve">p027 · att1 p.4  </w:t>
      </w:r>
      <w:r>
        <w:t>Question 8. How might the two-axis risk framework described in Section IV be considered within the competency-based approach to help determine the level of evidence needed for a premarket submission?</w:t>
      </w:r>
    </w:p>
    <w:p>
      <w:r>
        <w:rPr>
          <w:color w:val="777777"/>
          <w:sz w:val="16"/>
        </w:rPr>
        <w:t xml:space="preserve">p028 · att1 p.4  </w:t>
      </w:r>
      <w:r>
        <w:t>We ask that the two-axis risk framework directly scale both the breadth of benchmarking required and how far along the clinical confirmation spectrum a sponsor must go. For example, a nondirective, HCP facing tool summarizing allergen cross reactivity literature could reasonably rely on strong benchmarking with lighter clinical confirmation, like retrospective evaluation. But a patient facing, action directing tool addressing when to use rescue medication should be expected to move toward clinician adjudication or prospective evaluation regardless of how well it benchmarks, given how low reversibility and high consequence that scenario is.</w:t>
      </w:r>
    </w:p>
    <w:p>
      <w:r>
        <w:rPr>
          <w:color w:val="777777"/>
          <w:sz w:val="16"/>
        </w:rPr>
        <w:t xml:space="preserve">p029 · att1 p.4  </w:t>
      </w:r>
      <w:r>
        <w:t>Question 9. Would a benchmarking structure such as the one described adequately evaluate clinical knowledge, analytic capabilities, safety behavior, communication, and generalizability? Are there elements missing, redundant, or inappropriately categorized?</w:t>
      </w:r>
    </w:p>
    <w:p>
      <w:r>
        <w:rPr>
          <w:color w:val="777777"/>
          <w:sz w:val="16"/>
        </w:rPr>
        <w:t xml:space="preserve">p030 · att1 p.4  </w:t>
      </w:r>
      <w:r>
        <w:t>The structure is thorough and well organized overall. However, we request the following three additions. First, we would add a specific element under Clinical Proficiency for longitudinal and chronic disease management reasoning. Examples in our specialty: step-up and step-down asthma therapy over time or immunotherapy dose escalation schedules, since that is distinct from single encounter diagnostic reasoning.</w:t>
      </w:r>
    </w:p>
    <w:p>
      <w:r>
        <w:rPr>
          <w:color w:val="777777"/>
          <w:sz w:val="16"/>
        </w:rPr>
        <w:t xml:space="preserve">p031 · att1 p.4  </w:t>
      </w:r>
      <w:r>
        <w:t>Second, we want subgroup performance testing to explicitly require assessment across ethnically and racially diverse populations, in addition to pregnancy status and pediatric age bands, given how allergic and immunologic disease presentation and management can vary across these groups, and how easily underrepresented populations get missed in training data.</w:t>
      </w:r>
    </w:p>
    <w:p>
      <w:r>
        <w:rPr>
          <w:color w:val="777777"/>
          <w:sz w:val="16"/>
        </w:rPr>
        <w:t xml:space="preserve">p032 · att1 p.4  </w:t>
      </w:r>
      <w:r>
        <w:t>Third, we would add a dedicated element testing performance on atypical, non-textbook, and ambiguous presentations specifically, since handling classic presentations well is a poor predictor of safe behavior when a patient does not present the way the textbook describes, and that is exactly where clinical judgment matters most.</w:t>
      </w:r>
    </w:p>
    <w:p>
      <w:r>
        <w:rPr>
          <w:color w:val="777777"/>
          <w:sz w:val="16"/>
        </w:rPr>
        <w:t xml:space="preserve">p033 · att1 p.5  </w:t>
      </w:r>
      <w:r>
        <w:t>Question 10. How should a sponsor establish that benchmark performance predicts real-world safety and effectiveness, and what role should sponsor-developed benchmarks play?</w:t>
      </w:r>
    </w:p>
    <w:p>
      <w:r>
        <w:rPr>
          <w:color w:val="777777"/>
          <w:sz w:val="16"/>
        </w:rPr>
        <w:t xml:space="preserve">p034 · att1 p.5  </w:t>
      </w:r>
      <w:r>
        <w:t>Construct validity needs to be demonstrated through real correlation studies linking benchmark performance to independently observed real world outcomes, not accepted on face validity alone. Sponsor developed benchmarks should be allowed, but only with independent expert validation of the underlying rubric, and ideally with test items the sponsor has not seen during development to guard against optimizing to the test. Just as important, all test results and the scoring rubric itself must be shared transparently with the health systems and physicians who will be using the device. Physicians cannot reasonably rely on a tool in patient care if they cannot see how it was scored and what it was measured against. Professional societies like ACAAI could help develop and hold specialty specific benchmark item banks that are independent of any single manufacturer.</w:t>
      </w:r>
    </w:p>
    <w:p>
      <w:r>
        <w:rPr>
          <w:color w:val="777777"/>
          <w:sz w:val="16"/>
        </w:rPr>
        <w:t xml:space="preserve">p035 · att1 p.5  </w:t>
      </w:r>
      <w:r>
        <w:t>Question 11. How might sponsors select and justify a clinical confirmation approach proportionate to risk? Are there device types for which the listed approaches would be insufficient?</w:t>
      </w:r>
    </w:p>
    <w:p>
      <w:r>
        <w:rPr>
          <w:color w:val="777777"/>
          <w:sz w:val="16"/>
        </w:rPr>
        <w:t xml:space="preserve">p036 · att1 p.5  </w:t>
      </w:r>
      <w:r>
        <w:t>We support proportionality, but would set a floor. Any device performing an action directing or action taking function tied to a severe consequence pathway, like anaphylaxis management or biologic initiation, should not rely on retrospective evaluation alone no matter how strong its benchmarking looks, given the well documented gap between retrospective and real-world performance for generative systems. Shadow deployment is, in our view, a particularly valuable and underused middle tier approach for our field, since it lets a device be evaluated against real allergy and immunology patients without exposing them to unvalidated outputs. That said, the results of any shadow deployment evaluation need to be communicated transparently to the health systems and physicians who will be using the tool once it is live, not just retained by the sponsor as internal evidence.</w:t>
      </w:r>
    </w:p>
    <w:p>
      <w:r>
        <w:rPr>
          <w:color w:val="777777"/>
          <w:sz w:val="16"/>
        </w:rPr>
        <w:t xml:space="preserve">p037 · att1 p.5  </w:t>
      </w:r>
      <w:r>
        <w:t>Question 12. How should sponsors achieve statistically meaningful performance measurement, and how should synthetic and real-world evidence be combined?</w:t>
      </w:r>
    </w:p>
    <w:p>
      <w:r>
        <w:rPr>
          <w:color w:val="777777"/>
          <w:sz w:val="16"/>
        </w:rPr>
        <w:t xml:space="preserve">p038 · att1 p.5  </w:t>
      </w:r>
      <w:r>
        <w:t>We defer to biostatisticians on the specific methodology, but we want two things made explicit. First, sponsors should be required to include physicians directly in the review of GenAI performance results and in accounting for differences between synthetic and real-world data, rather than treating that as a purely technical or statistical exercise. Second, real world distributions used for evaluation need to span multiple geographies and patient types, not just a single health system's population, to avoid inequity and underrepresentation of special populations. This matters a great deal for rare presentations, like specific drug hypersensitivity phenotypes, where a narrow sample can create a false sense of confidence.</w:t>
      </w:r>
    </w:p>
    <w:p>
      <w:r>
        <w:rPr>
          <w:color w:val="777777"/>
          <w:sz w:val="16"/>
        </w:rPr>
        <w:t xml:space="preserve">p039 · att1 p.5  </w:t>
      </w:r>
      <w:r>
        <w:t>Question 13. For which domains or subpopulations is synthetic data well-suited or inadequate, and what safeguards address the risk that models generate synthetic data reproducing their own blind spots?</w:t>
      </w:r>
    </w:p>
    <w:p>
      <w:r>
        <w:rPr>
          <w:color w:val="777777"/>
          <w:sz w:val="16"/>
        </w:rPr>
        <w:t xml:space="preserve">p040 · att1 p.5  </w:t>
      </w:r>
      <w:r>
        <w:t>We believe synthetic data is reasonably well suited to augmenting testing of common, well characterized presentations, like seasonal allergic rhinitis, where real world data is already abundant. We are much more cautious about rare or underrepresented allergic and immunologic conditions, like rare primary immunodeficiencies or uncommon drug hypersensitivity syndromes, because the same knowledge gaps that make real data scarce are likely to show up in GenAI generated synthetic data trained on similar underlying material. We recommend requiring an independent, non-GenAI derived reference dataset, such as registry data or expert curated case sets, for any subgroup where synthetic data is used to supplement evaluation.</w:t>
      </w:r>
    </w:p>
    <w:p>
      <w:r>
        <w:rPr>
          <w:color w:val="777777"/>
          <w:sz w:val="16"/>
        </w:rPr>
        <w:t xml:space="preserve">p041 · att1 p.6  </w:t>
      </w:r>
      <w:r>
        <w:t>Question 14. For open-ended outputs, how should comparators and acceptance criteria be selected, and when should human-AI team performance rather than AI-alone performance serve as the evaluation basis?</w:t>
      </w:r>
    </w:p>
    <w:p>
      <w:r>
        <w:rPr>
          <w:color w:val="777777"/>
          <w:sz w:val="16"/>
        </w:rPr>
        <w:t xml:space="preserve">p042 · att1 p.6  </w:t>
      </w:r>
      <w:r>
        <w:t>For open ended outputs, we think the comparator must match the device's actual workflow. If a device is meant to be reviewed by a supervising physician before any action is taken, human-AI team performance is the more meaningful benchmark. If it is meant for autonomous or patient facing use without review, AI alone performance against an expert or specialist panel is the right standard.</w:t>
      </w:r>
    </w:p>
    <w:p>
      <w:r>
        <w:rPr>
          <w:color w:val="777777"/>
          <w:sz w:val="16"/>
        </w:rPr>
        <w:t xml:space="preserve">p043 · att1 p.6  </w:t>
      </w:r>
      <w:r>
        <w:t>We want to be specific about who should be doing that review. Physicians evaluating an openended output need to be practicing in the specialty the device is actually applicable to. A primary care physician should not be the only one evaluating a device built for specialist level decisions; that specialty needs to be represented on the review panel.</w:t>
      </w:r>
    </w:p>
    <w:p>
      <w:r>
        <w:rPr>
          <w:color w:val="777777"/>
          <w:sz w:val="16"/>
        </w:rPr>
        <w:t xml:space="preserve">p044 · att1 p.6  </w:t>
      </w:r>
      <w:r>
        <w:t>We also suggest a tiered clinician panel rather than a single group. The first tier should be subject matter experts who vet the output against what they know to be correct and appropriate. A second tier made up of a broader cohort of median clinicians can then be compared against that expert tier, which gives a useful read on how much a device's performance would shift real world practice, not just whether it matches ideal expert judgment. Where relevant, established practice guidelines should anchor what counts as the standard of care rather than leaving that entirely to panel consensus.</w:t>
      </w:r>
    </w:p>
    <w:p>
      <w:r>
        <w:rPr>
          <w:color w:val="777777"/>
          <w:sz w:val="16"/>
        </w:rPr>
        <w:t xml:space="preserve">p045 · att1 p.6  </w:t>
      </w:r>
      <w:r>
        <w:t>Question 15. Are there ways in which performance might be assessed relative to the care, technology, or course of action likely to occur in the absence of the device, rather than to the comparators described above?</w:t>
      </w:r>
    </w:p>
    <w:p>
      <w:r>
        <w:rPr>
          <w:color w:val="777777"/>
          <w:sz w:val="16"/>
        </w:rPr>
        <w:t xml:space="preserve">p046 · att1 p.6  </w:t>
      </w:r>
      <w:r>
        <w:t>We see value in this as a supplementary analysis, especially for tools meant to expand access, like something bringing specialty guidance into an under-resourced primary care setting, where the realistic alternative may be no specialist input at all rather than an idealized specialist consensus. This framing could capture genuine benefit in access limited settings without lowering the safety bar, but it should not replace a specialist panel comparator when one is available and appropriate.</w:t>
      </w:r>
    </w:p>
    <w:p>
      <w:r>
        <w:rPr>
          <w:color w:val="777777"/>
          <w:sz w:val="16"/>
        </w:rPr>
        <w:t xml:space="preserve">p047 · att1 p.6  </w:t>
      </w:r>
      <w:r>
        <w:t>Question 16. Should independent third parties be involved in device benchmarking and clinical confirmation, and what qualifications or safeguards should apply?</w:t>
      </w:r>
    </w:p>
    <w:p>
      <w:r>
        <w:rPr>
          <w:color w:val="777777"/>
          <w:sz w:val="16"/>
        </w:rPr>
        <w:t xml:space="preserve">p048 · att1 p.6  </w:t>
      </w:r>
      <w:r>
        <w:t>We support giving independent third parties a real role here, particularly professional medical societies, in developing and holding sequestered, specialty specific datasets and in supplying qualified expert adjudicators, given how much direct access societies have to practicing specialists and current practice parameters. I would add one specific requirement: any third-party assessment conducted under this framework should be published, or at minimum made available for review upon request, rather than kept fully confidential between the sponsor and the third party. Safeguards should also include conflict of interest disclosure for any adjudicator with financial ties to a sponsor or a competing sponsor, and some mechanism to keep third party accreditation from becoming a barrier to entry for smaller manufacturers or academic developers.</w:t>
      </w:r>
    </w:p>
    <w:p>
      <w:r>
        <w:rPr>
          <w:color w:val="777777"/>
          <w:sz w:val="16"/>
        </w:rPr>
        <w:t xml:space="preserve">p049 · att1 p.7  </w:t>
      </w:r>
      <w:r>
        <w:t>Question 17. Could the competency-based approach extend to devices with other architectures, such as multimodal vision-language models or generative or predictive world models?</w:t>
      </w:r>
    </w:p>
    <w:p>
      <w:r>
        <w:rPr>
          <w:color w:val="777777"/>
          <w:sz w:val="16"/>
        </w:rPr>
        <w:t xml:space="preserve">p050 · att1 p.7  </w:t>
      </w:r>
      <w:r>
        <w:t>We believe the framework is largely architecture agnostic since it evaluates the deployed device's behavior rather than the internal mechanics of the model. For multimodal devices relevant to our field, like image-based assessment of skin reactions or other dermatologic manifestations of allergic disease, we want benchmarking to explicitly test performance across variation in image capture quality, lighting, and skin tone, given the known disparities in dermatologic AI performance across skin types.</w:t>
      </w:r>
    </w:p>
    <w:p>
      <w:r>
        <w:rPr>
          <w:color w:val="777777"/>
          <w:sz w:val="16"/>
        </w:rPr>
        <w:t xml:space="preserve">p051 · att1 p.7  </w:t>
      </w:r>
      <w:r>
        <w:t>Question 18. Under what conditions might it be appropriate to accept greater premarket uncertainty in exchange for greater postmarket monitoring reliance?</w:t>
      </w:r>
    </w:p>
    <w:p>
      <w:r>
        <w:rPr>
          <w:color w:val="777777"/>
          <w:sz w:val="16"/>
        </w:rPr>
        <w:t xml:space="preserve">p052 · att1 p.7  </w:t>
      </w:r>
      <w:r>
        <w:t>We support this approach only for devices on the lower risk end of the two-axis framework, nondirective, HCP facing, lower consequence functions such as general rhinitis symptom information, versus higher risk functions tied to severe or rapid onset conditions such as anaphylaxis management. We do not support reduced premarket evidence for anything touching anaphylaxis recognition, epinephrine administration guidance, or autonomous prescribing or dosing decisions, where the consequences of an undetected failure between deployment and the first postmarket review cycle could be irreversible. If CDRH does allow reduced premarket evidence in exchange for postmarket reliance, we want that tied to a requirement for near real time, not merely periodic, monitoring of safety critical behaviors specifically.</w:t>
      </w:r>
    </w:p>
    <w:p>
      <w:r>
        <w:rPr>
          <w:color w:val="777777"/>
          <w:sz w:val="16"/>
        </w:rPr>
        <w:t xml:space="preserve">p053 · att1 p.7  </w:t>
      </w:r>
      <w:r>
        <w:t>Question 19. Comment on periodic re-benchmarking, sample-based clinician review, and performance degradation monitoring. What additional approaches should CDRH consider, and how should cadence and triggering events be determined?</w:t>
      </w:r>
    </w:p>
    <w:p>
      <w:r>
        <w:rPr>
          <w:color w:val="777777"/>
          <w:sz w:val="16"/>
        </w:rPr>
        <w:t xml:space="preserve">p054 · att1 p.7  </w:t>
      </w:r>
      <w:r>
        <w:t>We think all three of these approaches, periodic re-benchmarking, sample-based clinician review, and performance degradation monitoring, are reasonable and complementary. We would tie the cadence to both a fixed minimum interval and defined triggering events, such as any update to the underlying foundation model, any measurable shift in the input population, or any sponsorinitiated feature change, rather than relying on a fixed calendar interval alone, since foundation model updates can happen outside the sponsor's control and outside any predictable schedule. We also want sample-based clinician review to specifically oversample safety critical interaction types, like escalation relevant conversations, rather than pulling a purely representative random sample, since rare high consequence failures can be underrepresented in an unweighted sample.</w:t>
      </w:r>
    </w:p>
    <w:p>
      <w:r>
        <w:rPr>
          <w:color w:val="777777"/>
          <w:sz w:val="16"/>
        </w:rPr>
        <w:t xml:space="preserve">p055 · att1 p.7  </w:t>
      </w:r>
      <w:r>
        <w:t>Beyond these three, we want two additional postmarket requirements built in as a matter of course rather than optional best practice. First, a severity tiered protocol, prespecified before deployment, for how a manufacturer must respond when an incorrect output is identified, with the speed and scope of that response scaled to how seriously incorrect the output was and its potential consequence, not left to sponsor discretion after the fact. Second, a real clinician feedback loop. Physicians who spot a suspected erroneous or unsafe output need a fast, low friction way to flag it directly to the manufacturer, and just as important, a timely response telling them what was found and what was done about it. A reporting channel that goes unanswered will not get used, and it will not function as a safety mechanism.</w:t>
      </w:r>
    </w:p>
    <w:p>
      <w:r>
        <w:rPr>
          <w:color w:val="777777"/>
          <w:sz w:val="16"/>
        </w:rPr>
        <w:t xml:space="preserve">p056 · att1 p.8  </w:t>
      </w:r>
      <w:r>
        <w:t>Question 20. Can postmarket monitoring be facilitated by machine-based supervisory agents, and what considerations apply to the supervisory agent's own reliability?</w:t>
      </w:r>
    </w:p>
    <w:p>
      <w:r>
        <w:rPr>
          <w:color w:val="777777"/>
          <w:sz w:val="16"/>
        </w:rPr>
        <w:t xml:space="preserve">p057 · att1 p.8  </w:t>
      </w:r>
      <w:r>
        <w:t>We see potential value in machine based supervisory agents, but we are concerned about circularity. A supervisory agent built on similar underlying architecture may share the same blind spots as the device it is supervising, especially for the exact edge cases most likely to cause harm. We do not think postmarket performance monitoring should be left entirely to a machinebased system. A physician should be conducting a periodic review of performance on an ongoing basis, not just at initial deployment, and that human review needs to remain the final layer for anything flagged as a safety critical event rather than letting the monitoring loop close automatically.</w:t>
      </w:r>
    </w:p>
    <w:p>
      <w:r>
        <w:rPr>
          <w:color w:val="777777"/>
          <w:sz w:val="16"/>
        </w:rPr>
        <w:t xml:space="preserve">p058 · att1 p.8  </w:t>
      </w:r>
      <w:r>
        <w:t>We also want CDRH to require a “kill switch” mechanism, meaning a clear, accessible way for a human to immediately stop or disable a device if its underlying code is found to be corrupted or if its output is causing or is likely to cause patient harm. Whatever monitoring approach is used, there needs to be a fast, human controlled way to pull a device out of use the moment a serious problem is identified, rather than waiting for the next scheduled review cycle.</w:t>
      </w:r>
    </w:p>
    <w:p>
      <w:r>
        <w:rPr>
          <w:color w:val="777777"/>
          <w:sz w:val="16"/>
        </w:rPr>
        <w:t xml:space="preserve">p059 · att1 p.8  </w:t>
      </w:r>
      <w:r>
        <w:t>Question 21. What roles might clinicians, healthcare institutions, professional societies, and standards bodies play in postmarket monitoring without diffusing manufacturer accountability?</w:t>
      </w:r>
    </w:p>
    <w:p>
      <w:r>
        <w:rPr>
          <w:color w:val="777777"/>
          <w:sz w:val="16"/>
        </w:rPr>
        <w:t xml:space="preserve">p060 · att1 p.8  </w:t>
      </w:r>
      <w:r>
        <w:t>Primary responsibility for postmarket monitoring must remain with the manufacturer. Manufacturers are best positioned—and may be the only parties with access to the necessary data—to evaluate their devices’ performance at scale. Clinicians and healthcare institutions can report safety concerns, unexpected outcomes, and performance failures, while professional societies and standards bodies may provide clinical expertise or help develop appropriate monitoring standards. However, these activities must not transfer responsibility away from the manufacturer.</w:t>
      </w:r>
    </w:p>
    <w:p>
      <w:r>
        <w:rPr>
          <w:color w:val="777777"/>
          <w:sz w:val="16"/>
        </w:rPr>
        <w:t xml:space="preserve">p061 · att1 p.8  </w:t>
      </w:r>
      <w:r>
        <w:t>Professional societies such as ACAAI should not be required to collect, aggregate, or routinely review manufacturer-held data. Societies often lack access to complete data because of encryption, privacy restrictions, proprietary systems, and nondisclosure agreements. Moreover, reviewing postmarket data requires substantial expertise and resources and should not be treated as an uncompensated obligation. A society may choose to participate through a clearly defined, appropriately funded arrangement, but that participation should remain voluntary.</w:t>
      </w:r>
    </w:p>
    <w:p>
      <w:r>
        <w:rPr>
          <w:color w:val="777777"/>
          <w:sz w:val="16"/>
        </w:rPr>
        <w:t xml:space="preserve">p062 · att1 p.8  </w:t>
      </w:r>
      <w:r>
        <w:t>Manufacturers should be required to maintain a credible, transparent process for ongoing clinical review, including access to qualified independent expertise when appropriate. If meaningful postmarket monitoring and review cannot be performed—or if the manufacturer does not provide reviewers with sufficient data to evaluate the product—the device should not remain in clinical use. Its authorization should be suspended or withdrawn until adequate monitoring and review are established.</w:t>
      </w:r>
    </w:p>
    <w:p>
      <w:r>
        <w:rPr>
          <w:color w:val="777777"/>
          <w:sz w:val="16"/>
        </w:rPr>
        <w:t xml:space="preserve">p063 · att1 p.8  </w:t>
      </w:r>
      <w:r>
        <w:t>We also want to raise a related accountability point that this framework does not address.. When a device operating within its intended use produces a flawed output that contributes to patient harm, the responsibility should not fall solely on the treating physician simply because a human was nominally in the loop. Physicians who use a device in good faith, consistent with its labeling and their own clinical judgment, should have defined legal and professional protections that appropriately share liability with the manufacturer for harm attributable to the device's own flawed performance. We recognize this may sit outside CDRH's direct regulatory authority, but we ask CDRH to flag this gap to the relevant federal and state authorities, since it will directly shape whether and how safely physicians adopt these tools.</w:t>
      </w:r>
    </w:p>
    <w:p>
      <w:r>
        <w:rPr>
          <w:color w:val="777777"/>
          <w:sz w:val="16"/>
        </w:rPr>
        <w:t xml:space="preserve">p064 · att1 p.9  </w:t>
      </w:r>
      <w:r>
        <w:t>Question 22. How might re-benchmarking or other evidence scale to the nature and impact of a modification? Are there change categories suitable for management within a sponsor's quality management system versus FDA review, or for inclusion in a PCCP?</w:t>
      </w:r>
    </w:p>
    <w:p>
      <w:r>
        <w:rPr>
          <w:color w:val="777777"/>
          <w:sz w:val="16"/>
        </w:rPr>
        <w:t xml:space="preserve">p065 · att1 p.9  </w:t>
      </w:r>
      <w:r>
        <w:t>A competency based assessment on its own is insufficient, no matter how well designed the initial benchmarking and clinical confirmation process is. These devices can change after deployment, sometimes through a sponsor-initiated update and sometimes through changes to an underlying foundation model that the sponsor does not fully control, and a one-time competency assessment at authorization cannot account for that ongoing evolution.</w:t>
      </w:r>
    </w:p>
    <w:p>
      <w:r>
        <w:rPr>
          <w:color w:val="777777"/>
          <w:sz w:val="16"/>
        </w:rPr>
        <w:t xml:space="preserve">p066 · att1 p.9  </w:t>
      </w:r>
      <w:r>
        <w:t>We support scaling re-evaluation to whatever benchmarking elements are affected by a given change rather than requiring a full re-benchmark every time. Changes limited to user interface, formatting, or non-clinical content could reasonably be handled within a sponsor's quality management system. Changes to the underlying foundation model, retrieval sources, or safety guardrail logic should trigger, at minimum, a full re-benchmark of the Safety element, since seemingly unrelated model updates can disproportionately affect safety critical behavior. We support including well bounded, previously validated modification types in a PCCP, but we want any PCCP for a GenAI device to explicitly exclude open ended future changes to the underlying foundation model itself, for the reasons raised in our response to Question 24.</w:t>
      </w:r>
    </w:p>
    <w:p>
      <w:r>
        <w:rPr>
          <w:color w:val="777777"/>
          <w:sz w:val="16"/>
        </w:rPr>
        <w:t xml:space="preserve">p067 · att1 p.9  </w:t>
      </w:r>
      <w:r>
        <w:t>Question 23. How might PCCP concepts be adapted when the nature or scope of future modifications cannot be fully prespecified?</w:t>
      </w:r>
    </w:p>
    <w:p>
      <w:r>
        <w:rPr>
          <w:color w:val="777777"/>
          <w:sz w:val="16"/>
        </w:rPr>
        <w:t xml:space="preserve">p068 · att1 p.9  </w:t>
      </w:r>
      <w:r>
        <w:t>We suggest a tiered PCCP structure. Fully prespecified, narrow modification types, like adding a defined new allergen or medication to a knowledge base, can be handled under traditional PCCP mechanics. Broader or less predictable evolution could instead be governed by a standing rebenchmarking protocol and acceptance criteria framework that is itself prespecified and authorized in advance, even though the specific future changes are not yet known. That shifts what is being authorized up front from the change itself to the adequacy of the evaluation protocol that will be applied whenever a change does occur.</w:t>
      </w:r>
    </w:p>
    <w:p>
      <w:r>
        <w:rPr>
          <w:color w:val="777777"/>
          <w:sz w:val="16"/>
        </w:rPr>
        <w:t xml:space="preserve">p069 · att1 p.9  </w:t>
      </w:r>
      <w:r>
        <w:t>Question 24. For devices built on third-party foundation models, changes to the underlying model may be initiated by the developer rather than the manufacturer. What mechanisms could provide assurance that these changes do not compromise safety or effectiveness?</w:t>
      </w:r>
    </w:p>
    <w:p>
      <w:r>
        <w:rPr>
          <w:color w:val="777777"/>
          <w:sz w:val="16"/>
        </w:rPr>
        <w:t xml:space="preserve">p070 · att1 p.9  </w:t>
      </w:r>
      <w:r>
        <w:t>We recommend FDA require, as a condition of authorization, a contractual commitment from foundation model developers to give manufacturers advance notice of material model updates, paired with a requirement that the manufacturer re-run at least the safety benchmarking element before deploying any updated model version in a marketed device. Just as important, any change of this kind needs to be communicated clearly to the health systems and physicians using the device, not just documented internally by the manufacturer. Absent strong notice commitments from developers, manufacturers should be expected to maintain continuous automated monitoring capable of catching behavioral drift shortly after it happens, rather than relying solely on the developer to disclose it.</w:t>
      </w:r>
    </w:p>
    <w:p>
      <w:r>
        <w:rPr>
          <w:color w:val="777777"/>
          <w:sz w:val="16"/>
        </w:rPr>
        <w:t xml:space="preserve">p071 · att1 p.10  </w:t>
      </w:r>
      <w:r>
        <w:t>Question 25. Would voluntary Foundation Model MAFs be practical, and what would make the program sufficiently useful for premarket review given voluntary participation?</w:t>
      </w:r>
    </w:p>
    <w:p>
      <w:r>
        <w:rPr>
          <w:color w:val="777777"/>
          <w:sz w:val="16"/>
        </w:rPr>
        <w:t xml:space="preserve">p072 · att1 p.10  </w:t>
      </w:r>
      <w:r>
        <w:t>We support the concept of a Foundation Model MAF, but we share CDRH's implicit concern that voluntary participation gives developers limited incentive to disclose safety relevant limitations. We suggest FDA consider an incentive: let sponsors who reference a Foundation Model MAF satisfy a defined portion of their own benchmarking burden for foundation model level behaviors, which would give foundation model developers a market reason to participate to make their models more attractive to device sponsors.</w:t>
      </w:r>
    </w:p>
    <w:p>
      <w:r>
        <w:rPr>
          <w:color w:val="777777"/>
          <w:sz w:val="16"/>
        </w:rPr>
        <w:t xml:space="preserve">p073 · att1 p.10  </w:t>
      </w:r>
      <w:r>
        <w:t>We do not think transparency to end users should stay voluntary at the level of the deployed device itself. Regardless of whether a Foundation Model MAF exists, we ask CDRH to require that any device offering clinical advice give health systems and the physicians using it clear, accessible documentation of what data and population the device was trained and validated on, how its performance was assessed and what the results were including performance across relevant subgroups, and its ongoing real world performance through periodic reports shared directly with institutional and individual users, not retained internally or disclosed to FDA alone. Physicians are being asked to rely on these tools in patient care and cannot do that responsibly without this information in hand.</w:t>
      </w:r>
    </w:p>
    <w:p>
      <w:r>
        <w:rPr>
          <w:color w:val="777777"/>
          <w:sz w:val="16"/>
        </w:rPr>
        <w:t xml:space="preserve">p074 · att1 p.10  </w:t>
      </w:r>
      <w:r>
        <w:t>Question 26. What additional considerations apply to agentic GenAI-enabled devices, and how should the elevated risk from autonomous multi-step action be reflected in acceptance criteria and oversight?</w:t>
      </w:r>
    </w:p>
    <w:p>
      <w:r>
        <w:rPr>
          <w:color w:val="777777"/>
          <w:sz w:val="16"/>
        </w:rPr>
        <w:t xml:space="preserve">p075 · att1 p.10  </w:t>
      </w:r>
      <w:r>
        <w:t>Agentic systems are especially relevant to our specialty given how many of our members are already using ambient and agentic tools for clinical documentation and workflow support. We request that acceptance criteria for agentic devices require demonstrated, tested checkpoints requiring human confirmation before any irreversible or high consequence action, like placing an order or sending a patient facing message with clinical guidance, with the number and placement of those checkpoints scaled to the two-axis risk framework. We also flag compounding error risk across multi step agentic sequences, since a small per step error rate can compound significantly across a long autonomous task chain in ways single turn benchmarking would not catch.</w:t>
      </w:r>
    </w:p>
    <w:p>
      <w:r>
        <w:rPr>
          <w:color w:val="777777"/>
          <w:sz w:val="16"/>
        </w:rPr>
        <w:t xml:space="preserve">p076 · att1 p.10  </w:t>
      </w:r>
      <w:r>
        <w:t>Finally, we want to raise the same point made in Question 20: there needs to be a clear “kill switch” mechanism, a fast, human controlled way to stop an agentic device mid sequence if its output becomes corrupted or incorrect, before it takes an action that cannot be undone.</w:t>
      </w:r>
    </w:p>
    <w:p>
      <w:r>
        <w:rPr>
          <w:color w:val="777777"/>
          <w:sz w:val="16"/>
        </w:rPr>
        <w:t xml:space="preserve">p077 · att1 p.10  </w:t>
      </w:r>
      <w:r>
        <w:t>We appreciate your consideration of our comments and recommendations. If you have any questions regarding this letter, please contact Susan Grupe, Director of Advocacy Administration, at suegrupe@acaai.org.</w:t>
      </w:r>
    </w:p>
    <w:p>
      <w:r>
        <w:rPr>
          <w:color w:val="777777"/>
          <w:sz w:val="16"/>
        </w:rPr>
        <w:t xml:space="preserve">p078 · att1 p.10  </w:t>
      </w:r>
      <w:r>
        <w:t>Sincerely,</w:t>
      </w:r>
    </w:p>
    <w:p>
      <w:r>
        <w:rPr>
          <w:color w:val="777777"/>
          <w:sz w:val="16"/>
        </w:rPr>
        <w:t xml:space="preserve">p079 · att1 p.10  </w:t>
      </w:r>
      <w:r>
        <w:t>Cherie Y. Zachary, MD, FACAAI President, ACAAI — J. Wesley Sublett, MD, MPH, FACAAI Chair, Advocacy Council</w:t>
      </w:r>
    </w:p>
    <w:p>
      <w:pPr>
        <w:pStyle w:val="Heading1"/>
        <w:pageBreakBefore/>
      </w:pPr>
      <w:r>
        <w:t>FDA-2026-N-7874-0119</w:t>
      </w:r>
    </w:p>
    <w:p>
      <w:r>
        <w:t>Comment from Cassiana Souza Meyer</w:t>
      </w:r>
    </w:p>
    <w:p>
      <w:r>
        <w:rPr>
          <w:color w:val="777777"/>
          <w:sz w:val="18"/>
        </w:rPr>
        <w:t>Health Professional - A0007 · received 2026-09-25 · attachments: attachment_1.pdf (12 pp)</w:t>
      </w:r>
    </w:p>
    <w:p>
      <w:r>
        <w:rPr>
          <w:color w:val="777777"/>
          <w:sz w:val="16"/>
        </w:rPr>
        <w:t xml:space="preserve">p001 · body  </w:t>
      </w:r>
      <w:r>
        <w:t>Docket No. FDA-2026-N-7874 - Considerations for the Regulation of Generative AI-Enabled Medical Devices: Discussion Paper and Request for Feedback</w:t>
      </w:r>
    </w:p>
    <w:p>
      <w:r>
        <w:rPr>
          <w:color w:val="777777"/>
          <w:sz w:val="16"/>
        </w:rPr>
        <w:t xml:space="preserve">p002 · body  </w:t>
      </w:r>
      <w:r>
        <w:t>Submitted by Cassiana Souza Meyer, MD, occupational medicine physician (CRM 109.930/SP, Brazil). I have no financial interest in any medical device and am not submitting on behalf of any organization. I am a physician who reads statutes, not a lawyer.</w:t>
      </w:r>
    </w:p>
    <w:p>
      <w:r>
        <w:rPr>
          <w:color w:val="777777"/>
          <w:sz w:val="16"/>
        </w:rPr>
        <w:t xml:space="preserve">p003 · body  </w:t>
      </w:r>
      <w:r>
        <w:t>The full comment is attached (Attachment 1). It responds to Questions 1, 21 and 25, and touches Questions 6, 22, 23 and 24. Every provision relied on is quoted verbatim in its Appendix, with its official source.</w:t>
      </w:r>
    </w:p>
    <w:p>
      <w:r>
        <w:rPr>
          <w:color w:val="777777"/>
          <w:sz w:val="16"/>
        </w:rPr>
        <w:t xml:space="preserve">p004 · body  </w:t>
      </w:r>
      <w:r>
        <w:t>Summary. In the regimes I examined that govern the use of artificial intelligence in health coverage decisions - guidance issued by the Centers for Medicare &amp; Medicaid Services for Medicare Advantage, and seven state instruments - the duty falls on the regulated entity that uses the tool; none imposes an obligation on the developer of the underlying model. This bears on Question 25's request for alternative mechanisms: in these regimes, the regulator reaches the model supplier, if at all, only through the regulated entity. The attached comment describes three mechanisms consistent with that record, and one way the record shows such a mechanism can fail: when the legal requirement can be discharged without performing it.</w:t>
      </w:r>
    </w:p>
    <w:p>
      <w:r>
        <w:rPr>
          <w:color w:val="777777"/>
          <w:sz w:val="16"/>
        </w:rPr>
        <w:t xml:space="preserve">p005 · body  </w:t>
      </w:r>
      <w:r>
        <w:t>A three-question test for any accountability assignment, offered for drafting, including of CDRH's own text:</w:t>
      </w:r>
    </w:p>
    <w:p>
      <w:r>
        <w:rPr>
          <w:color w:val="777777"/>
          <w:sz w:val="16"/>
        </w:rPr>
        <w:t xml:space="preserve">p006 · body  </w:t>
      </w:r>
      <w:r>
        <w:t>1. Is the bearer named in the operative sentence?</w:t>
      </w:r>
    </w:p>
    <w:p>
      <w:r>
        <w:rPr>
          <w:color w:val="777777"/>
          <w:sz w:val="16"/>
        </w:rPr>
        <w:t xml:space="preserve">p007 · body  </w:t>
      </w:r>
      <w:r>
        <w:t>2. Does any satisfaction clause act on proof, or on the duty?</w:t>
      </w:r>
    </w:p>
    <w:p>
      <w:r>
        <w:rPr>
          <w:color w:val="777777"/>
          <w:sz w:val="16"/>
        </w:rPr>
        <w:t xml:space="preserve">p008 · body  </w:t>
      </w:r>
      <w:r>
        <w:t>3. Is the trigger neutral to the direction of the outcome?</w:t>
      </w:r>
    </w:p>
    <w:p>
      <w:r>
        <w:rPr>
          <w:color w:val="777777"/>
          <w:sz w:val="16"/>
        </w:rPr>
        <w:t xml:space="preserve">p009 · body  </w:t>
      </w:r>
      <w:r>
        <w:t>A role that fails any one of these can be assigned in text and still leave no one answerable in practice.</w:t>
      </w:r>
    </w:p>
    <w:p>
      <w:r>
        <w:rPr>
          <w:color w:val="777777"/>
          <w:sz w:val="16"/>
        </w:rPr>
        <w:t xml:space="preserve">p010 · att1 p.1  </w:t>
      </w:r>
      <w:r>
        <w:t>Comment — Docket No. FDA-2026-N-7874 — Considerations for the Regulation of Generative AI-Enabled Medical Devices: Discussion Paper and Request for Feedback (August 2026)</w:t>
      </w:r>
    </w:p>
    <w:p>
      <w:r>
        <w:rPr>
          <w:color w:val="777777"/>
          <w:sz w:val="16"/>
        </w:rPr>
        <w:t xml:space="preserve">p011 · att1 p.1  </w:t>
      </w:r>
      <w:r>
        <w:t>Submitted by Cassiana Souza Meyer, MD — occupational medicine physician (CRM 109.930/SP, Brazil), Health AI Observatory (healthaiobservatory.org).</w:t>
      </w:r>
    </w:p>
    <w:p>
      <w:r>
        <w:rPr>
          <w:color w:val="777777"/>
          <w:sz w:val="16"/>
        </w:rPr>
        <w:t xml:space="preserve">p012 · att1 p.1  </w:t>
      </w:r>
      <w:r>
        <w:t>Summary. In the regimes I examined that govern the use of artificial intelligence in health coverage decisions — guidance issued by the Centers for Medicare &amp; Medicaid Services for Medicare Advantage, and seven state instruments — the duty falls on the regulated entity that uses the tool; none imposes an obligation on the developer of the underlying model. This bears on Question 25's request for alternative mechanisms: in these regimes, the regulator reaches the model supplier, if at all, only through the regulated entity. Section 5 describes three mechanisms consistent with that record, and one way the record shows such a mechanism can fail. The comment also addresses Questions 1 and 21, where state law shows that HCP supervision can mean different things in different deployment settings. Section 7 reduces the record to a threequestion test that can be applied to any text assigning a postmarket role, including CDRH's own. Every provision relied on is quoted verbatim in the Appendix, with its official source.</w:t>
      </w:r>
    </w:p>
    <w:p>
      <w:r>
        <w:rPr>
          <w:color w:val="777777"/>
          <w:sz w:val="16"/>
        </w:rPr>
        <w:t xml:space="preserve">p013 · att1 p.1  </w:t>
      </w:r>
      <w:r>
        <w:t>I maintain an independent regulatory observatory that tracks how binding instruments allocate legal responsibility when artificial intelligence participates in clinical care. I have no financial interest in any medical device and am not submitting on behalf of any organization. I am a physician who reads statutes, not a lawyer; every claim below is tied to the provision it comes from, so any reader can check it against the source.</w:t>
      </w:r>
    </w:p>
    <w:p>
      <w:r>
        <w:rPr>
          <w:color w:val="777777"/>
          <w:sz w:val="16"/>
        </w:rPr>
        <w:t xml:space="preserve">p014 · att1 p.1  </w:t>
      </w:r>
      <w:r>
        <w:t>1. Scope — This comment responds to Questions 1, 21 and 25, and touches Questions 22, 23 and 24 within the answer to 25 and Question 6 within the answer to 21.</w:t>
      </w:r>
    </w:p>
    <w:p>
      <w:r>
        <w:rPr>
          <w:color w:val="777777"/>
          <w:sz w:val="16"/>
        </w:rPr>
        <w:t xml:space="preserve">p015 · att1 p.1  </w:t>
      </w:r>
      <w:r>
        <w:t>The evidence is domestic law on automated decisions about health coverage. CDRH lists "payers" among the ecosystem participants in Section VI.B. Coverage is a setting in which U.S. regulators have already decided, in binding text, who answers when software participates in a decision about a patient: CMS for Medicare Advantage, and at least seven states for commercial coverage. The record is instructive, including where it fails.</w:t>
      </w:r>
    </w:p>
    <w:p>
      <w:r>
        <w:rPr>
          <w:color w:val="777777"/>
          <w:sz w:val="16"/>
        </w:rPr>
        <w:t xml:space="preserve">p016 · att1 p.1  </w:t>
      </w:r>
      <w:r>
        <w:t>2. Question 1 — a device's position on the activity axis is a legal property, not a technical one</w:t>
      </w:r>
    </w:p>
    <w:p>
      <w:r>
        <w:rPr>
          <w:color w:val="777777"/>
          <w:sz w:val="16"/>
        </w:rPr>
        <w:t xml:space="preserve">p017 · att1 p.1  </w:t>
      </w:r>
      <w:r>
        <w:t>Question 1 asks whether the two-axis framework captures the relevant dimensions, and invites additional ones — naming reversibility, downstream safeguards, time pressure and traceability.</w:t>
      </w:r>
    </w:p>
    <w:p>
      <w:r>
        <w:rPr>
          <w:color w:val="777777"/>
          <w:sz w:val="16"/>
        </w:rPr>
        <w:t xml:space="preserve">p018 · att1 p.2  </w:t>
      </w:r>
      <w:r>
        <w:t>I would add a dimension adjacent to "availability of downstream safeguards", but distinct from it: not whether a safeguard exists, but whether the legal requirement for it can be discharged without performing it.</w:t>
      </w:r>
    </w:p>
    <w:p>
      <w:r>
        <w:rPr>
          <w:color w:val="777777"/>
          <w:sz w:val="16"/>
        </w:rPr>
        <w:t xml:space="preserve">p019 · att1 p.2  </w:t>
      </w:r>
      <w:r>
        <w:t>The activity axis separates functions that take action under healthcare professional (HCP) supervision from functions that act fully autonomously. Two states have legislated what the supervised position means, and they produce opposite results for the same device.</w:t>
      </w:r>
    </w:p>
    <w:p>
      <w:r>
        <w:rPr>
          <w:color w:val="777777"/>
          <w:sz w:val="16"/>
        </w:rPr>
        <w:t xml:space="preserve">p020 · att1 p.2  </w:t>
      </w:r>
      <w:r>
        <w:t>Colorado requires the supervision to attach to a person. Colo. Ins. Reg. 10-1-1, 3 CCR 702-10, § 5.A.5 (health benefit plans added effective October 15, 2025):</w:t>
      </w:r>
    </w:p>
    <w:p>
      <w:r>
        <w:rPr>
          <w:color w:val="777777"/>
          <w:sz w:val="16"/>
        </w:rPr>
        <w:t xml:space="preserve">p021 · att1 p.2  </w:t>
      </w:r>
      <w:r>
        <w:t>"Health benefit plan insurers shall ensure that a provider acting on behalf of the insurer is ultimately responsible for the decisions made when [the system is] used to inform decisions to modify, or deny requests … for authorization…"</w:t>
      </w:r>
    </w:p>
    <w:p>
      <w:r>
        <w:rPr>
          <w:color w:val="777777"/>
          <w:sz w:val="16"/>
        </w:rPr>
        <w:t xml:space="preserve">p022 · att1 p.2  </w:t>
      </w:r>
      <w:r>
        <w:t>Alabama requires the human decision and then permits it to be attested. Ala. Act 2026-589 (SB 63), § 1(b)(3):</w:t>
      </w:r>
    </w:p>
    <w:p>
      <w:r>
        <w:rPr>
          <w:color w:val="777777"/>
          <w:sz w:val="16"/>
        </w:rPr>
        <w:t xml:space="preserve">p023 · att1 p.2  </w:t>
      </w:r>
      <w:r>
        <w:t>"a determination to deny, delay, or modify … shall always be made by a licensed physician or other health care professional who is competent to evaluate any recommendation or conclusion of artificial intelligence…"</w:t>
      </w:r>
    </w:p>
    <w:p>
      <w:r>
        <w:rPr>
          <w:color w:val="777777"/>
          <w:sz w:val="16"/>
        </w:rPr>
        <w:t xml:space="preserve">p024 · att1 p.2  </w:t>
      </w:r>
      <w:r>
        <w:t>And § 1(c)(4): "The requirements under subsection (b) and this subsection shall be satisfied by an attestation by an authorized representative of the health benefit plan provider based on reasonable reliance upon internal policies, procedures, and third-party vendors".</w:t>
      </w:r>
    </w:p>
    <w:p>
      <w:r>
        <w:rPr>
          <w:color w:val="777777"/>
          <w:sz w:val="16"/>
        </w:rPr>
        <w:t xml:space="preserve">p025 · att1 p.2  </w:t>
      </w:r>
      <w:r>
        <w:t>The human-decision requirement sits in subsection (b). By the act's own terms it is satisfied by a signature resting on reliance on vendors.</w:t>
      </w:r>
    </w:p>
    <w:p>
      <w:r>
        <w:rPr>
          <w:color w:val="777777"/>
          <w:sz w:val="16"/>
        </w:rPr>
        <w:t xml:space="preserve">p026 · att1 p.2  </w:t>
      </w:r>
      <w:r>
        <w:t>The same device, deployed in both states, occupies different positions on CDRH's activity axis — and nothing about the device has changed. In one, a named clinician carries final responsibility. In the other, the supervision requirement is dischargeable on paper.</w:t>
      </w:r>
    </w:p>
    <w:p>
      <w:r>
        <w:rPr>
          <w:color w:val="777777"/>
          <w:sz w:val="16"/>
        </w:rPr>
        <w:t xml:space="preserve">p027 · att1 p.2  </w:t>
      </w:r>
      <w:r>
        <w:t>Where a risk framework treats HCP supervision as mitigating, the assumption is doing work the device cannot guarantee. I would suggest the framework note that the supervised position depends on whether the supervision requirement is enforceable in the deployment setting, which is observable in the governing law rather than in the device.</w:t>
      </w:r>
    </w:p>
    <w:p>
      <w:r>
        <w:rPr>
          <w:color w:val="777777"/>
          <w:sz w:val="16"/>
        </w:rPr>
        <w:t xml:space="preserve">p028 · att1 p.2  </w:t>
      </w:r>
      <w:r>
        <w:t>Of the candidate dimensions the paper names, I would also keep time pressure visible as an explicit modifier rather than folding it into consequence. An action-directing output reaching a clinician who must act before a second source can be consulted is not the same function as the same output reaching a clinician with time to read the trace. It compounds the point above: supervision that is legally required but must be exercised in seconds may be supervision in name only.</w:t>
      </w:r>
    </w:p>
    <w:p>
      <w:r>
        <w:rPr>
          <w:color w:val="777777"/>
          <w:sz w:val="16"/>
        </w:rPr>
        <w:t xml:space="preserve">p029 · att1 p.3  </w:t>
      </w:r>
      <w:r>
        <w:t>3. Question 21 — two domestic models already answer it, by opposite routes</w:t>
      </w:r>
    </w:p>
    <w:p>
      <w:r>
        <w:rPr>
          <w:color w:val="777777"/>
          <w:sz w:val="16"/>
        </w:rPr>
        <w:t xml:space="preserve">p030 · att1 p.3  </w:t>
      </w:r>
      <w:r>
        <w:t>Question 21 asks how to structure roles without diffusing manufacturer accountability. Two states have answered in enforceable instruments, differently.</w:t>
      </w:r>
    </w:p>
    <w:p>
      <w:r>
        <w:rPr>
          <w:color w:val="777777"/>
          <w:sz w:val="16"/>
        </w:rPr>
        <w:t xml:space="preserve">p031 · att1 p.3  </w:t>
      </w:r>
      <w:r>
        <w:t>Texas prohibits. Tex. Ins. Code § 4201.156(a): "A utilization review agent may not use an automated decision system to make, wholly or partly, an adverse determination".</w:t>
      </w:r>
    </w:p>
    <w:p>
      <w:r>
        <w:rPr>
          <w:color w:val="777777"/>
          <w:sz w:val="16"/>
        </w:rPr>
        <w:t xml:space="preserve">p032 · att1 p.3  </w:t>
      </w:r>
      <w:r>
        <w:t>Colorado allocates, in the provision quoted above, and keeps the duty on the regulated entity. Section 5.B of the same regulation: where an insurer uses third-party vendors, "the insurer remains responsible for ensuring all requirements in Section 5.A. are met". Section 9 provides for civil penalties, cease and desist orders, and suspension or revocation of license.</w:t>
      </w:r>
    </w:p>
    <w:p>
      <w:r>
        <w:rPr>
          <w:color w:val="777777"/>
          <w:sz w:val="16"/>
        </w:rPr>
        <w:t xml:space="preserve">p033 · att1 p.3  </w:t>
      </w:r>
      <w:r>
        <w:t>Prohibition and allocation have different lifespans. A prohibition on automated adverse determinations becomes harder to hold as performance improves. Allocation is indifferent to how capable the tool becomes: it names who answers. For a postmarket framework expected to outlast several generations of models, the second is the more durable design.</w:t>
      </w:r>
    </w:p>
    <w:p>
      <w:r>
        <w:rPr>
          <w:color w:val="777777"/>
          <w:sz w:val="16"/>
        </w:rPr>
        <w:t xml:space="preserve">p034 · att1 p.3  </w:t>
      </w:r>
      <w:r>
        <w:t>What undoes allocation is the discharge clause, and Alabama is the worked example. The same act that requires a clinician to decide also defines the requirement as satisfied by attestation. Nothing in Section 1 states that the provider remains responsible; the words "responsible", "remains responsible" and "ultimately responsible" do not appear in the section.</w:t>
      </w:r>
    </w:p>
    <w:p>
      <w:r>
        <w:rPr>
          <w:color w:val="777777"/>
          <w:sz w:val="16"/>
        </w:rPr>
        <w:t xml:space="preserve">p035 · att1 p.3  </w:t>
      </w:r>
      <w:r>
        <w:t>This is not ordinary evidentiary flexibility: it operates on the requirements themselves, and the verb is "shall", not "may". Comparable provisions elsewhere are narrower: the NAIC Model Bulletin (adopted December 4, 2023) says insurers "may demonstrate their compliance … through alternative means" while requiring that third-party systems "will meet the legal standards imposed on the Insurer itself"; Colorado provides that insurers "may satisfy requests for documentation and information" through vendors, immediately after "remains responsible". Both act on proof. Alabama acts on the duty.</w:t>
      </w:r>
    </w:p>
    <w:p>
      <w:r>
        <w:rPr>
          <w:color w:val="777777"/>
          <w:sz w:val="16"/>
        </w:rPr>
        <w:t xml:space="preserve">p036 · att1 p.3  </w:t>
      </w:r>
      <w:r>
        <w:t>The transferable lesson is narrow: assigning a role and defining how that role is discharged are separate choices, and the second determines whether the first survives.</w:t>
      </w:r>
    </w:p>
    <w:p>
      <w:r>
        <w:rPr>
          <w:color w:val="777777"/>
          <w:sz w:val="16"/>
        </w:rPr>
        <w:t xml:space="preserve">p037 · att1 p.3  </w:t>
      </w:r>
      <w:r>
        <w:t>Applied to the stakeholders Question 21 names, the test is whether a role is written as an input the manufacturer must be able to receive and act on, or as a duty that can be satisfied in place of the manufacturer's own. The first adds signal; the second diffuses accountability.</w:t>
      </w:r>
    </w:p>
    <w:p>
      <w:r>
        <w:rPr>
          <w:color w:val="777777"/>
          <w:sz w:val="16"/>
        </w:rPr>
        <w:t xml:space="preserve">p038 · att1 p.4  </w:t>
      </w:r>
      <w:r>
        <w:t>Clinicians are placed to report failures that appear only in use: an output that is fluent, locally plausible and wrong. In my own field, occupational medicine, fitness-for-work and return-towork determinations are one such setting, where the harm is both clinical and economic. The paper already casts clinicians this way, as "[q]ualified, independent clinician adjudicators" in sample-based review. A clinician report is a postmarket signal, not a transfer of accountability.</w:t>
      </w:r>
    </w:p>
    <w:p>
      <w:r>
        <w:rPr>
          <w:color w:val="777777"/>
          <w:sz w:val="16"/>
        </w:rPr>
        <w:t xml:space="preserve">p039 · att1 p.4  </w:t>
      </w:r>
      <w:r>
        <w:t>Healthcare institutions own the deployment environment — local prompts, retrieval sources, routing and house rules layered on a device. They can be asked to preserve logs and to notify the manufacturer of material local configuration changes. Owning the environment is not owning the device, and an institution should not be asked to re-validate the underlying model.</w:t>
      </w:r>
    </w:p>
    <w:p>
      <w:r>
        <w:rPr>
          <w:color w:val="777777"/>
          <w:sz w:val="16"/>
        </w:rPr>
        <w:t xml:space="preserve">p040 · att1 p.4  </w:t>
      </w:r>
      <w:r>
        <w:t>Professional societies and standards bodies are natural authors of shared competency batteries and of incident taxonomies that make clinician reports comparable across sites.</w:t>
      </w:r>
    </w:p>
    <w:p>
      <w:r>
        <w:rPr>
          <w:color w:val="777777"/>
          <w:sz w:val="16"/>
        </w:rPr>
        <w:t xml:space="preserve">p041 · att1 p.4  </w:t>
      </w:r>
      <w:r>
        <w:t>4. An asymmetry that Question 6 also reaches — Every state instrument I read regulates the technology on one side of the decision only. Colorado § 5.A.5 reaches decisions to "modify, or deny". Maryland, Washington and Alabama use the same triad — "deny, delay, or modify". Texas reaches the "adverse determination".</w:t>
      </w:r>
    </w:p>
    <w:p>
      <w:r>
        <w:rPr>
          <w:color w:val="777777"/>
          <w:sz w:val="16"/>
        </w:rPr>
        <w:t xml:space="preserve">p042 · att1 p.4  </w:t>
      </w:r>
      <w:r>
        <w:t>None restricts approval. Washington addresses approval only to permit its automation: "Algorithms may be used to process and approve prior authorization requests, but may not be used without human review to deny care based on a determination of medical necessity". A payer may automate approvals end to end, with no named responsible person and no human review, without coming within the restrictions of any of these provisions.</w:t>
      </w:r>
    </w:p>
    <w:p>
      <w:r>
        <w:rPr>
          <w:color w:val="777777"/>
          <w:sz w:val="16"/>
        </w:rPr>
        <w:t xml:space="preserve">p043 · att1 p.4  </w:t>
      </w:r>
      <w:r>
        <w:t>Question 6 asks how manufacturers should characterize "both under-escalation and overescalation". The state record is the same observation in another setting: when a rule is written to catch harm in one direction, the other direction becomes the unregulated path. A system that approves the inexpensive automatically and routes the expensive to human review produces the distributional effect these statutes were written to prevent, without triggering any of them.</w:t>
      </w:r>
    </w:p>
    <w:p>
      <w:r>
        <w:rPr>
          <w:color w:val="777777"/>
          <w:sz w:val="16"/>
        </w:rPr>
        <w:t xml:space="preserve">p044 · att1 p.4  </w:t>
      </w:r>
      <w:r>
        <w:t>Where CDRH assigns postmarket roles, I would suggest the trigger be the use of the system in the decision rather than the direction of its outcome.</w:t>
      </w:r>
    </w:p>
    <w:p>
      <w:r>
        <w:rPr>
          <w:color w:val="777777"/>
          <w:sz w:val="16"/>
        </w:rPr>
        <w:t xml:space="preserve">p045 · att1 p.4  </w:t>
      </w:r>
      <w:r>
        <w:t>5. Questions 25 and 24 — what domestic law shows about reaching upstream</w:t>
      </w:r>
    </w:p>
    <w:p>
      <w:r>
        <w:rPr>
          <w:color w:val="777777"/>
          <w:sz w:val="16"/>
        </w:rPr>
        <w:t xml:space="preserve">p046 · att1 p.4  </w:t>
      </w:r>
      <w:r>
        <w:t>Question 25 notes that "model developers may have limited incentive to disclose safety-relevant information", and asks: "Are there alternative mechanisms CDRH should consider for obtaining information about underlying foundation models?" Domestic law on coverage decisions shows which mechanism has been used so far.</w:t>
      </w:r>
    </w:p>
    <w:p>
      <w:r>
        <w:rPr>
          <w:color w:val="777777"/>
          <w:sz w:val="16"/>
        </w:rPr>
        <w:t xml:space="preserve">p047 · att1 p.5  </w:t>
      </w:r>
      <w:r>
        <w:t>In each regime examined here, federal and state, the duty for automated coverage decisions falls on the regulated entity that uses the tool, not on the entity that develops it. CMS took this approach for Medicare Advantage: an algorithm or software tool "can be used to assist MA plans in making coverage determinations, but it is the responsibility of the MA organization to ensure that the algorithm or artificial intelligence complies with all applicable rules for how coverage determinations by MA organizations are made". The seven state instruments examined — Washington, California, Texas, Maryland, Indiana, Alabama and Colorado — follow the same allocation. Their operative provisions name payers, the entities that conduct review on their behalf, and, in Indiana, the provider that submits the claim; they are silent on the developers of underlying models.</w:t>
      </w:r>
    </w:p>
    <w:p>
      <w:r>
        <w:rPr>
          <w:color w:val="777777"/>
          <w:sz w:val="16"/>
        </w:rPr>
        <w:t xml:space="preserve">p048 · att1 p.5  </w:t>
      </w:r>
      <w:r>
        <w:t>A distinction matters. In these instruments, the perimeter extends to a third party when that party performs the regulated function. A vendor that conducts utilization review with an AI tool may itself be a regulated review agent; the developer of the foundation model beneath that tool does not conduct review, and none of the instruments examined imposes an obligation on it. The record does not support treating a model developer as if it were the regulated reviewer.</w:t>
      </w:r>
    </w:p>
    <w:p>
      <w:r>
        <w:rPr>
          <w:color w:val="777777"/>
          <w:sz w:val="16"/>
        </w:rPr>
        <w:t xml:space="preserve">p049 · att1 p.5  </w:t>
      </w:r>
      <w:r>
        <w:t>Where a supplier appears at all, it appears in relation to someone else's duty. California and Washington use the same formula: each reaches a plan or carrier that uses an artificial intelligence tool "or that contracts with or otherwise works through an entity that uses" one, and each places the resulting obligation on the plan or carrier, which "shall ensure all of the following". The NAIC Model Bulletin asks for contract terms providing audit rights, prefaced by "Where appropriate and available". Colorado requires insurers to document "the process used for selecting external resources including third-party vendors that supply" the systems and models it regulates, and permits documents or information requested by the Division to be provided by third-party vendors "on behalf of the insurer" — a provision that acts on how compliance is shown, not on who owes it. Alabama is different: the single occurrence of "third-party vendors" in the act is the discharge provision quoted above, where reliance on vendors is the basis on which the plan's own duty is treated as satisfied.</w:t>
      </w:r>
    </w:p>
    <w:p>
      <w:r>
        <w:rPr>
          <w:color w:val="777777"/>
          <w:sz w:val="16"/>
        </w:rPr>
        <w:t xml:space="preserve">p050 · att1 p.5  </w:t>
      </w:r>
      <w:r>
        <w:t>In every regime examined, then, the regulator's line runs to the regulated entity and reaches the supplier, if at all, through it. That is the mechanism domestic law has used. Alabama shows one way it can fail: the party that holds the information has no duty to provide it, and the party that holds the duty may discharge it by attesting to reliance on the first. The record does not show how the mechanism performs in general. It does not show whether contractual notice of model changes is honored in practice, how often a silent change to a hosted model goes undetected, or what follows when a developer refuses audit. And it covers only part of the market: state insurance law generally does not reach self-funded employer plans, which enrolled 67 percent of covered workers in 2025 (KFF, Employer Health Benefits Survey 2025).</w:t>
      </w:r>
    </w:p>
    <w:p>
      <w:r>
        <w:rPr>
          <w:color w:val="777777"/>
          <w:sz w:val="16"/>
        </w:rPr>
        <w:t xml:space="preserve">p051 · att1 p.5  </w:t>
      </w:r>
      <w:r>
        <w:t>Mechanisms consistent with this record. The following are offered as options consistent with the record above, not as conclusions it proves. Each keeps the duty on a party FDA already regulates.</w:t>
      </w:r>
    </w:p>
    <w:p>
      <w:r>
        <w:rPr>
          <w:color w:val="777777"/>
          <w:sz w:val="16"/>
        </w:rPr>
        <w:t xml:space="preserve">p052 · att1 p.6  </w:t>
      </w:r>
      <w:r>
        <w:t>1. Production on behalf of the obligated party. In the device system, the analog of the insurer is the manufacturer of the finished device. Information about an underlying model could be specified among the requirements the manufacturer places on its supplier; the quality management system regulation already provides that node, since 21 CFR 820.10(a) requires a quality management system that complies with ISO 13485, which includes purchasing requirements in Clause 7.4, which the final rule lists as "Purchasing". Such requirements could cover version identity, a pinned model or endpoint identifier, a changelog, documented refusal and guardrail behavior, and access to an audit log. Where the information is too sensitive to travel with every submission, the supplier could produce it directly to the Agency on the manufacturer's authorization. This is the Colorado § 5.B pattern moved onto a party FDA already holds.</w:t>
      </w:r>
    </w:p>
    <w:p>
      <w:r>
        <w:rPr>
          <w:color w:val="777777"/>
          <w:sz w:val="16"/>
        </w:rPr>
        <w:t xml:space="preserve">p053 · att1 p.6  </w:t>
      </w:r>
      <w:r>
        <w:t>Alabama marks the boundary of this mechanism. The manufacturer's authorization for a supplier to produce information should be a way of demonstrating compliance, not a basis on which the manufacturer's own obligation is treated as satisfied. Written the first way, it follows Colorado. Written the second way, it reproduces Alabama § 1(c)(4).</w:t>
      </w:r>
    </w:p>
    <w:p>
      <w:r>
        <w:rPr>
          <w:color w:val="777777"/>
          <w:sz w:val="16"/>
        </w:rPr>
        <w:t xml:space="preserve">p054 · att1 p.6  </w:t>
      </w:r>
      <w:r>
        <w:t>2. Evaluation of the assembled device. The paper already states that "the final user-facing device, as configured and intended to be deployed for real-world use—and not the foundation model standing alone or other isolated subcomponent—would be evaluated", and Question 22 envisions the manufacturer's premarket competency-based assessment as "a baseline against which post-deployment modifications could be re-evaluated". That baseline is the technical half of Question 24: the instrument against which a developer-initiated change is detected and re-checked. It does not require the model developer to become a device manufacturer.</w:t>
      </w:r>
    </w:p>
    <w:p>
      <w:r>
        <w:rPr>
          <w:color w:val="777777"/>
          <w:sz w:val="16"/>
        </w:rPr>
        <w:t xml:space="preserve">p055 · att1 p.6  </w:t>
      </w:r>
      <w:r>
        <w:t>3. A voluntary Foundation Model Device Master File, on the terms Question 25 drafts. It can reduce duplicative review, but it does not replace the manufacturer's demonstration that the finished device remains safe and effective after a change the manufacturer did not initiate, and the incentive problem the paper identifies remains.</w:t>
      </w:r>
    </w:p>
    <w:p>
      <w:r>
        <w:rPr>
          <w:color w:val="777777"/>
          <w:sz w:val="16"/>
        </w:rPr>
        <w:t xml:space="preserve">p056 · att1 p.6  </w:t>
      </w:r>
      <w:r>
        <w:t>A Predetermined Change Control Plan can describe the manufacturer's detection and re-benchmark protocol for a class of upstream changes. Question 23 itself recognizes the case where "the nature or scope of future modifications cannot be fully prespecified"; a change initiated by a third-party developer is that case. A PCCP can govern the response to such a change; it cannot stand in for mechanisms 1 and 2.</w:t>
      </w:r>
    </w:p>
    <w:p>
      <w:r>
        <w:rPr>
          <w:color w:val="777777"/>
          <w:sz w:val="16"/>
        </w:rPr>
        <w:t xml:space="preserve">p057 · att1 p.6  </w:t>
      </w:r>
      <w:r>
        <w:t>I do not offer a view on what authority CDRH holds for any of these mechanisms; the paper expressly reserves that question.</w:t>
      </w:r>
    </w:p>
    <w:p>
      <w:r>
        <w:rPr>
          <w:color w:val="777777"/>
          <w:sz w:val="16"/>
        </w:rPr>
        <w:t xml:space="preserve">p058 · att1 p.7  </w:t>
      </w:r>
      <w:r>
        <w:t>6. A structural note bearing on monitorability — Maryland's statute, Md. Code Ann., Ins. § 15-10B-05.1, created by Chapter 747 of the 2025 Laws of Maryland and effective October 1, 2025, moves through three registers in a single section: (B) names every bound party — carrier, pharmacy benefits manager, private review agent; (C) replaces the names with a cross-reference — "AN ENTITY SUBJECT TO THIS SECTION SHALL ENSURE THAT…"; and (D) removes the person entirely — "AN ARTIFICIAL INTELLIGENCE, ALGORITHM, OR OTHER SOFTWARE TOOL MAY NOT DENY, DELAY OR MODIFY HEALTH CARE SERVICES".</w:t>
      </w:r>
    </w:p>
    <w:p>
      <w:r>
        <w:rPr>
          <w:color w:val="777777"/>
          <w:sz w:val="16"/>
        </w:rPr>
        <w:t xml:space="preserve">p059 · att1 p.7  </w:t>
      </w:r>
      <w:r>
        <w:t>The subsection that merely delimits scope names everyone, and the most categorical prohibition in the act is the only sentence with no person in it. A duty whose operative sentence names no bearer has no one to monitor and no one to report.</w:t>
      </w:r>
    </w:p>
    <w:p>
      <w:r>
        <w:rPr>
          <w:color w:val="777777"/>
          <w:sz w:val="16"/>
        </w:rPr>
        <w:t xml:space="preserve">p060 · att1 p.7  </w:t>
      </w:r>
      <w:r>
        <w:t>To avoid overstating this: designation quality and enforceability are independent properties. In the instruments I read, the state with the most precise designation is also the one with the discharge clause. These are two axes, not one ladder.</w:t>
      </w:r>
    </w:p>
    <w:p>
      <w:r>
        <w:rPr>
          <w:color w:val="777777"/>
          <w:sz w:val="16"/>
        </w:rPr>
        <w:t xml:space="preserve">p061 · att1 p.7  </w:t>
      </w:r>
      <w:r>
        <w:t>7. A three-question test for any accountability assignment — The state record reduces to three questions that can be asked of any text assigning a postmarket role, including CDRH's own:</w:t>
      </w:r>
    </w:p>
    <w:p>
      <w:r>
        <w:rPr>
          <w:color w:val="777777"/>
          <w:sz w:val="16"/>
        </w:rPr>
        <w:t xml:space="preserve">p062 · att1 p.7  </w:t>
      </w:r>
      <w:r>
        <w:t>1. Is the bearer named in the operative sentence? Maryland's most categorical prohibition names no one (Section 6).</w:t>
      </w:r>
    </w:p>
    <w:p>
      <w:r>
        <w:rPr>
          <w:color w:val="777777"/>
          <w:sz w:val="16"/>
        </w:rPr>
        <w:t xml:space="preserve">p063 · att1 p.7  </w:t>
      </w:r>
      <w:r>
        <w:t>2. Does any satisfaction clause act on proof, or on the duty? Colorado lets vendors supply documents "on behalf of the insurer"; Alabama treats the requirements as "satisfied by an attestation" (Section 3).</w:t>
      </w:r>
    </w:p>
    <w:p>
      <w:r>
        <w:rPr>
          <w:color w:val="777777"/>
          <w:sz w:val="16"/>
        </w:rPr>
        <w:t xml:space="preserve">p064 · att1 p.7  </w:t>
      </w:r>
      <w:r>
        <w:t>3. Is the trigger neutral to the direction of the outcome? In the state instruments read, restrictions attach to one side of the decision; none restricts approval (Section 4).</w:t>
      </w:r>
    </w:p>
    <w:p>
      <w:r>
        <w:rPr>
          <w:color w:val="777777"/>
          <w:sz w:val="16"/>
        </w:rPr>
        <w:t xml:space="preserve">p065 · att1 p.7  </w:t>
      </w:r>
      <w:r>
        <w:t>A role that fails any one of these can be assigned in text and still leave no one answerable in practice. The test is offered for drafting; it does not measure how a regime performs.</w:t>
      </w:r>
    </w:p>
    <w:p>
      <w:r>
        <w:rPr>
          <w:color w:val="777777"/>
          <w:sz w:val="16"/>
        </w:rPr>
        <w:t xml:space="preserve">p066 · att1 p.7  </w:t>
      </w:r>
      <w:r>
        <w:t>8. Limits of this evidence — This is a purposive sample, not a census. No jurisdiction has been exhaustively surveyed, and the instruments are limited to those that expressly address artificial intelligence in health care. Each provision quoted was read in an official source; access dates are on file. A manifest of the provisions quoted, with the SHA-256 hash of each file they were read from, is deposited at Zenodo (https://doi.org/10.5281/zenodo.22959381). Washington's section is served in two versions, the second effective January 1, 2027; the provisions relied on, § 48.43.830(3)(a) and (3)(b), are byteidentical in both. Where an instrument designates a party by function rather than by name, the mapping to an actor category is my reading and is identified as such in the underlying records. The NAIC Model Bulletin and Colorado Regulation 10-1-1 were read in full but are not part of the coded corpus; they, and the CMS guidance, are cited here as documents, not as data points. State insurance law is an analogy to device regulation, not a substitute for it; I offer it because it is a domestic setting where these allocation questions have already been decided in binding text. The mechanisms in Section 5 are proposals by analogy: the record shows how these regimes allocate the duty, not how the mechanisms would perform in device regulation.</w:t>
      </w:r>
    </w:p>
    <w:p>
      <w:r>
        <w:rPr>
          <w:color w:val="777777"/>
          <w:sz w:val="16"/>
        </w:rPr>
        <w:t xml:space="preserve">p067 · att1 p.8  </w:t>
      </w:r>
      <w:r>
        <w:t>What this comment adds to the record is narrow: the verbatim text, checked against official sources, of how domestic regimes have allocated this duty to date, three mechanisms consistent with it, and a test for drafting the roles that carry it. It is offered so that the allocation questions in Questions 24 and 25 can be considered with that text in view.</w:t>
      </w:r>
    </w:p>
    <w:p>
      <w:r>
        <w:rPr>
          <w:color w:val="777777"/>
          <w:sz w:val="16"/>
        </w:rPr>
        <w:t xml:space="preserve">p068 · att1 p.8  </w:t>
      </w:r>
      <w:r>
        <w:t>I am grateful for the opportunity to comment.</w:t>
      </w:r>
    </w:p>
    <w:p>
      <w:r>
        <w:rPr>
          <w:color w:val="777777"/>
          <w:sz w:val="16"/>
        </w:rPr>
        <w:t xml:space="preserve">p069 · att1 p.8  </w:t>
      </w:r>
      <w:r>
        <w:t>Cassiana Souza Meyer, MD Occupational Medicine · CRM 109.930/SP · Brazil ORCID: 0009-0002-6628-5435</w:t>
      </w:r>
    </w:p>
    <w:p>
      <w:r>
        <w:rPr>
          <w:color w:val="777777"/>
          <w:sz w:val="16"/>
        </w:rPr>
        <w:t xml:space="preserve">p070 · att1 p.9  </w:t>
      </w:r>
      <w:r>
        <w:t>Appendix — Provisions quoted, verbatim — Each entry gives the provision, the text as it appears in the official source, and the date the source was accessed. Ellipses mark omissions; bracketed words are mine.</w:t>
      </w:r>
    </w:p>
    <w:p>
      <w:r>
        <w:rPr>
          <w:color w:val="777777"/>
          <w:sz w:val="16"/>
        </w:rPr>
        <w:t xml:space="preserve">p071 · att1 p.9  </w:t>
      </w:r>
      <w:r>
        <w:t>A1. Centers for Medicare &amp; Medicaid Services — HPMS Memo, Frequently Asked Questions related to Coverage Criteria and Utilization Management Requirements in CMS Final Rule (CMS-4201-F), February 6, 2024, Question 2. cms.gov. Accessed 23 September 2026.</w:t>
      </w:r>
    </w:p>
    <w:p>
      <w:r>
        <w:rPr>
          <w:color w:val="777777"/>
          <w:sz w:val="16"/>
        </w:rPr>
        <w:t xml:space="preserve">p072 · att1 p.9  </w:t>
      </w:r>
      <w:r>
        <w:t>"Do the new rules on clinical coverage criteria for basic Medicare benefits mean that MA organizations cannot use algorithms or artificial intelligence to make coverage decisions?" "An algorithm or software tool can be used to assist MA plans in making coverage determinations, but it is the responsibility of the MA organization to ensure that the algorithm or artificial intelligence complies with all applicable rules for how coverage determinations by MA organizations are made".</w:t>
      </w:r>
    </w:p>
    <w:p>
      <w:r>
        <w:rPr>
          <w:color w:val="777777"/>
          <w:sz w:val="16"/>
        </w:rPr>
        <w:t xml:space="preserve">p073 · att1 p.9  </w:t>
      </w:r>
      <w:r>
        <w:t>"Because publicly posted coverage criteria are static and unchanging, artificial intelligence cannot be used to shift the coverage criteria over time".</w:t>
      </w:r>
    </w:p>
    <w:p>
      <w:r>
        <w:rPr>
          <w:color w:val="777777"/>
          <w:sz w:val="16"/>
        </w:rPr>
        <w:t xml:space="preserve">p074 · att1 p.9  </w:t>
      </w:r>
      <w:r>
        <w:t>A2. Texas — Tex. Ins. Code § 4201.156(a). capitol.texas.gov, SB 815, enrolled text (HTML). Accessed 16 September 2026; retained 23 September 2026.</w:t>
      </w:r>
    </w:p>
    <w:p>
      <w:r>
        <w:rPr>
          <w:color w:val="777777"/>
          <w:sz w:val="16"/>
        </w:rPr>
        <w:t xml:space="preserve">p075 · att1 p.9  </w:t>
      </w:r>
      <w:r>
        <w:t>"A utilization review agent may not use an automated decision system to make, wholly or partly, an adverse determination".</w:t>
      </w:r>
    </w:p>
    <w:p>
      <w:r>
        <w:rPr>
          <w:color w:val="777777"/>
          <w:sz w:val="16"/>
        </w:rPr>
        <w:t xml:space="preserve">p076 · att1 p.9  </w:t>
      </w:r>
      <w:r>
        <w:t>A3. Colorado — Colo. Ins. Reg. 10-1-1, 3 CCR 702-10, § 5.A.5. coloradosos.gov/CCR. Accessed 17 September 2026.</w:t>
      </w:r>
    </w:p>
    <w:p>
      <w:r>
        <w:rPr>
          <w:color w:val="777777"/>
          <w:sz w:val="16"/>
        </w:rPr>
        <w:t xml:space="preserve">p077 · att1 p.9  </w:t>
      </w:r>
      <w:r>
        <w:t>"Health benefit plan insurers shall ensure that a provider acting on behalf of the insurer is ultimately responsible for the decisions made when ECDIS, or algorithms or predictive models that use ECDIS, are used to inform decisions to modify, or deny requests by a covered person or a covered person's provider for authorization prior to, or concurrent with, the provision of health care services to a covered person".</w:t>
      </w:r>
    </w:p>
    <w:p>
      <w:r>
        <w:rPr>
          <w:color w:val="777777"/>
          <w:sz w:val="16"/>
        </w:rPr>
        <w:t xml:space="preserve">p078 · att1 p.9  </w:t>
      </w:r>
      <w:r>
        <w:t>A4. Colorado — Colo. Ins. Reg. 10-1-1, § 5.B. Same source.</w:t>
      </w:r>
    </w:p>
    <w:p>
      <w:r>
        <w:rPr>
          <w:color w:val="777777"/>
          <w:sz w:val="16"/>
        </w:rPr>
        <w:t xml:space="preserve">p079 · att1 p.9  </w:t>
      </w:r>
      <w:r>
        <w:t>"If an insurer uses third-party vendors … the insurer remains responsible for ensuring all requirements in Section 5.A. are met … The insurer must establish and document a process for the selection and oversight of all external resources and third-party vendors … Insurers may satisfy requests … by third-party vendors providing the requested documents or information directly to the Division on behalf of the insurer"</w:t>
      </w:r>
    </w:p>
    <w:p>
      <w:r>
        <w:rPr>
          <w:color w:val="777777"/>
          <w:sz w:val="16"/>
        </w:rPr>
        <w:t xml:space="preserve">p080 · att1 p.9  </w:t>
      </w:r>
      <w:r>
        <w:t>A5. Colorado — Colo. Ins. Reg. 10-1-1, § 5.A.13. Same source.</w:t>
      </w:r>
    </w:p>
    <w:p>
      <w:r>
        <w:rPr>
          <w:color w:val="777777"/>
          <w:sz w:val="16"/>
        </w:rPr>
        <w:t xml:space="preserve">p081 · att1 p.10  </w:t>
      </w:r>
      <w:r>
        <w:t>"13. Documented description of the process used for selecting external resources including third-party vendors that supply ECDIS, algorithms, and/or predictive models that use ECDIS including the intended use of the ECDIS, algorithm(s), and/or predictive model(s)".</w:t>
      </w:r>
    </w:p>
    <w:p>
      <w:r>
        <w:rPr>
          <w:color w:val="777777"/>
          <w:sz w:val="16"/>
        </w:rPr>
        <w:t xml:space="preserve">p082 · att1 p.10  </w:t>
      </w:r>
      <w:r>
        <w:t>A6. Alabama — Ala. Act 2026-589 (SB 63), § 1(b)(3) and § 1(c)(4).</w:t>
      </w:r>
    </w:p>
    <w:p>
      <w:r>
        <w:rPr>
          <w:color w:val="777777"/>
          <w:sz w:val="16"/>
        </w:rPr>
        <w:t xml:space="preserve">p083 · att1 p.10  </w:t>
      </w:r>
      <w:r>
        <w:t>alison.legislature.state.al.us, enrolled text. Accessed 17 September 2026. Act number and approval (April 16, 2026) confirmed against the Secretary of State's act image, accessed 23 September 2026.</w:t>
      </w:r>
    </w:p>
    <w:p>
      <w:r>
        <w:rPr>
          <w:color w:val="777777"/>
          <w:sz w:val="16"/>
        </w:rPr>
        <w:t xml:space="preserve">p084 · att1 p.10  </w:t>
      </w:r>
      <w:r>
        <w:t>§ 1(b)(3): "a determination to deny, delay, or modify … shall always be made by a licensed physician or other health care professional who is competent to evaluate any recommendation or conclusion of artificial intelligence…"</w:t>
      </w:r>
    </w:p>
    <w:p>
      <w:r>
        <w:rPr>
          <w:color w:val="777777"/>
          <w:sz w:val="16"/>
        </w:rPr>
        <w:t xml:space="preserve">p085 · att1 p.10  </w:t>
      </w:r>
      <w:r>
        <w:t>§ 1(c)(4): "The requirements under subsection (b) and this subsection shall be satisfied by an attestation by an authorized representative of the health benefit plan provider based on reasonable reliance upon internal policies, procedures, and third-party vendors".</w:t>
      </w:r>
    </w:p>
    <w:p>
      <w:r>
        <w:rPr>
          <w:color w:val="777777"/>
          <w:sz w:val="16"/>
        </w:rPr>
        <w:t xml:space="preserve">p086 · att1 p.10  </w:t>
      </w:r>
      <w:r>
        <w:t>A7. Maryland — Md. Code Ann., Ins. § 15-10B-05.1(C) and (D). mgaleg.maryland.gov, Chapter 747 of 2025. Accessed 17 September 2026.</w:t>
      </w:r>
    </w:p>
    <w:p>
      <w:r>
        <w:rPr>
          <w:color w:val="777777"/>
          <w:sz w:val="16"/>
        </w:rPr>
        <w:t xml:space="preserve">p087 · att1 p.10  </w:t>
      </w:r>
      <w:r>
        <w:t>(C): "AN ENTITY SUBJECT TO THIS SECTION SHALL ENSURE THAT…" (D): "AN ARTIFICIAL INTELLIGENCE, ALGORITHM, OR OTHER SOFTWARE TOOL MAY NOT DENY, DELAY OR MODIFY HEALTH CARE SERVICES".</w:t>
      </w:r>
    </w:p>
    <w:p>
      <w:r>
        <w:rPr>
          <w:color w:val="777777"/>
          <w:sz w:val="16"/>
        </w:rPr>
        <w:t xml:space="preserve">p088 · att1 p.10  </w:t>
      </w:r>
      <w:r>
        <w:t>A8. Indiana — Ind. Code § 27-1-52-9(a) and (b); § 27-1-52-6(4). House Enrolled Act 1271 (2026), Public Law 88. iga.in.gov. Accessed 23 September 2026.</w:t>
      </w:r>
    </w:p>
    <w:p>
      <w:r>
        <w:rPr>
          <w:color w:val="777777"/>
          <w:sz w:val="16"/>
        </w:rPr>
        <w:t xml:space="preserve">p089 · att1 p.10  </w:t>
      </w:r>
      <w:r>
        <w:t>§ 9(a): "An insurer may not use an automated: (1) process; (2) system; or (3) tool, including artificial intelligence; as the sole basis to downcode a claim based on medical necessity without the review of the covered individual's medical record by an employee or contractor of the insurer".</w:t>
      </w:r>
    </w:p>
    <w:p>
      <w:r>
        <w:rPr>
          <w:color w:val="777777"/>
          <w:sz w:val="16"/>
        </w:rPr>
        <w:t xml:space="preserve">p090 · att1 p.10  </w:t>
      </w:r>
      <w:r>
        <w:t>§ 9(b): "A provider may not use an automated: (1) process; (2) system; or (3) tool, including artificial intelligence; to submit a health benefits claim without the review of a provider or other person involved in the development of the claim for submission".</w:t>
      </w:r>
    </w:p>
    <w:p>
      <w:r>
        <w:rPr>
          <w:color w:val="777777"/>
          <w:sz w:val="16"/>
        </w:rPr>
        <w:t xml:space="preserve">p091 · att1 p.10  </w:t>
      </w:r>
      <w:r>
        <w:t>§ 6(4), defining "insurer": "A third party contractor of an entity described in subdivision (1), (2), or (3)".</w:t>
      </w:r>
    </w:p>
    <w:p>
      <w:r>
        <w:rPr>
          <w:color w:val="777777"/>
          <w:sz w:val="16"/>
        </w:rPr>
        <w:t xml:space="preserve">p092 · att1 p.10  </w:t>
      </w:r>
      <w:r>
        <w:t>A9. California — Cal. Health &amp; Safety Code § 1367.01(k)(1), as amended by Stats. 2024, Ch. 879, Sec. 1 (SB 1120), effective January 1, 2025. leginfo.legislature.ca.gov. Accessed 17 September 2026.</w:t>
      </w:r>
    </w:p>
    <w:p>
      <w:r>
        <w:rPr>
          <w:color w:val="777777"/>
          <w:sz w:val="16"/>
        </w:rPr>
        <w:t xml:space="preserve">p093 · att1 p.11  </w:t>
      </w:r>
      <w:r>
        <w:t>"(k) (1) A health care service plan, including a specialized health care service plan that uses an artificial intelligence, algorithm, or other software tool for the purpose of utilization review or utilization management functions, based in whole or in part on medical necessity, or that contracts with or otherwise works through an entity that uses an artificial intelligence, algorithm, or other software tool for the purpose of utilization review or utilization management functions, based in whole or in part on medical necessity, shall comply with this section and shall ensure all of the following:"</w:t>
      </w:r>
    </w:p>
    <w:p>
      <w:r>
        <w:rPr>
          <w:color w:val="777777"/>
          <w:sz w:val="16"/>
        </w:rPr>
        <w:t xml:space="preserve">p094 · att1 p.11  </w:t>
      </w:r>
      <w:r>
        <w:t>A10. Washington — Wash. Rev. Code § 48.43.830(3)(a) and (3)(b). app.leg.wa.gov. Accessed 16 September 2026; rechecked 18 September 2026. The official page serves two versions, the second effective January 1, 2027; subsections (3)(a) and (3)(b) are byte-identical in both.</w:t>
      </w:r>
    </w:p>
    <w:p>
      <w:r>
        <w:rPr>
          <w:color w:val="777777"/>
          <w:sz w:val="16"/>
        </w:rPr>
        <w:t xml:space="preserve">p095 · att1 p.11  </w:t>
      </w:r>
      <w:r>
        <w:t>(3)(a): "Only a licensed physician or a licensed health professional working within their scope of practice may deny a prior authorization request based on medical necessity. The licensed physician or licensed health professional shall evaluate the specific clinical issues involved in the health care services requested by the requesting provider by reviewing and considering the requesting provider's recommendation, the enrollee's medical or other clinical history, as applicable, and individual clinical circumstances. Artificial intelligence shall not be the sole means used to deny, delay, or modify health care services. Algorithms may be used to process and approve prior authorization requests, but may not be used without human review to deny care based on a determination of medical necessity".</w:t>
      </w:r>
    </w:p>
    <w:p>
      <w:r>
        <w:rPr>
          <w:color w:val="777777"/>
          <w:sz w:val="16"/>
        </w:rPr>
        <w:t xml:space="preserve">p096 · att1 p.11  </w:t>
      </w:r>
      <w:r>
        <w:t>(3)(b): "A carrier that uses artificial intelligence for the purpose of prior authorization or prior authorization functions, based in whole or in part on medical necessity, or that contracts with or otherwise works through an entity that uses artificial intelligence for the purpose of prior authorization or prior authorization functions, based in whole or in part on medical necessity, shall ensure all of the following: … (vi) The policies and procedures for using artificial intelligence are open to audit by the office of the insurance commissioner under chapter 48.37 RCW; …"</w:t>
      </w:r>
    </w:p>
    <w:p>
      <w:r>
        <w:rPr>
          <w:color w:val="777777"/>
          <w:sz w:val="16"/>
        </w:rPr>
        <w:t xml:space="preserve">p097 · att1 p.11  </w:t>
      </w:r>
      <w:r>
        <w:t>A11. NAIC — Model Bulletin: Use of Artificial Intelligence Systems by Insurers (adopted December 4, 2023), Sections 3 and 4. content.naic.org. Accessed 17 September 2026.</w:t>
      </w:r>
    </w:p>
    <w:p>
      <w:r>
        <w:rPr>
          <w:color w:val="777777"/>
          <w:sz w:val="16"/>
        </w:rPr>
        <w:t xml:space="preserve">p098 · att1 p.11  </w:t>
      </w:r>
      <w:r>
        <w:t>"Where appropriate and available" "may demonstrate their compliance … through alternative means" "will meet the legal standards imposed on the Insurer itself"</w:t>
      </w:r>
    </w:p>
    <w:p>
      <w:r>
        <w:rPr>
          <w:color w:val="777777"/>
          <w:sz w:val="16"/>
        </w:rPr>
        <w:t xml:space="preserve">p099 · att1 p.11  </w:t>
      </w:r>
      <w:r>
        <w:t>A12. FDA — 21 CFR 820.10(a), Quality Management System Regulation (effective February 2, 2026). ecfr.gov. Accessed 23 September 2026.</w:t>
      </w:r>
    </w:p>
    <w:p>
      <w:r>
        <w:rPr>
          <w:color w:val="777777"/>
          <w:sz w:val="16"/>
        </w:rPr>
        <w:t xml:space="preserve">p100 · att1 p.11  </w:t>
      </w:r>
      <w:r>
        <w:t>"Document a quality management system that complies with the applicable requirements of ISO 13485 (incorporated by reference, see § 820.7) and other applicable requirements of this part"</w:t>
      </w:r>
    </w:p>
    <w:p>
      <w:r>
        <w:rPr>
          <w:color w:val="777777"/>
          <w:sz w:val="16"/>
        </w:rPr>
        <w:t xml:space="preserve">p101 · att1 p.12  </w:t>
      </w:r>
      <w:r>
        <w:t>Final rule, Medical Devices; Quality System Regulation Amendments, 89 Fed. Reg. 7496 (February 2, 2024). govinfo.gov. Accessed 23 September 2026.</w:t>
      </w:r>
    </w:p>
    <w:p>
      <w:r>
        <w:rPr>
          <w:color w:val="777777"/>
          <w:sz w:val="16"/>
        </w:rPr>
        <w:t xml:space="preserve">p102 · att1 p.12  </w:t>
      </w:r>
      <w:r>
        <w:t>"(iii) Purchasing. Clause 7.4. and its subclauses of ISO 13485;"</w:t>
      </w:r>
    </w:p>
    <w:p>
      <w:pPr>
        <w:pStyle w:val="Heading1"/>
        <w:pageBreakBefore/>
      </w:pPr>
      <w:r>
        <w:t>FDA-2026-N-7874-0120</w:t>
      </w:r>
    </w:p>
    <w:p>
      <w:r>
        <w:t>Comment from Total Medical Imaging, LLC and RADIN, LLC</w:t>
      </w:r>
    </w:p>
    <w:p>
      <w:r>
        <w:rPr>
          <w:color w:val="777777"/>
          <w:sz w:val="18"/>
        </w:rPr>
        <w:t>Health Professional - A0007 · received 2026-09-25 · attachments: attachment_1.pdf (30 pp)</w:t>
      </w:r>
    </w:p>
    <w:p>
      <w:r>
        <w:rPr>
          <w:color w:val="777777"/>
          <w:sz w:val="16"/>
        </w:rPr>
        <w:t xml:space="preserve">p001 · body  </w:t>
      </w:r>
      <w:r>
        <w:t>Total Medical Imaging, LLC and RADIN, LLC jointly submit the attached comment on Docket No. FDA-2026-N-7874. Please see the attached comment for the commenters’ complete analysis.</w:t>
      </w:r>
    </w:p>
    <w:p>
      <w:r>
        <w:rPr>
          <w:color w:val="777777"/>
          <w:sz w:val="16"/>
        </w:rPr>
        <w:t xml:space="preserve">p002 · att1 p.1  </w:t>
      </w:r>
      <w:r>
        <w:t>FOOD AND DRUG ADMINISTRATION — Docket No. FDA-2026-N-7874 — Considerations for the Regulation of Generative AI-Enabled Medical Devices: Discussion Paper and Request for Feedback</w:t>
      </w:r>
    </w:p>
    <w:p>
      <w:r>
        <w:rPr>
          <w:color w:val="777777"/>
          <w:sz w:val="16"/>
        </w:rPr>
        <w:t xml:space="preserve">p003 · att1 p.1  </w:t>
      </w:r>
      <w:r>
        <w:t>Joint Comment Regarding Risk-Proportionate Regulation of Radiologist-Supervised Vision-Language Model — Report Pre-Drafting — Submitted jointly by Total Medical Imaging, LLC and RADIN, LLC</w:t>
      </w:r>
    </w:p>
    <w:p>
      <w:r>
        <w:rPr>
          <w:color w:val="777777"/>
          <w:sz w:val="16"/>
        </w:rPr>
        <w:t xml:space="preserve">p004 · att1 p.1  </w:t>
      </w:r>
      <w:r>
        <w:t>Submitted by Total Medical Imaging, LLC and RADIN, LLC — Representative Alejandro Bugnone, M.D.</w:t>
      </w:r>
    </w:p>
    <w:p>
      <w:r>
        <w:rPr>
          <w:color w:val="777777"/>
          <w:sz w:val="16"/>
        </w:rPr>
        <w:t xml:space="preserve">p005 · att1 p.1  </w:t>
      </w:r>
      <w:r>
        <w:t>Roles — Chief Executive Officer, Total Medical Imaging, LLC; Chief Executive Officer, RADIN, LLC; Practicing Radiologist</w:t>
      </w:r>
    </w:p>
    <w:p>
      <w:r>
        <w:rPr>
          <w:color w:val="777777"/>
          <w:sz w:val="16"/>
        </w:rPr>
        <w:t xml:space="preserve">p006 · att1 p.1  </w:t>
      </w:r>
      <w:r>
        <w:t>Submission date September 25, 2026 — Submission method Electronic submission to the applicable FDA docket</w:t>
      </w:r>
    </w:p>
    <w:p>
      <w:r>
        <w:rPr>
          <w:color w:val="777777"/>
          <w:sz w:val="16"/>
        </w:rPr>
        <w:t xml:space="preserve">p007 · att1 p.1  </w:t>
      </w:r>
      <w:r>
        <w:t>Joint clinical-practice and technology-developer perspective — I. Executive Summary — Total Medical Imaging, LLC ("TMI") and RADIN, LLC ("RADIN") respectfully submit this joint comment in response to the Food and Drug Administration ("FDA" or "Agency") discussion paper concerning generative artificial intelligence ("GenAI")-enabled medical devices. The discussion paper appropriately seeks a risk-proportionate, least-burdensome framework and identifies supervision, reversibility, downstream safeguards, specialist expertise, traceability to primary source information, human-AI team performance, and postmarket monitoring as potentially important regulatory considerations.1</w:t>
      </w:r>
    </w:p>
    <w:p>
      <w:r>
        <w:rPr>
          <w:color w:val="777777"/>
          <w:sz w:val="16"/>
        </w:rPr>
        <w:t xml:space="preserve">p008 · att1 p.2  </w:t>
      </w:r>
      <w:r>
        <w:t>TMI and RADIN support appropriate FDA oversight when an artificial intelligence system autonomously diagnoses a patient, communicates an unverified diagnostic conclusion to a clinician or patient, initiates or directs clinical action, or otherwise places an AI-generated interpretation into the patient-care pathway before meaningful specialist review.</w:t>
      </w:r>
    </w:p>
    <w:p>
      <w:r>
        <w:rPr>
          <w:color w:val="777777"/>
          <w:sz w:val="16"/>
        </w:rPr>
        <w:t xml:space="preserve">p009 · att1 p.2  </w:t>
      </w:r>
      <w:r>
        <w:t>The Agency should distinguish those uses from a materially different and substantially lower-risk function: a vision-language model ("VLM") that generates only private, non-final textual work product for the specialist radiologist who is independently interpreting the underlying medical images. In that workflow, the radiologist has the complete primary source material, possesses the relevant specialty expertise, may edit or reject every part of the generated text, and exclusively controls whether a report is issued. No unverified AI output is available to a clinician, patient, or other downstream decision-maker.</w:t>
      </w:r>
    </w:p>
    <w:p>
      <w:r>
        <w:rPr>
          <w:color w:val="777777"/>
          <w:sz w:val="16"/>
        </w:rPr>
        <w:t xml:space="preserve">p010 · att1 p.2  </w:t>
      </w:r>
      <w:r>
        <w:t>1 U.S. Food &amp; Drug Admin., Considerations for the Regulation of Generative AI-Enabled Medical Devices: Discussion Paper and Request for Feedback 1, 5-9, 18-21 (Aug. 18, 2026), https://www.fda.gov/media/194242/download [hereinafter FDA GenAI Discussion Paper]. The paper is for discussion only and does not state draft or final FDA policy.</w:t>
      </w:r>
    </w:p>
    <w:p>
      <w:r>
        <w:rPr>
          <w:color w:val="777777"/>
          <w:sz w:val="16"/>
        </w:rPr>
        <w:t xml:space="preserve">p011 · att1 p.3  </w:t>
      </w:r>
      <w:r>
        <w:t>Because section 520(o)(1)(E) of the Federal Food, Drug, and Cosmetic Act ("FD&amp;C Act") generally does not exclude software that analyzes medical images from the device definition, TMI and RADIN do not ask FDA to declare every supervised VLM pre-drafting function categorically outside Agency jurisdiction.2 Instead, we request that FDA establish a narrowly bounded policy of premarket enforcement discretion for a defined category of Radiologist-Supervised Generative Pre-Drafting ("RSG-PD") functions. Section 520(o)(4)(A) expressly preserves FDA authority to exercise enforcement discretion with respect to device software functions.3 FDA has used function-specific enforcement-discretion policies where a software function meets the device definition but presents lower patient risk.4</w:t>
      </w:r>
    </w:p>
    <w:p>
      <w:r>
        <w:rPr>
          <w:color w:val="777777"/>
          <w:sz w:val="16"/>
        </w:rPr>
        <w:t xml:space="preserve">p012 · att1 p.3  </w:t>
      </w:r>
      <w:r>
        <w:t>Requested policy in one sentence — FDA should exercise enforcement discretion with respect to premarket authorization requirements for a generative artificial intelligence software function that analyzes medical images solely to generate private, non-final report work product for review by the qualified specialist physician independently interpreting those images, when enforceable technical controls, supported by procedural controls, prevent the output from being finalized, communicated, acted upon, or otherwise entering the patient-care pathway before affirmative specialist review.</w:t>
      </w:r>
    </w:p>
    <w:p>
      <w:r>
        <w:rPr>
          <w:color w:val="777777"/>
          <w:sz w:val="16"/>
        </w:rPr>
        <w:t xml:space="preserve">p013 · att1 p.3  </w:t>
      </w:r>
      <w:r>
        <w:t>The corresponding higher-risk pathway should remain subject to appropriate premarket oversight: VLM output that is communicated to a treating clinician or patient, represented as a preliminary or final interpretation, used to direct care, or otherwise relied upon before specialist radiologist verification.</w:t>
      </w:r>
    </w:p>
    <w:p>
      <w:r>
        <w:rPr>
          <w:color w:val="777777"/>
          <w:sz w:val="16"/>
        </w:rPr>
        <w:t xml:space="preserve">p014 · att1 p.3  </w:t>
      </w:r>
      <w:r>
        <w:t>This distinction does not ignore automation bias, hallucination, drift, subgroup performance, cybersecurity, or other legitimate risks. It addresses those risks through human-factors evaluation, local validation, sequestration of unverified output, ongoing monitoring, auditability, and controlled version management. The relevant performance unit should be the final human-AI system in its intended workflow, not an isolated foundation model tested as though it were intended to operate autonomously. Evaluation of that human-AI system should measure both directions of effect: errors that assistance introduces and errors that a radiologist, prompted by a structured pre-draft, detects and corrects that might otherwise have been omitted.</w:t>
      </w:r>
    </w:p>
    <w:p>
      <w:r>
        <w:rPr>
          <w:color w:val="777777"/>
          <w:sz w:val="16"/>
        </w:rPr>
        <w:t xml:space="preserve">p015 · att1 p.3  </w:t>
      </w:r>
      <w:r>
        <w:t>FDA's two-axis framework should expressly name four auditable modifiers: output disposition, clinical persistence and reversibility, independent verifiability against primary source information, and whether specialist review is architecturally required or merely expected. These variables determine whether an erroneous output can independently reach a downstream decision-maker. The competency-based framework should likewise recognize supervised operation as a distinct evidentiary stage between non-clinical testing and independent or care-team-facing use.</w:t>
      </w:r>
    </w:p>
    <w:p>
      <w:r>
        <w:rPr>
          <w:color w:val="777777"/>
          <w:sz w:val="16"/>
        </w:rPr>
        <w:t xml:space="preserve">p016 · att1 p.3  </w:t>
      </w:r>
      <w:r>
        <w:t>II. Statement of Interest and Transparency — TMI is a Florida-based radiology practice whose more than 60 board-certified radiologists provide diagnostic interpretation nationwide across hospital, emergency department, and outpatient imaging settings, at an annual volume on the order of one million examinations. RADIN develops and commercially distributes a radiology operating platform providing image management, radiology information system functions, dictation and reporting, worklist orchestration, credentialing-aware study assignment, non-diagnostic workflow</w:t>
      </w:r>
    </w:p>
    <w:p>
      <w:r>
        <w:rPr>
          <w:color w:val="777777"/>
          <w:sz w:val="16"/>
        </w:rPr>
        <w:t xml:space="preserve">p017 · att1 p.3  </w:t>
      </w:r>
      <w:r>
        <w:t>2 Federal Food, Drug, and Cosmetic Act section 520(o)(1)(E), 21 U.S.C. section 360j(o)(1)(E); U.S. Food &amp; Drug Admin., Clinical Decision Support Software: Guidance for Industry and Food and Drug Administration Staff 5-7, 21-22 (Jan. 29, 2026), https://www.fda.gov/media/109618/download [hereinafter FDA CDS Guidance]. 3 FD&amp;C Act section 520(o)(4)(A), 21 U.S.C. section 360j(o)(4)(A) (preserving FDA authority to exercise enforcement discretion as to a device software function). 4 U.S. Food &amp; Drug Admin., Policy for Device Software Functions and Mobile Medical Applications 2, 13-14, 24-25 (Sept. 2022), https://www.fda.gov/media/80958/download; FDA CDS Guidance, supra note 2, at 5.</w:t>
      </w:r>
    </w:p>
    <w:p>
      <w:r>
        <w:rPr>
          <w:color w:val="777777"/>
          <w:sz w:val="16"/>
        </w:rPr>
        <w:t xml:space="preserve">p018 · att1 p.4  </w:t>
      </w:r>
      <w:r>
        <w:t>automation, quality-assurance tooling, and follow-up tracking. The organizations are affiliated under common executive leadership.</w:t>
      </w:r>
    </w:p>
    <w:p>
      <w:r>
        <w:rPr>
          <w:color w:val="777777"/>
          <w:sz w:val="16"/>
        </w:rPr>
        <w:t xml:space="preserve">p019 · att1 p.4  </w:t>
      </w:r>
      <w:r>
        <w:t>Alejandro Bugnone, M.D., is a board-certified practicing radiologist and serves as chief executive of both organizations.</w:t>
      </w:r>
    </w:p>
    <w:p>
      <w:r>
        <w:rPr>
          <w:color w:val="777777"/>
          <w:sz w:val="16"/>
        </w:rPr>
        <w:t xml:space="preserve">p020 · att1 p.4  </w:t>
      </w:r>
      <w:r>
        <w:t>RADIN has begun research and development involving VLMs and fine-tuning using TMI data under applicable privacy, contractual, security, and data-governance controls. No VLM-based image-to-report predrafting function arising from that work is currently deployed in clinical practice, and the commenters make no representation that any particular model is ready for clinical use.</w:t>
      </w:r>
    </w:p>
    <w:p>
      <w:r>
        <w:rPr>
          <w:color w:val="777777"/>
          <w:sz w:val="16"/>
        </w:rPr>
        <w:t xml:space="preserve">p021 · att1 p.4  </w:t>
      </w:r>
      <w:r>
        <w:t>The commenters have a direct prospective commercial and operational interest in the regulatory framework. We disclose that interest expressly. Our position is not that a VLM becomes safe merely because a physician appears somewhere in the workflow. Rather, regulation should be proportionate to the actual intended use, actual user, primary clinical source material, actual route by which an error could affect a patient, and actual safeguards in the final configured deployment.</w:t>
      </w:r>
    </w:p>
    <w:p>
      <w:r>
        <w:rPr>
          <w:color w:val="777777"/>
          <w:sz w:val="16"/>
        </w:rPr>
        <w:t xml:space="preserve">p022 · att1 p.4  </w:t>
      </w:r>
      <w:r>
        <w:t>TMI and RADIN have separately submitted a comment in Docket No. FDA-2026-P-9175 opposing in part the Mosaic Clinical Technologies citizen petition. This comment addresses the affirmative framework questions presented in Docket No. FDA-2026-N-7874.</w:t>
      </w:r>
    </w:p>
    <w:p>
      <w:r>
        <w:rPr>
          <w:color w:val="777777"/>
          <w:sz w:val="16"/>
        </w:rPr>
        <w:t xml:space="preserve">p023 · att1 p.4  </w:t>
      </w:r>
      <w:r>
        <w:t>III. Terminology: A Private Pre-Draft Is Not a Preliminary Clinical Report — For purposes of this comment, an RSG-PD function is a software function that analyzes medical images solely to generate private, non-final textual work product for use by the same qualified radiologist who independently interprets the source images and has exclusive authority to issue the clinical report. FDA should define this category by auditable deployment conditions rather than by model architecture or the amount of downstream adaptation. Each condition should be verifiable from system configuration, access controls, and audit logs.</w:t>
      </w:r>
    </w:p>
    <w:p>
      <w:r>
        <w:rPr>
          <w:color w:val="777777"/>
          <w:sz w:val="16"/>
        </w:rPr>
        <w:t xml:space="preserve">p024 · att1 p.4  </w:t>
      </w:r>
      <w:r>
        <w:t>A qualifying pre-draft: • is available only within the interpreting radiologist's controlled workspace; • is conspicuously identified as AI-generated, unverified work product; • does not become part of the final medical record unless and until the radiologist affirmatively issues a report; • is not accessible to a referring clinician, patient, or other downstream decision-maker; • cannot be automatically signed, finalized, communicated, or relied upon; • cannot independently trigger treatment, triage, critical-result communication, order entry, patient disposition, or any other clinical action; and • may be edited, deleted, completely rejected, or replaced by a report dictated from a blank state. A preliminary report is different. If an AI-generated interpretation is transmitted or made available to an emergency physician, referring clinician, patient, or other user who may rely upon it before specialist verification, it is a clinical communication regardless of whether the interface labels it "draft," "preliminary," "suggested," or "informational." Regulatory analysis should follow actual access, reliance, and workflow, not nomenclature.</w:t>
      </w:r>
    </w:p>
    <w:p>
      <w:r>
        <w:rPr>
          <w:color w:val="777777"/>
          <w:sz w:val="16"/>
        </w:rPr>
        <w:t xml:space="preserve">p025 · att1 p.4  </w:t>
      </w:r>
      <w:r>
        <w:t>IV. Legal and Policy Basis for a Risk-Proportionate Enforcement-Discretion Category — A. Image-analysis functions may remain device functions</w:t>
      </w:r>
    </w:p>
    <w:p>
      <w:r>
        <w:rPr>
          <w:color w:val="777777"/>
          <w:sz w:val="16"/>
        </w:rPr>
        <w:t xml:space="preserve">p026 · att1 p.4  </w:t>
      </w:r>
      <w:r>
        <w:t>Section 520(o)(1)(E) of the FD&amp;C Act excludes certain clinical decision support functions from the statutory device definition only when four criteria are satisfied. One criterion requires that the function not be intended to acquire, process, or analyze a medical image, an in vitro diagnostic signal, or a pattern or signal from a signal-acquisition system. FDA's January 2026 Clinical Decision Support Software guidance follows that statutory structure and treats image-analysis functions as device software functions even when their output is presented to a healthcare professional.5</w:t>
      </w:r>
    </w:p>
    <w:p>
      <w:r>
        <w:rPr>
          <w:color w:val="777777"/>
          <w:sz w:val="16"/>
        </w:rPr>
        <w:t xml:space="preserve">p027 · att1 p.5  </w:t>
      </w:r>
      <w:r>
        <w:t>The narrow and legally sustainable request is therefore not a blanket non-device declaration. It is a policy of premarket enforcement discretion for a low-risk final function whose unverified output is prevented from entering the patient-care pathway before meaningful specialist verification.</w:t>
      </w:r>
    </w:p>
    <w:p>
      <w:r>
        <w:rPr>
          <w:color w:val="777777"/>
          <w:sz w:val="16"/>
        </w:rPr>
        <w:t xml:space="preserve">p028 · att1 p.5  </w:t>
      </w:r>
      <w:r>
        <w:t>Existing FDA classifications recognize physician-assistive image-analysis functions and may require both standalone characterization and assisted-reader performance evidence. This comment does not assume that current oversight uniformly treats supervised software as autonomous. It asks FDA to consider whether the additional containment, supervision, validation, and monitoring conditions proposed here warrant a distinct enforcement-discretion policy or streamlined pathway.6</w:t>
      </w:r>
    </w:p>
    <w:p>
      <w:r>
        <w:rPr>
          <w:color w:val="777777"/>
          <w:sz w:val="16"/>
        </w:rPr>
        <w:t xml:space="preserve">p029 · att1 p.5  </w:t>
      </w:r>
      <w:r>
        <w:t>B. FDA retains enforcement-discretion authority — Congress expressly preserved FDA's authority to exercise enforcement discretion with respect to device software functions.7 FDA has repeatedly used this authority in its digital-health policies where a function’s intended use, deployment safeguards, and risk to patients do not warrant active enforcement of premarket authorization requirements.8 Accordingly, FDA need not determine that radiologist-supervised VLM predrafting is categorically outside the device definition in order to establish a narrowly defined enforcementdiscretion policy for this lower-risk workflow.</w:t>
      </w:r>
    </w:p>
    <w:p>
      <w:r>
        <w:rPr>
          <w:color w:val="777777"/>
          <w:sz w:val="16"/>
        </w:rPr>
        <w:t xml:space="preserve">p030 · att1 p.5  </w:t>
      </w:r>
      <w:r>
        <w:t>A narrowly defined RSG-PD category would retain FDA jurisdiction, allow the Agency to specify limiting conditions, and preserve enforcement authority where a sponsor markets beyond those conditions or where evidence shows unacceptable risk. It would avoid the false choice between declaring all image-analyzing VLMs unregulated and imposing an autonomous-diagnostic evidentiary burden on every private specialist drafting aid.</w:t>
      </w:r>
    </w:p>
    <w:p>
      <w:r>
        <w:rPr>
          <w:color w:val="777777"/>
          <w:sz w:val="16"/>
        </w:rPr>
        <w:t xml:space="preserve">p031 · att1 p.5  </w:t>
      </w:r>
      <w:r>
        <w:t>C. The Practice-of-Medicine Provision Supports Physician Discretion but Does Not Independently Resolve the Regulatory Status of the Commercial Software Function</w:t>
      </w:r>
    </w:p>
    <w:p>
      <w:r>
        <w:rPr>
          <w:color w:val="777777"/>
          <w:sz w:val="16"/>
        </w:rPr>
        <w:t xml:space="preserve">p032 · att1 p.5  </w:t>
      </w:r>
      <w:r>
        <w:t>Section 1006 of the FD&amp;C Act protects a healthcare practitioner’s authority to prescribe or administer a legally marketed device to a patient within a legitimate practitioner-patient relationship. It does not, standing alone, authorize a manufacturer to commercially distribute a device that otherwise requires FDA authorization. TMI and RADIN therefore do not contend that radiologist supervision categorically removes a commercially distributed VLM function from FDA jurisdiction. The practice-of-medicine provision remains relevant, however, because it reflects Congress’s intent to preserve qualified physicians’ authority to exercise independent clinical judgment in caring for their patients. In the proposed pre-drafting workflow, the radiologist independently interprets the source images, determines whether the AI-generated text is accurate, may reject it entirely, and assumes responsibility for the final report. These features support riskproportionate treatment of the function, but the principal relief requested here is a narrowly defined policy of premarket enforcement discretion—not a categorical exemption based solely on the practice of medicine.9</w:t>
      </w:r>
    </w:p>
    <w:p>
      <w:r>
        <w:rPr>
          <w:color w:val="777777"/>
          <w:sz w:val="16"/>
        </w:rPr>
        <w:t xml:space="preserve">p033 · att1 p.5  </w:t>
      </w:r>
      <w:r>
        <w:t>The more persuasive basis for a limited policy is the final function's low-risk architecture: source images remain available; the intended user is the responsible specialist; the unverified output is technically sequestered; the radiologist controls finalization; any text error is reversible before downstream reliance; and the system is subject to validation, monitoring, and controlled change management.</w:t>
      </w:r>
    </w:p>
    <w:p>
      <w:r>
        <w:rPr>
          <w:color w:val="777777"/>
          <w:sz w:val="16"/>
        </w:rPr>
        <w:t xml:space="preserve">p034 · att1 p.5  </w:t>
      </w:r>
      <w:r>
        <w:t>5 FDA CDS Guidance, supra note 2, at 5-7, 21-22. 6 21 C.F.R. § 892.2090(a), (b)(1)(ii)-(iv).</w:t>
      </w:r>
    </w:p>
    <w:p>
      <w:r>
        <w:rPr>
          <w:color w:val="777777"/>
          <w:sz w:val="16"/>
        </w:rPr>
        <w:t xml:space="preserve">p035 · att1 p.5  </w:t>
      </w:r>
      <w:r>
        <w:t>7 FD&amp;C Act section 520(o)(4)(A), 21 U.S.C. section 360j(o)(4)(A). 8 U.S. Food &amp; Drug Admin., Policy for Device Software Functions and Mobile Medical Applications, supra note 4, at 2, 13-14, 24-25. 9 FD&amp;C Act section 1006, 21 U.S.C. section 396.</w:t>
      </w:r>
    </w:p>
    <w:p>
      <w:r>
        <w:rPr>
          <w:color w:val="777777"/>
          <w:sz w:val="16"/>
        </w:rPr>
        <w:t xml:space="preserve">p036 · att1 p.6  </w:t>
      </w:r>
      <w:r>
        <w:t>V. FDA Should Evaluate the Final Deployed Function, Not Latent Foundation-Model Capability in Isolation</w:t>
      </w:r>
    </w:p>
    <w:p>
      <w:r>
        <w:rPr>
          <w:color w:val="777777"/>
          <w:sz w:val="16"/>
        </w:rPr>
        <w:t xml:space="preserve">p037 · att1 p.6  </w:t>
      </w:r>
      <w:r>
        <w:t>Foundation models may possess broad, emergent, or multipurpose capabilities. A single model may support research, retrospective quality review, private drafting, clinician-facing decision support, patient-facing communication, or autonomous diagnosis. Those uses differ materially in intended user, degree of autonomy, clinical reliance, reversibility, and consequence of error.</w:t>
      </w:r>
    </w:p>
    <w:p>
      <w:r>
        <w:rPr>
          <w:color w:val="777777"/>
          <w:sz w:val="16"/>
        </w:rPr>
        <w:t xml:space="preserve">p038 · att1 p.6  </w:t>
      </w:r>
      <w:r>
        <w:t>FDA's discussion paper identifies the appropriate unit of analysis: the final user-facing device, as configured and intended for real-world deployment, rather than the foundation model standing alone or an isolated subcomponent.10 That principle should remain central. A model's capacity to generate diagnostic language should not automatically impose the same regulatory burden on every downstream use of that model.</w:t>
      </w:r>
    </w:p>
    <w:p>
      <w:r>
        <w:rPr>
          <w:color w:val="777777"/>
          <w:sz w:val="16"/>
        </w:rPr>
        <w:t xml:space="preserve">p039 · att1 p.6  </w:t>
      </w:r>
      <w:r>
        <w:t>Objective intent remains important. An upstream provider that specifically markets and supports a model for autonomous clinical diagnosis cannot avoid device responsibilities merely by calling it a foundation model, component, application programming interface, or development tool. But device status and regulatory burden should not turn solely on latent capability or on what a downstream party could theoretically configure.</w:t>
      </w:r>
    </w:p>
    <w:p>
      <w:r>
        <w:rPr>
          <w:color w:val="777777"/>
          <w:sz w:val="16"/>
        </w:rPr>
        <w:t xml:space="preserve">p040 · att1 p.6  </w:t>
      </w:r>
      <w:r>
        <w:t>A. Fine-tuning is not a reliable regulatory bright line — The term "fine-tuning" does not identify a stable threshold of clinical risk. A downstream implementation may be materially changed through model-weight adjustment, prompting, retrieval-augmented generation, structured clinical context, post-processing, output constraints, confidence thresholds, report templates, model routing, ensemble methods, interface design, access controls, or workflow safeguards. Conversely, a heavily fine-tuned model may still be deployed autonomously in a high-risk setting.</w:t>
      </w:r>
    </w:p>
    <w:p>
      <w:r>
        <w:rPr>
          <w:color w:val="777777"/>
          <w:sz w:val="16"/>
        </w:rPr>
        <w:t xml:space="preserve">p041 · att1 p.6  </w:t>
      </w:r>
      <w:r>
        <w:t>Regulatory treatment should therefore follow the final intended clinical function and deployment architecture, while assigning appropriate responsibilities to the upstream model provider, downstream developer, deploying institution, and interpreting physician.</w:t>
      </w:r>
    </w:p>
    <w:p>
      <w:r>
        <w:rPr>
          <w:color w:val="777777"/>
          <w:sz w:val="16"/>
        </w:rPr>
        <w:t xml:space="preserve">p042 · att1 p.6  </w:t>
      </w:r>
      <w:r>
        <w:t>VI. Independent Verifiability and Access to the Primary Source Material Are Material Risk Distinctions</w:t>
      </w:r>
    </w:p>
    <w:p>
      <w:r>
        <w:rPr>
          <w:color w:val="777777"/>
          <w:sz w:val="16"/>
        </w:rPr>
        <w:t xml:space="preserve">p043 · att1 p.6  </w:t>
      </w:r>
      <w:r>
        <w:t>Some medical devices generate measurements or primary representations that a physician cannot independently verify at the point of use. A clinician ordinarily cannot directly observe intra-arterial pressure without relying on the measurement chain. A radiologist relies on an imaging acquisition system to create the primary representation of anatomy. Such devices need not be 100 percent accurate — no medical device is held to that standard — but their users may have limited ability to detect certain errors independently, making premarket evidence and controls especially important.</w:t>
      </w:r>
    </w:p>
    <w:p>
      <w:r>
        <w:rPr>
          <w:color w:val="777777"/>
          <w:sz w:val="16"/>
        </w:rPr>
        <w:t xml:space="preserve">p044 · att1 p.6  </w:t>
      </w:r>
      <w:r>
        <w:t>A private VLM pre-draft is different in kind. The VLM does not create the source CT, MRI, radiograph, ultrasound examination, or other primary diagnostic image. It creates a secondary textual representation of source material that remains fully available to the specialist radiologist. The radiologist may inspect the images, review priors and clinical history, identify unsupported statements, correct laterality or location, delete erroneous language, and discard the generated text completely.</w:t>
      </w:r>
    </w:p>
    <w:p>
      <w:r>
        <w:rPr>
          <w:color w:val="777777"/>
          <w:sz w:val="16"/>
        </w:rPr>
        <w:t xml:space="preserve">p045 · att1 p.6  </w:t>
      </w:r>
      <w:r>
        <w:t>FDA's proposed risk framework recognizes related distinctions. It identifies continuously supervised and autonomous functions as meaningfully different, notes that certain measurement or signal-processing outputs may be difficult for users to assess independently, and asks whether traceability to primary source information, downstream safeguards, reversibility, time pressure, and specialist expertise should modify risk.11</w:t>
      </w:r>
    </w:p>
    <w:p>
      <w:r>
        <w:rPr>
          <w:color w:val="777777"/>
          <w:sz w:val="16"/>
        </w:rPr>
        <w:t xml:space="preserve">p046 · att1 p.6  </w:t>
      </w:r>
      <w:r>
        <w:t>10 FDA GenAI Discussion Paper, supra note 1, at 11 (describing evaluation of the final user-facing device as configured and intended for realworld deployment rather than the foundation model standing alone). 11 FDA GenAI Discussion Paper, supra note 1, at 5-9 (discussing supervised and autonomous activity, independent assessment, reversibility, downstream safeguards, time pressure, traceability to primary source information, and specialist expertise).</w:t>
      </w:r>
    </w:p>
    <w:p>
      <w:r>
        <w:rPr>
          <w:color w:val="777777"/>
          <w:sz w:val="16"/>
        </w:rPr>
        <w:t xml:space="preserve">p047 · att1 p.7  </w:t>
      </w:r>
      <w:r>
        <w:t>Independent specialist verification against the primary source images is a material risk control. The AI- generated text remains private and non-final, and no model-generated statement can independently enter the clinical care pathway before the radiologist reviews the source images and issues the final report.</w:t>
      </w:r>
    </w:p>
    <w:p>
      <w:r>
        <w:rPr>
          <w:color w:val="777777"/>
          <w:sz w:val="16"/>
        </w:rPr>
        <w:t xml:space="preserve">p048 · att1 p.7  </w:t>
      </w:r>
      <w:r>
        <w:t>VII. Specialist Review and Supervised Operation — A. Specialist Review Is a Meaningful Risk Control When It Is Designed to Be Meaningful</w:t>
      </w:r>
    </w:p>
    <w:p>
      <w:r>
        <w:rPr>
          <w:color w:val="777777"/>
          <w:sz w:val="16"/>
        </w:rPr>
        <w:t xml:space="preserve">p049 · att1 p.7  </w:t>
      </w:r>
      <w:r>
        <w:t>The phrase "human in the loop" is too broad to carry regulatory weight by itself. A generalist who receives a subspecialty AI diagnosis after the output has already entered the care pathway is not equivalent to the credentialed radiologist who has the complete imaging examination and exclusive authority to issue the report.</w:t>
      </w:r>
    </w:p>
    <w:p>
      <w:r>
        <w:rPr>
          <w:color w:val="777777"/>
          <w:sz w:val="16"/>
        </w:rPr>
        <w:t xml:space="preserve">p050 · att1 p.7  </w:t>
      </w:r>
      <w:r>
        <w:t>Specialist supervision should be considered a material control only when the system is designed so that review is substantive rather than nominal. That requires source access, sufficient time, freedom to reject the output, prevention of downstream dissemination, affirmative finalization, appropriate user training, and monitoring of whether the workflow actually supports independent review.</w:t>
      </w:r>
    </w:p>
    <w:p>
      <w:r>
        <w:rPr>
          <w:color w:val="777777"/>
          <w:sz w:val="16"/>
        </w:rPr>
        <w:t xml:space="preserve">p051 · att1 p.7  </w:t>
      </w:r>
      <w:r>
        <w:t>The radiologist’s independent clinical judgment operates together with appropriate product safeguards to protect patients. It is one component of a layered safety architecture that also includes technical access controls, local validation, human-factors design, model documentation, post-deployment monitoring, version control, rollback capability, and institutional governance.</w:t>
      </w:r>
    </w:p>
    <w:p>
      <w:r>
        <w:rPr>
          <w:color w:val="777777"/>
          <w:sz w:val="16"/>
        </w:rPr>
        <w:t xml:space="preserve">p052 · att1 p.7  </w:t>
      </w:r>
      <w:r>
        <w:t>B. Supervised Practice Is an Element of the Competency Model the Agency Has Described</w:t>
      </w:r>
    </w:p>
    <w:p>
      <w:r>
        <w:rPr>
          <w:color w:val="777777"/>
          <w:sz w:val="16"/>
        </w:rPr>
        <w:t xml:space="preserve">p053 · att1 p.7  </w:t>
      </w:r>
      <w:r>
        <w:t>The discussion paper's competency analogy appropriately recognizes that clinical competence develops through structured assessment and supervised practice before independent practice. In diagnostic radiology, a useful — though necessarily imperfect — workflow analogue is the attending radiologist's review of a trainee's draft interpretation before that draft is released for clinical reliance. A resident or fellow may generate preliminary text that the attending reviews against the source images, corrects, replaces, and ultimately assumes responsibility for upon signature. The preliminary interpretation may contain discrepancies and may influence the attending's review; the relevant safeguards are meaningful source-image review, supervision, and final specialist authorship.</w:t>
      </w:r>
    </w:p>
    <w:p>
      <w:r>
        <w:rPr>
          <w:color w:val="777777"/>
          <w:sz w:val="16"/>
        </w:rPr>
        <w:t xml:space="preserve">p054 · att1 p.7  </w:t>
      </w:r>
      <w:r>
        <w:t>The legal categories are different. A trainee's professional work product is not commercially distributed software and is not an article subject to medical-device regulation. The analogy is therefore not offered to establish equivalent legal status. It is offered to illustrate that the competency model contains a supervisedpractice stage between examination and independent operation. Models also present scale, reproducibility, and correlated-failure risks that individual trainees do not; those differences support local validation, humanfactors evaluation, continuous performance monitoring, and controlled model changes.</w:t>
      </w:r>
    </w:p>
    <w:p>
      <w:r>
        <w:rPr>
          <w:color w:val="777777"/>
          <w:sz w:val="16"/>
        </w:rPr>
        <w:t xml:space="preserve">p055 · att1 p.7  </w:t>
      </w:r>
      <w:r>
        <w:t>The structural point stands nonetheless. If the Agency builds premarket evaluation on the model by which clinicians are qualified, that model contains a stage between examination and independent practice. TMI and RADIN respectfully suggest that the framework recognize a corresponding graduated structure, with the evidence expected calibrated to the stage rather than uniformly to independent practice:</w:t>
      </w:r>
    </w:p>
    <w:p>
      <w:r>
        <w:rPr>
          <w:color w:val="777777"/>
          <w:sz w:val="16"/>
        </w:rPr>
        <w:t xml:space="preserve">p056 · att1 p.7  </w:t>
      </w:r>
      <w:r>
        <w:t>• Stage one — benchmarking only. Non-clinical evaluation, with no patient-facing deployment. Corresponds to examination. • Stage two — supervised operation. Deployment restricted to the RSG-PD conditions set out in Section VIII, with architecturally enforced specialist review, sequestered output, and prospectively defined performance monitoring. Corresponds to supervised practice. Evidence appropriate at entry: benchmarking together with representative retrospective evaluation or prospective shadow deployment.</w:t>
      </w:r>
    </w:p>
    <w:p>
      <w:r>
        <w:rPr>
          <w:color w:val="777777"/>
          <w:sz w:val="16"/>
        </w:rPr>
        <w:t xml:space="preserve">p057 · att1 p.8  </w:t>
      </w:r>
      <w:r>
        <w:t>• Stage three — independent or care-team-facing operation. Outputs that reach clinicians, the medical record, or patients without specialist verification. Corresponds to independent practice, with clinical confirmation proportionate to autonomy and consequence of error. This is not a request to relax the standard applicable to autonomous diagnosis. It is a request that the framework not require a function to satisfy the standard for the third stage as the price of admission to the second. Requiring evidence appropriate to independent operation before permitting any qualifying supervised operation could unnecessarily restrict an important setting for generating evidence about human-AI performance and future development. The enforcement-discretion policy requested in Section XVIII is one mechanism by which the Agency could give effect to that second stage; a streamlined pathway with defined special controls would be another.</w:t>
      </w:r>
    </w:p>
    <w:p>
      <w:r>
        <w:rPr>
          <w:color w:val="777777"/>
          <w:sz w:val="16"/>
        </w:rPr>
        <w:t xml:space="preserve">p058 · att1 p.8  </w:t>
      </w:r>
      <w:r>
        <w:t>VIII. Proposed Conditions for Radiologist-Supervised Generative Pre-Drafting — FDA should consider premarket enforcement discretion only when every condition below is satisfied. These conditions are deliberately restrictive so that a private drafting aid cannot become an unreviewed clinical reporting channel by design or operational drift.</w:t>
      </w:r>
    </w:p>
    <w:p>
      <w:r>
        <w:rPr>
          <w:color w:val="777777"/>
          <w:sz w:val="16"/>
        </w:rPr>
        <w:t xml:space="preserve">p059 · att1 p.8  </w:t>
      </w:r>
      <w:r>
        <w:t>A. Qualified specialist user — The intended user must be a licensed physician qualified and credentialed to independently interpret the relevant imaging examination.</w:t>
      </w:r>
    </w:p>
    <w:p>
      <w:r>
        <w:rPr>
          <w:color w:val="777777"/>
          <w:sz w:val="16"/>
        </w:rPr>
        <w:t xml:space="preserve">p060 · att1 p.8  </w:t>
      </w:r>
      <w:r>
        <w:t>A function intended for use by a patient, non-radiologist clinician, administrative user, or trainee without responsible specialist supervision should not qualify merely because a radiologist might later review the case.</w:t>
      </w:r>
    </w:p>
    <w:p>
      <w:r>
        <w:rPr>
          <w:color w:val="777777"/>
          <w:sz w:val="16"/>
        </w:rPr>
        <w:t xml:space="preserve">p061 · att1 p.8  </w:t>
      </w:r>
      <w:r>
        <w:t>B. Mandatory Source-Image Access and Independent Interpretation — Before report finalization, the qualifying workflow must require the assigned radiologist to access the complete imaging examination through an integrated or linked diagnostic viewer, together with relevant clinical information, comparison examinations, and other source material ordinarily available for interpretation. The software must not obscure, truncate, substitute for, or condition access to the source images.</w:t>
      </w:r>
    </w:p>
    <w:p>
      <w:r>
        <w:rPr>
          <w:color w:val="777777"/>
          <w:sz w:val="16"/>
        </w:rPr>
        <w:t xml:space="preserve">p062 · att1 p.8  </w:t>
      </w:r>
      <w:r>
        <w:t>The qualifying workflow must not permit image-suppressed report finalization. Although software cannot determine the quality of the radiologist's cognitive review, it can prevent a workflow in which a report is finalized without source-image access.</w:t>
      </w:r>
    </w:p>
    <w:p>
      <w:r>
        <w:rPr>
          <w:color w:val="777777"/>
          <w:sz w:val="16"/>
        </w:rPr>
        <w:t xml:space="preserve">p063 · att1 p.8  </w:t>
      </w:r>
      <w:r>
        <w:t>C. Technical Sequestration and Clinical Non-Persistence of Unverified Output — The pre-draft must remain within the interpreting radiologist's controlled workspace. Before radiologist finalization, it must not enter the legal medical record, appear in a clinician or patient portal, transmit through HL7, FHIR, API, email, or other messaging as a clinical report, or otherwise become available for treatment or disposition decisions.</w:t>
      </w:r>
    </w:p>
    <w:p>
      <w:r>
        <w:rPr>
          <w:color w:val="777777"/>
          <w:sz w:val="16"/>
        </w:rPr>
        <w:t xml:space="preserve">p064 · att1 p.8  </w:t>
      </w:r>
      <w:r>
        <w:t>The generated pre-draft and subsequent physician actions may be retained in access-controlled audit and quality records for validation, safety monitoring, and controlled model improvement, subject to applicable privacy, security, and data-governance requirements. Such retained information must not be displayed, transmitted, or treated as a clinical report. No timer, default selection, inactivity state, or batch process may convert unverified text into a clinical communication.</w:t>
      </w:r>
    </w:p>
    <w:p>
      <w:r>
        <w:rPr>
          <w:color w:val="777777"/>
          <w:sz w:val="16"/>
        </w:rPr>
        <w:t xml:space="preserve">p065 · att1 p.8  </w:t>
      </w:r>
      <w:r>
        <w:t>D. No automatic finalization or clinical action — The function must not autonomously sign or finalize a report; communicate a critical result; order a test or treatment; change patient disposition; direct emergency or non-emergency care; assign a diagnosis to the medical record; alter medication; or initiate any other patient-care action.</w:t>
      </w:r>
    </w:p>
    <w:p>
      <w:r>
        <w:rPr>
          <w:color w:val="777777"/>
          <w:sz w:val="16"/>
        </w:rPr>
        <w:t xml:space="preserve">p066 · att1 p.9  </w:t>
      </w:r>
      <w:r>
        <w:t>A workflow timer, inactivity, default selection, or batch process must not convert the absence of editing into authorization.</w:t>
      </w:r>
    </w:p>
    <w:p>
      <w:r>
        <w:rPr>
          <w:color w:val="777777"/>
          <w:sz w:val="16"/>
        </w:rPr>
        <w:t xml:space="preserve">p067 · att1 p.9  </w:t>
      </w:r>
      <w:r>
        <w:t>E. Affirmative radiologist control — The radiologist must affirmatively issue the final report and must be able to edit any statement, delete findings, add findings, replace the impression, reject the entire pre-draft, or start from a blank report.</w:t>
      </w:r>
    </w:p>
    <w:p>
      <w:r>
        <w:rPr>
          <w:color w:val="777777"/>
          <w:sz w:val="16"/>
        </w:rPr>
        <w:t xml:space="preserve">p068 · att1 p.9  </w:t>
      </w:r>
      <w:r>
        <w:t>The interface should make complete rejection easy and should not penalize the user for beginning without AI- generated text.</w:t>
      </w:r>
    </w:p>
    <w:p>
      <w:r>
        <w:rPr>
          <w:color w:val="777777"/>
          <w:sz w:val="16"/>
        </w:rPr>
        <w:t xml:space="preserve">p069 · att1 p.9  </w:t>
      </w:r>
      <w:r>
        <w:t>F. Meaningful independent interpretation and human-factors evaluation — The developer and deploying institution should evaluate whether timing, visual prominence, confidence presentation, explanation design, and workflow sequence encourage premature closure or inappropriate reliance.</w:t>
      </w:r>
    </w:p>
    <w:p>
      <w:r>
        <w:rPr>
          <w:color w:val="777777"/>
          <w:sz w:val="16"/>
        </w:rPr>
        <w:t xml:space="preserve">p070 · att1 p.9  </w:t>
      </w:r>
      <w:r>
        <w:t>FDA need not mandate a universal image-first or text-first interface. The final configured workflow should be tested to determine whether radiologists can identify and correct characteristic model errors under realistic workload and time pressure.</w:t>
      </w:r>
    </w:p>
    <w:p>
      <w:r>
        <w:rPr>
          <w:color w:val="777777"/>
          <w:sz w:val="16"/>
        </w:rPr>
        <w:t xml:space="preserve">p071 · att1 p.9  </w:t>
      </w:r>
      <w:r>
        <w:t>G. Local validation before clinical activation — The final configured function should be validated on data representative of intended modalities, body parts, protocols, scanner types, patient populations, disease prevalence, clinical settings, report conventions, imagequality conditions, and clinically relevant subgroups.</w:t>
      </w:r>
    </w:p>
    <w:p>
      <w:r>
        <w:rPr>
          <w:color w:val="777777"/>
          <w:sz w:val="16"/>
        </w:rPr>
        <w:t xml:space="preserve">p072 · att1 p.9  </w:t>
      </w:r>
      <w:r>
        <w:t>Validation may include retrospective testing, prospective shadow deployment, blinded clinician review, paired aided-versus-unaided assessment, and clinician adjudication. A randomized prospective clinical trial should not be presumed necessary for every private pre-drafting function; evidence should be proportionate to risk and intended use.12</w:t>
      </w:r>
    </w:p>
    <w:p>
      <w:r>
        <w:rPr>
          <w:color w:val="777777"/>
          <w:sz w:val="16"/>
        </w:rPr>
        <w:t xml:space="preserve">p073 · att1 p.9  </w:t>
      </w:r>
      <w:r>
        <w:t>H. Clinically meaningful performance measures — Evaluation should not rely only on generic text-similarity metrics. It should measure clinically significant omissions and false additions, wrong laterality or location, unsupported conclusions, internal contradictions, critical-finding performance, complete-rejection rates, material-correction rates, AI-induced errors, AI- corrected human errors, subgroup performance, and net final-report quality.</w:t>
      </w:r>
    </w:p>
    <w:p>
      <w:r>
        <w:rPr>
          <w:color w:val="777777"/>
          <w:sz w:val="16"/>
        </w:rPr>
        <w:t xml:space="preserve">p074 · att1 p.9  </w:t>
      </w:r>
      <w:r>
        <w:t>Where sensitivity and specificity are applicable, they should be assessed for the human-AI team and compared with a realistic unaided workflow.</w:t>
      </w:r>
    </w:p>
    <w:p>
      <w:r>
        <w:rPr>
          <w:color w:val="777777"/>
          <w:sz w:val="16"/>
        </w:rPr>
        <w:t xml:space="preserve">p075 · att1 p.9  </w:t>
      </w:r>
      <w:r>
        <w:t>I. Continuous performance monitoring — The deploying organization should monitor clinically significant discrepancies, correction and rejection rates, drift by modality, facility, scanner, population, and subgroup, unexpected output patterns, latency or system failures, user complaints, and potential patient-safety events.</w:t>
      </w:r>
    </w:p>
    <w:p>
      <w:r>
        <w:rPr>
          <w:color w:val="777777"/>
          <w:sz w:val="16"/>
        </w:rPr>
        <w:t xml:space="preserve">p076 · att1 p.9  </w:t>
      </w:r>
      <w:r>
        <w:t>Prospectively defined thresholds should trigger investigation, restriction, rollback, or suspension.</w:t>
      </w:r>
    </w:p>
    <w:p>
      <w:r>
        <w:rPr>
          <w:color w:val="777777"/>
          <w:sz w:val="16"/>
        </w:rPr>
        <w:t xml:space="preserve">p077 · att1 p.9  </w:t>
      </w:r>
      <w:r>
        <w:t>J. Controlled model change management — Radiologist corrections may be collected and used, subject to privacy and data-governance requirements, for offline error analysis, development, and retraining.</w:t>
      </w:r>
    </w:p>
    <w:p>
      <w:r>
        <w:rPr>
          <w:color w:val="777777"/>
          <w:sz w:val="16"/>
        </w:rPr>
        <w:t xml:space="preserve">p078 · att1 p.9  </w:t>
      </w:r>
      <w:r>
        <w:t>12 FDA GenAI Discussion Paper, supra note 1, at 14-18 (discussing non-clinical benchmarking, retrospective evaluation, shadow deployment, clinician adjudication, prospective studies, comparators, and human-AI team performance).</w:t>
      </w:r>
    </w:p>
    <w:p>
      <w:r>
        <w:rPr>
          <w:color w:val="777777"/>
          <w:sz w:val="16"/>
        </w:rPr>
        <w:t xml:space="preserve">p079 · att1 p.10  </w:t>
      </w:r>
      <w:r>
        <w:t>A production model should not automatically alter its clinical behavior after every correction without controlled evaluation. Safer lifecycle management is: supervised use → structured feedback → offline development → validation of a defined version → controlled deployment → continued monitoring. FDA's PCCP guidance provides relevant principles for planned changes, validation methodology, and impact assessment.13</w:t>
      </w:r>
    </w:p>
    <w:p>
      <w:r>
        <w:rPr>
          <w:color w:val="777777"/>
          <w:sz w:val="16"/>
        </w:rPr>
        <w:t xml:space="preserve">p080 · att1 p.10  </w:t>
      </w:r>
      <w:r>
        <w:t>K. Auditability and cybersecurity — The system should retain appropriate records of the model and configuration version, generated pre-draft, material physician edits, final report, timing, relevant source inputs, system failures, and corrective actions.</w:t>
      </w:r>
    </w:p>
    <w:p>
      <w:r>
        <w:rPr>
          <w:color w:val="777777"/>
          <w:sz w:val="16"/>
        </w:rPr>
        <w:t xml:space="preserve">p081 · att1 p.10  </w:t>
      </w:r>
      <w:r>
        <w:t>Access control, data integrity, cybersecurity, vendor-change notification, and incident-response procedures should be proportionate to the deployment.</w:t>
      </w:r>
    </w:p>
    <w:p>
      <w:r>
        <w:rPr>
          <w:color w:val="777777"/>
          <w:sz w:val="16"/>
        </w:rPr>
        <w:t xml:space="preserve">p082 · att1 p.10  </w:t>
      </w:r>
      <w:r>
        <w:t>L. Clear exclusions — Enforcement discretion under the RSG-PD category should not apply to the extent an unverified AI-generated diagnostic output reaches a treating clinician or patient, is represented as a preliminary or final clinical interpretation, initiates treatment or patient disposition, autonomously communicates a critical result, or otherwise becomes an independent source of diagnostic reliance before specialist verification.</w:t>
      </w:r>
    </w:p>
    <w:p>
      <w:r>
        <w:rPr>
          <w:color w:val="777777"/>
          <w:sz w:val="16"/>
        </w:rPr>
        <w:t xml:space="preserve">p083 · att1 p.10  </w:t>
      </w:r>
      <w:r>
        <w:t>Image-based worklist prioritization should be analyzed as a separate software function. The presence of a separately regulated or appropriately authorized prioritization function within the same platform should not disqualify an otherwise qualifying RSG-PD function from enforcement discretion, provided that the pre-draft itself remains sequestered and all applicable requirements governing the prioritization function are independently satisfied.</w:t>
      </w:r>
    </w:p>
    <w:p>
      <w:r>
        <w:rPr>
          <w:color w:val="777777"/>
          <w:sz w:val="16"/>
        </w:rPr>
        <w:t xml:space="preserve">p084 · att1 p.10  </w:t>
      </w:r>
      <w:r>
        <w:t>IX. Automation Bias Must Be Evaluated Against the Real-World Baseline of Human Interpretation</w:t>
      </w:r>
    </w:p>
    <w:p>
      <w:r>
        <w:rPr>
          <w:color w:val="777777"/>
          <w:sz w:val="16"/>
        </w:rPr>
        <w:t xml:space="preserve">p085 · att1 p.10  </w:t>
      </w:r>
      <w:r>
        <w:t>AI-generated text can create anchoring, automation bias, confirmation bias, or premature diagnostic closure. Incorrect AI advice has been shown to influence radiologists, and human-factors interventions can change the degree of influence.14 Explanation design can also affect diagnostic performance and trust, including in ways users may not consciously recognize.15 The effect of AI assistance is heterogeneous across radiologists and tasks, and AI error is a major predictor of whether assistance helps or harms performance.16</w:t>
      </w:r>
    </w:p>
    <w:p>
      <w:r>
        <w:rPr>
          <w:color w:val="777777"/>
          <w:sz w:val="16"/>
        </w:rPr>
        <w:t xml:space="preserve">p086 · att1 p.10  </w:t>
      </w:r>
      <w:r>
        <w:t>Those risks should be measured and mitigated against the actual baseline of human interpretation rather than an assumption of error-free unaided performance.</w:t>
      </w:r>
    </w:p>
    <w:p>
      <w:r>
        <w:rPr>
          <w:color w:val="777777"/>
          <w:sz w:val="16"/>
        </w:rPr>
        <w:t xml:space="preserve">p087 · att1 p.10  </w:t>
      </w:r>
      <w:r>
        <w:t>Unaided radiology is also subject to perceptual and cognitive influences, including expectation effects, anchoring, satisfaction of search, prevalence effects, fatigue, interruptions, time pressure, incomplete clinical information, and sequential dependence on recently reviewed cases. Experimental research has shown that radiologists' judgments of simulated lesions on a current radiograph can be pulled toward stimuli seen in the preceding one or two radiographs. This supports the narrower principle that recent visual experience can influence current interpretation.17</w:t>
      </w:r>
    </w:p>
    <w:p>
      <w:r>
        <w:rPr>
          <w:color w:val="777777"/>
          <w:sz w:val="16"/>
        </w:rPr>
        <w:t xml:space="preserve">p088 · att1 p.10  </w:t>
      </w:r>
      <w:r>
        <w:t>13 U.S. Food &amp; Drug Admin., Marketing Submission Recommendations for a Predetermined Change Control Plan for Artificial Intelligence- Enabled Device Software Functions 4-12 (Aug. 2025), https://www.fda.gov/media/166704/download [hereinafter FDA PCCP Guidance]. 14 Michael H. Bernstein et al., Can Incorrect Artificial Intelligence (AI) Results Impact Radiologists, and If So, What Can We Do About It? A Multi-Reader Pilot Study of Lung Cancer Detection with Chest Radiography, 33 Eur. Radiol. 8263, 8263-69 (2023), doi:10.1007/s00330-023- 09747-1. 15 Drew Prinster et al., Care to Explain? AI Explanation Types Differentially Impact Chest Radiograph Diagnostic Performance and Physician Trust in AI, Radiology 313(2), e233261 (2024), doi:10.1148/radiol.233261, PMID 39560483. 16 Feiyang Yu et al., Heterogeneity and Predictors of the Effects of AI Assistance on Radiologists, 30 Nature Medicine 837, 837-49 (2024), doi:10.1038/s41591-024-02850-w. 17 Mauro Manassi et al., Serial Dependence in the Perceptual Judgments of Radiologists, 6 Cognitive Research: Principles and Implications 65 (2021), doi:10.1186/s41235-021-00331-z, PMID 34648124.</w:t>
      </w:r>
    </w:p>
    <w:p>
      <w:r>
        <w:rPr>
          <w:color w:val="777777"/>
          <w:sz w:val="16"/>
        </w:rPr>
        <w:t xml:space="preserve">p089 · att1 p.11  </w:t>
      </w:r>
      <w:r>
        <w:t>AI-related anchoring and overreliance should therefore be evaluated as additional human-factors risks superimposed on an already imperfect diagnostic process, rather than against a hypothetical baseline of errorfree unaided interpretation. The appropriate comparison is the final AI-assisted workflow against realistic unaided practice.</w:t>
      </w:r>
    </w:p>
    <w:p>
      <w:r>
        <w:rPr>
          <w:color w:val="777777"/>
          <w:sz w:val="16"/>
        </w:rPr>
        <w:t xml:space="preserve">p090 · att1 p.11  </w:t>
      </w:r>
      <w:r>
        <w:t>The assessment should measure both directions of effect: errors introduced or reinforced by the AI; errors detected or prevented with AI assistance; changes in sensitivity, specificity, completeness, consistency, and interpretation time; effects under fatigue and workload; and variability among users. Research evaluating VLM-generated radiology reports has found clinically significant errors in both AI-generated and humanauthored reports, further supporting evaluation of the collaborative system rather than treating either participant as inherently error-free.18</w:t>
      </w:r>
    </w:p>
    <w:p>
      <w:r>
        <w:rPr>
          <w:color w:val="777777"/>
          <w:sz w:val="16"/>
        </w:rPr>
        <w:t xml:space="preserve">p091 · att1 p.11  </w:t>
      </w:r>
      <w:r>
        <w:t>Both directions of effect matter to a benefit-risk assessment, and the second deserves explicit attention because it is easily overlooked in a framework organized around the containment of error. Most clinically significant radiology reporting errors are omissions rather than misinterpretations, and the perceptual and cognitive influences described above — satisfaction of search, fatigue, interruption, and time pressure — operate principally by causing findings to go unreported. A structured pre-draft may reduce those omissions through mechanisms that do not depend on the model “diagnosing” anything: it presents an enumerated set of observations that the radiologist must confirm or reject against the source images, so that a reader who has already identified one abnormality is prompted to address the others; it surfaces comparison examinations and interval change that might otherwise not be reviewed; and it does so most consistently at exactly the points in a shift where unaided human performance is weakest. In each case the radiologist remains the one who sees, interprets, and decides. The pre-draft functions as a structured second look that the same specialist adjudicates, in the manner that double reading in screening mammography exists to catch what a single reading misses.</w:t>
      </w:r>
    </w:p>
    <w:p>
      <w:r>
        <w:rPr>
          <w:color w:val="777777"/>
          <w:sz w:val="16"/>
        </w:rPr>
        <w:t xml:space="preserve">p092 · att1 p.11  </w:t>
      </w:r>
      <w:r>
        <w:t>TMI and RADIN do not assert that this benefit is established; they assert that it is measurable, and that the human-AI team evaluation described in Section X and Questions 14 and 15 is the instrument for measuring it. A framework that quantifies only the errors assistance introduces, and never the errors it prevents, cannot support the benefit-risk determination that the FD&amp;C Act requires. The evaluation of a qualifying RSG-PD function should therefore be designed to capture omissions avoided, findings addressed that would otherwise have gone unreported, and completeness of the final signed report, alongside the automation-bias measures described above.</w:t>
      </w:r>
    </w:p>
    <w:p>
      <w:r>
        <w:rPr>
          <w:color w:val="777777"/>
          <w:sz w:val="16"/>
        </w:rPr>
        <w:t xml:space="preserve">p093 · att1 p.11  </w:t>
      </w:r>
      <w:r>
        <w:t>Potential human-factors safeguards include: • clear identification of unverified AI-generated text; • a readily available blank-report option; • no automatic or passive acceptance; • training regarding known failure modes and appropriate skepticism; • interface testing of draft timing, confidence presentation, and explanation design; • monitoring of AI-induced errors separately from pre-existing human errors; • periodic adjudication of representative final reports; • assessment of individual and subgroup differences in reliance; • periodic evaluation of unaided performance where appropriate; and • modification or suspension of workflows that produce unacceptable anchoring or error propagation.</w:t>
      </w:r>
    </w:p>
    <w:p>
      <w:r>
        <w:rPr>
          <w:color w:val="777777"/>
          <w:sz w:val="16"/>
        </w:rPr>
        <w:t xml:space="preserve">p094 · att1 p.11  </w:t>
      </w:r>
      <w:r>
        <w:t>X. Human-AI Team Performance Should Be the Principal Performance Unit — For an RSG-PD function, the intended clinical product is not the VLM acting independently. It is the combined workflow in which the VLM produces provisional text and the radiologist produces the clinical</w:t>
      </w:r>
    </w:p>
    <w:p>
      <w:r>
        <w:rPr>
          <w:color w:val="777777"/>
          <w:sz w:val="16"/>
        </w:rPr>
        <w:t xml:space="preserve">p095 · att1 p.11  </w:t>
      </w:r>
      <w:r>
        <w:t>18 Ryutaro Tanno et al., Collaboration Between Clinicians and Vision-Language Models in Radiology Report Generation, 31 Nature Medicine 599, 599-608 (2025), doi:10.1038/s41591-024-03302-1.</w:t>
      </w:r>
    </w:p>
    <w:p>
      <w:r>
        <w:rPr>
          <w:color w:val="777777"/>
          <w:sz w:val="16"/>
        </w:rPr>
        <w:t xml:space="preserve">p096 · att1 p.12  </w:t>
      </w:r>
      <w:r>
        <w:t>interpretation. Requiring the VLM alone to meet the standard expected of an autonomous diagnostician would test a function the product is not intended to perform.</w:t>
      </w:r>
    </w:p>
    <w:p>
      <w:r>
        <w:rPr>
          <w:color w:val="777777"/>
          <w:sz w:val="16"/>
        </w:rPr>
        <w:t xml:space="preserve">p097 · att1 p.12  </w:t>
      </w:r>
      <w:r>
        <w:t>FDA's discussion paper expressly asks when human-AI team performance should be evaluated instead of device-alone performance and whether the appropriate comparator may be the care likely to occur without the device, including unaided clinical judgment.19 International Good Machine Learning Practice principles likewise emphasize performance of the human-AI team when a human is part of the intended use and monitoring of deployed models and retraining risk.20</w:t>
      </w:r>
    </w:p>
    <w:p>
      <w:r>
        <w:rPr>
          <w:color w:val="777777"/>
          <w:sz w:val="16"/>
        </w:rPr>
        <w:t xml:space="preserve">p098 · att1 p.12  </w:t>
      </w:r>
      <w:r>
        <w:t>The principal questions should be: • Does use of the pre-draft preserve or improve the accuracy and completeness of the final report? • Does it create clinically significant new errors, and can users reliably detect characteristic failures? • Does it reduce or increase variability among radiologists? • Does it improve timeliness without compromising independent interpretation? • Does performance remain acceptable across sites, equipment, populations, subgroups, and clinically relevant abnormalities? • Does the interface create inappropriate reliance, and do proposed mitigations work? • Can adverse trends be detected, investigated, and reversed promptly?</w:t>
      </w:r>
    </w:p>
    <w:p>
      <w:r>
        <w:rPr>
          <w:color w:val="777777"/>
          <w:sz w:val="16"/>
        </w:rPr>
        <w:t xml:space="preserve">p099 · att1 p.12  </w:t>
      </w:r>
      <w:r>
        <w:t>XI. Downstream Clinical Reliance Should Be the Principal Regulatory Boundary — The most practical boundary is whether an AI-generated interpretation can be relied upon before specialist verification. When the output is private, reversible, sequestered, and reviewed against complete source images by the responsible specialist, multiple safeguards intervene before patient care can be affected. When the output reaches a clinician or patient first, the AI interpretation has entered the clinical decision chain.</w:t>
      </w:r>
    </w:p>
    <w:p>
      <w:r>
        <w:rPr>
          <w:color w:val="777777"/>
          <w:sz w:val="16"/>
        </w:rPr>
        <w:t xml:space="preserve">p100 · att1 p.12  </w:t>
      </w:r>
      <w:r>
        <w:t>Protected specialist-supervised pre-drafting Higher-risk clinical-output pathway — Images → AI diagnostic or preliminary output → clinician or patient receives or may rely on the output → care decision may occur before specialist verification → radiologist review may occur later or not at all.</w:t>
      </w:r>
    </w:p>
    <w:p>
      <w:r>
        <w:rPr>
          <w:color w:val="777777"/>
          <w:sz w:val="16"/>
        </w:rPr>
        <w:t xml:space="preserve">p101 · att1 p.12  </w:t>
      </w:r>
      <w:r>
        <w:t>Images → private AI pre-draft → interpreting radiologist independently reviews the source images → radiologist edits, rejects, replaces, or approves the text → radiologist signs the final report → clinician receives only the radiologistissued report.</w:t>
      </w:r>
    </w:p>
    <w:p>
      <w:r>
        <w:rPr>
          <w:color w:val="777777"/>
          <w:sz w:val="16"/>
        </w:rPr>
        <w:t xml:space="preserve">p102 · att1 p.12  </w:t>
      </w:r>
      <w:r>
        <w:t>Proposed treatment: narrowly bounded premarket enforcement discretion, with validation, monitoring, auditability, and change controls.</w:t>
      </w:r>
    </w:p>
    <w:p>
      <w:r>
        <w:rPr>
          <w:color w:val="777777"/>
          <w:sz w:val="16"/>
        </w:rPr>
        <w:t xml:space="preserve">p103 · att1 p.12  </w:t>
      </w:r>
      <w:r>
        <w:t>Proposed treatment: appropriate FDA premarket authorization and controls proportionate to autonomy, clinical reliance, and consequence of error.</w:t>
      </w:r>
    </w:p>
    <w:p>
      <w:r>
        <w:rPr>
          <w:color w:val="777777"/>
          <w:sz w:val="16"/>
        </w:rPr>
        <w:t xml:space="preserve">p104 · att1 p.12  </w:t>
      </w:r>
      <w:r>
        <w:t>FDA should apply appropriate premarket authorization when an AI function substitutes for specialist interpretation; reaches a user who cannot independently evaluate the source images; is available for reliance before specialist confirmation; autonomously initiates or directs care; communicates a critical result; changes treatment priority; or is represented as a clinically actionable interpretation.</w:t>
      </w:r>
    </w:p>
    <w:p>
      <w:r>
        <w:rPr>
          <w:color w:val="777777"/>
          <w:sz w:val="16"/>
        </w:rPr>
        <w:t xml:space="preserve">p105 · att1 p.12  </w:t>
      </w:r>
      <w:r>
        <w:t>XII. Local Clinical Validation Is a Safety Strength, Not a Regulatory Loophole — Imaging AI performance can vary with scanner manufacturer, acquisition protocol, image quality, patient demographics, disease prevalence, referral pattern, comparison-study availability, institutional terminology,</w:t>
      </w:r>
    </w:p>
    <w:p>
      <w:r>
        <w:rPr>
          <w:color w:val="777777"/>
          <w:sz w:val="16"/>
        </w:rPr>
        <w:t xml:space="preserve">p106 · att1 p.12  </w:t>
      </w:r>
      <w:r>
        <w:t>19 FDA GenAI Discussion Paper, supra note 1, at 16, 18 (Questions 14 and 15). 20 U.S. Food &amp; Drug Admin., Health Canada &amp; Medicines and Healthcare products Regulatory Agency, Good Machine Learning Practice for Medical Device Development: Guiding Principles, principles 7 and 10 (Oct. 2021), https://www.fda.gov/media/153486/download.</w:t>
      </w:r>
    </w:p>
    <w:p>
      <w:r>
        <w:rPr>
          <w:color w:val="777777"/>
          <w:sz w:val="16"/>
        </w:rPr>
        <w:t xml:space="preserve">p107 · att1 p.13  </w:t>
      </w:r>
      <w:r>
        <w:t>and clinical setting. A model that performs adequately in one environment may not perform adequately in another. Local validation is therefore a necessary safety layer.</w:t>
      </w:r>
    </w:p>
    <w:p>
      <w:r>
        <w:rPr>
          <w:color w:val="777777"/>
          <w:sz w:val="16"/>
        </w:rPr>
        <w:t xml:space="preserve">p108 · att1 p.13  </w:t>
      </w:r>
      <w:r>
        <w:t>A proportionate pathway should allow qualified institutions to validate the final configured system on representative data, begin in retrospective or shadow mode, establish prospective thresholds, deploy gradually by modality or use case, monitor discrepancies, maintain rollback capability, and share material safety findings with relevant developers and regulators.</w:t>
      </w:r>
    </w:p>
    <w:p>
      <w:r>
        <w:rPr>
          <w:color w:val="777777"/>
          <w:sz w:val="16"/>
        </w:rPr>
        <w:t xml:space="preserve">p109 · att1 p.13  </w:t>
      </w:r>
      <w:r>
        <w:t>An Institutional Review Board ("IRB") may be required when a particular activity constitutes human-subject research or a regulated clinical investigation. An IRB is not, however, a general substitute for medical-device regulation or routine clinical AI governance. Applicable requirements under 21 C.F.R. parts 50, 56, and 812 should be assessed for the specific activity, while routine quality-improvement deployment should be governed through appropriate institutional validation, clinical oversight, privacy, information security, and safety processes.21</w:t>
      </w:r>
    </w:p>
    <w:p>
      <w:r>
        <w:rPr>
          <w:color w:val="777777"/>
          <w:sz w:val="16"/>
        </w:rPr>
        <w:t xml:space="preserve">p110 · att1 p.13  </w:t>
      </w:r>
      <w:r>
        <w:t>XIII. Radiologist Feedback Can Improve Safety Through Controlled Learning — Specialist-supervised pre-drafting can generate unusually valuable real-world evidence. Each accepted statement, correction, deletion, addition, or complete rejection can identify an omitted finding, unsupported finding, wrong laterality, wrong location, inappropriate severity, failure to use a comparison study, failure to answer the clinical question, or unsuitable recommendation.</w:t>
      </w:r>
    </w:p>
    <w:p>
      <w:r>
        <w:rPr>
          <w:color w:val="777777"/>
          <w:sz w:val="16"/>
        </w:rPr>
        <w:t xml:space="preserve">p111 · att1 p.13  </w:t>
      </w:r>
      <w:r>
        <w:t>Subject to appropriate authorization, privacy, data governance, and quality controls, this feedback can support error-taxonomy development, hard-negative case identification, subgroup analysis, offline retraining, test-set expansion, improved prompts and guardrails, and more clinically meaningful future validation.</w:t>
      </w:r>
    </w:p>
    <w:p>
      <w:r>
        <w:rPr>
          <w:color w:val="777777"/>
          <w:sz w:val="16"/>
        </w:rPr>
        <w:t xml:space="preserve">p112 · att1 p.13  </w:t>
      </w:r>
      <w:r>
        <w:t>The production system should not silently or autonomously learn from each case. The appropriate cycle is controlled: supervised use → structured feedback → offline analysis and development → validation of a defined new version → controlled release → post-deployment monitoring. This preserves the scientific benefit of learning from practice without creating an unbounded, continuously changing clinical model.</w:t>
      </w:r>
    </w:p>
    <w:p>
      <w:r>
        <w:rPr>
          <w:color w:val="777777"/>
          <w:sz w:val="16"/>
        </w:rPr>
        <w:t xml:space="preserve">p113 · att1 p.13  </w:t>
      </w:r>
      <w:r>
        <w:t>XIV. Stronger Post-Deployment Monitoring Can Support a Proportionate Premarket Burden — Open-ended generative systems may be difficult to characterize exhaustively before deployment. FDA's discussion paper asks whether greater postmarket monitoring can justify acceptance of greater premarket uncertainty in appropriate circumstances and discusses periodic benchmarking, sample-based clinician review, drift monitoring, and shared ecosystem responsibilities.22</w:t>
      </w:r>
    </w:p>
    <w:p>
      <w:r>
        <w:rPr>
          <w:color w:val="777777"/>
          <w:sz w:val="16"/>
        </w:rPr>
        <w:t xml:space="preserve">p114 · att1 p.13  </w:t>
      </w:r>
      <w:r>
        <w:t>A private specialist-supervised pre-drafting function is a strong candidate for this approach because the unverified output is intercepted before downstream reliance, the specialist creates immediate feedback, deployment can be limited incrementally, performance can be monitored in real time, and the function can be suspended or rolled back promptly.</w:t>
      </w:r>
    </w:p>
    <w:p>
      <w:r>
        <w:rPr>
          <w:color w:val="777777"/>
          <w:sz w:val="16"/>
        </w:rPr>
        <w:t xml:space="preserve">p115 · att1 p.13  </w:t>
      </w:r>
      <w:r>
        <w:t>Postmarket monitoring is not a substitute for adequate pre-deployment evidence. It is an additional control that can make the total evidence package proportionate to the actual risk of the intended function.</w:t>
      </w:r>
    </w:p>
    <w:p>
      <w:r>
        <w:rPr>
          <w:color w:val="777777"/>
          <w:sz w:val="16"/>
        </w:rPr>
        <w:t xml:space="preserve">p116 · att1 p.13  </w:t>
      </w:r>
      <w:r>
        <w:t>Any reduced premarket burden should depend on technically enforced RSG-PD conditions, a prespecified monitoring plan with performance thresholds and defined action triggers, correction-level auditability, rollback capability, and mandatory restriction or suspension when a threshold is breached.</w:t>
      </w:r>
    </w:p>
    <w:p>
      <w:r>
        <w:rPr>
          <w:color w:val="777777"/>
          <w:sz w:val="16"/>
        </w:rPr>
        <w:t xml:space="preserve">p117 · att1 p.13  </w:t>
      </w:r>
      <w:r>
        <w:t>21 FDA GenAI Discussion Paper, supra note 1, at 15-16 &amp; n.20 (noting that requirements under 21 C.F.R. parts 50, 56, and 812 may apply to clinical-confirmation activities depending on the circumstances). 22 FDA GenAI Discussion Paper, supra note 1, at 19-21 (discussing postmarket monitoring, periodic benchmarking, sample-based clinician review, drift, shared responsibility, and questions concerning premarket uncertainty).</w:t>
      </w:r>
    </w:p>
    <w:p>
      <w:r>
        <w:rPr>
          <w:color w:val="777777"/>
          <w:sz w:val="16"/>
        </w:rPr>
        <w:t xml:space="preserve">p118 · att1 p.14  </w:t>
      </w:r>
      <w:r>
        <w:t>XV. Responsibilities Should Be Shared Without Diffusing Accountability — A. Upstream foundation-model or technology provider</w:t>
      </w:r>
    </w:p>
    <w:p>
      <w:r>
        <w:rPr>
          <w:color w:val="777777"/>
          <w:sz w:val="16"/>
        </w:rPr>
        <w:t xml:space="preserve">p119 · att1 p.14  </w:t>
      </w:r>
      <w:r>
        <w:t>• Identify model versions and material changes; • provide safety-relevant documentation, known limitations, and intended or prohibited uses; • support version pinning and change notification where feasible; • maintain appropriate cybersecurity and data-integrity controls; and • avoid unsupported clinical marketing claims.</w:t>
      </w:r>
    </w:p>
    <w:p>
      <w:r>
        <w:rPr>
          <w:color w:val="777777"/>
          <w:sz w:val="16"/>
        </w:rPr>
        <w:t xml:space="preserve">p120 · att1 p.14  </w:t>
      </w:r>
      <w:r>
        <w:t>B. Downstream developer or integrator — • Define the intended use and final deployment architecture; • implement technical sequestration and workflow controls; • validate the final configured function; • evaluate human factors; • establish monitoring and rollback thresholds; • manage model, prompt, retrieval, and post-processing changes; and • maintain auditability and incident response.</w:t>
      </w:r>
    </w:p>
    <w:p>
      <w:r>
        <w:rPr>
          <w:color w:val="777777"/>
          <w:sz w:val="16"/>
        </w:rPr>
        <w:t xml:space="preserve">p121 · att1 p.14  </w:t>
      </w:r>
      <w:r>
        <w:t>C. Deploying healthcare organization — • Authorize qualified users and train them on limitations; • conduct local validation and phased deployment; • monitor real-world performance and investigate safety events; • restrict or suspend problematic functions; • maintain governance, privacy, and security controls; and • ensure unverified output cannot bypass the intended clinical workflow.</w:t>
      </w:r>
    </w:p>
    <w:p>
      <w:r>
        <w:rPr>
          <w:color w:val="777777"/>
          <w:sz w:val="16"/>
        </w:rPr>
        <w:t xml:space="preserve">p122 · att1 p.14  </w:t>
      </w:r>
      <w:r>
        <w:t>D. Interpreting radiologist — • Independently review the source images and relevant clinical information; • treat the pre-draft as unverified work product; • correct, reject, or replace inaccurate text; • issue the final report based on professional judgment; and • report material or recurrent system failures through the established quality process. FDA's proposed voluntary Foundation Model Device Master File concept may improve confidential information sharing and reduce duplication. Importantly, the discussion paper states that submission of such a master file would not authorize the underlying foundation model for a device intended use and that the downstream sponsor would remain responsible for its final device.23 That approach is more appropriate than treating every model with potential diagnostic capability as a finished diagnostic device for every downstream use.</w:t>
      </w:r>
    </w:p>
    <w:p>
      <w:r>
        <w:rPr>
          <w:color w:val="777777"/>
          <w:sz w:val="16"/>
        </w:rPr>
        <w:t xml:space="preserve">p123 · att1 p.14  </w:t>
      </w:r>
      <w:r>
        <w:t>XVI. Responses to FDA Discussion Questions — TMI and RADIN address all 26 questions presented in the FDA discussion paper to provide a complete record regarding radiologist-supervised image-to-report pre-drafting. These responses should be read together with the analysis and authorities presented in Sections IV through XV.</w:t>
      </w:r>
    </w:p>
    <w:p>
      <w:r>
        <w:rPr>
          <w:color w:val="777777"/>
          <w:sz w:val="16"/>
        </w:rPr>
        <w:t xml:space="preserve">p124 · att1 p.14  </w:t>
      </w:r>
      <w:r>
        <w:t>Several questions concern functions that fall outside the proposed Radiologist-Supervised Generative Pre- Drafting, or RSG-PD, category, including multi-turn patient conversations, autonomous care escalation, and</w:t>
      </w:r>
    </w:p>
    <w:p>
      <w:r>
        <w:rPr>
          <w:color w:val="777777"/>
          <w:sz w:val="16"/>
        </w:rPr>
        <w:t xml:space="preserve">p125 · att1 p.14  </w:t>
      </w:r>
      <w:r>
        <w:t>23 FDA GenAI Discussion Paper, supra note 1, at 22 (describing a potential voluntary Foundation Model Device Master File and noting that such a submission would not itself authorize the underlying model for a device intended use).</w:t>
      </w:r>
    </w:p>
    <w:p>
      <w:r>
        <w:rPr>
          <w:color w:val="777777"/>
          <w:sz w:val="16"/>
        </w:rPr>
        <w:t xml:space="preserve">p126 · att1 p.15  </w:t>
      </w:r>
      <w:r>
        <w:t>agentic AI. For those questions, TMI and RADIN identify the distinction and provide general recommendations.</w:t>
      </w:r>
    </w:p>
    <w:p>
      <w:r>
        <w:rPr>
          <w:color w:val="777777"/>
          <w:sz w:val="16"/>
        </w:rPr>
        <w:t xml:space="preserve">p127 · att1 p.15  </w:t>
      </w:r>
      <w:r>
        <w:t>The responses to Questions 7 through 17 are provided without waiving TMI and RADIN's position that a qualifying RSG-PD function should be subject to premarket enforcement discretion. If FDA determines that a particular implementation requires premarket review, the nature and amount of evidence should remain proportionate to the function's actual intended use, deployment safeguards, and residual risk.</w:t>
      </w:r>
    </w:p>
    <w:p>
      <w:r>
        <w:rPr>
          <w:color w:val="777777"/>
          <w:sz w:val="16"/>
        </w:rPr>
        <w:t xml:space="preserve">p128 · att1 p.15  </w:t>
      </w:r>
      <w:r>
        <w:t>A. Considerations for the Assessment of Risk — Question 1: Does the two-axis framework capture the relevant dimensions of risk?</w:t>
      </w:r>
    </w:p>
    <w:p>
      <w:r>
        <w:rPr>
          <w:color w:val="777777"/>
          <w:sz w:val="16"/>
        </w:rPr>
        <w:t xml:space="preserve">p129 · att1 p.15  </w:t>
      </w:r>
      <w:r>
        <w:t>The proposed axes of independent device activity and the consequences of relying on an incorrect output are useful but incomplete.</w:t>
      </w:r>
    </w:p>
    <w:p>
      <w:r>
        <w:rPr>
          <w:color w:val="777777"/>
          <w:sz w:val="16"/>
        </w:rPr>
        <w:t xml:space="preserve">p130 · att1 p.15  </w:t>
      </w:r>
      <w:r>
        <w:t>FDA should also consider: • traceability to the primary source information; • the user's expertise and ability to independently evaluate that source information; • technical barriers preventing downstream dissemination; • reversibility before patient-care impact; • time pressure within the deployment setting; • whether the output can initiate or direct a clinical action; • whether specialist review is mandatory; • the adequacy of post-deployment monitoring and rollback controls; and • whether the model or surrounding configuration can change without controlled validation.</w:t>
      </w:r>
    </w:p>
    <w:p>
      <w:r>
        <w:rPr>
          <w:color w:val="777777"/>
          <w:sz w:val="16"/>
        </w:rPr>
        <w:t xml:space="preserve">p131 · att1 p.15  </w:t>
      </w:r>
      <w:r>
        <w:t>These factors materially distinguish a private RSG-PD function from autonomous or externally relied-upon diagnostic software. In a qualifying RSG-PD workflow, the radiologist has the complete source images, the AI-generated text remains private and reversible, and the output cannot independently reach or influence patient care.</w:t>
      </w:r>
    </w:p>
    <w:p>
      <w:r>
        <w:rPr>
          <w:color w:val="777777"/>
          <w:sz w:val="16"/>
        </w:rPr>
        <w:t xml:space="preserve">p132 · att1 p.15  </w:t>
      </w:r>
      <w:r>
        <w:t>A concrete illustration may assist the Agency. Consider two deployments of the identical model, producing identical text from the identical chest radiograph. In the first, the draft appears in the interpreting radiologist’s workspace beside the images, remains private and non-final, and cannot be released as a clinical report without the radiologist’s independent source-image review and affirmative finalization. In the second, the same text is written to the electronic health record as a preliminary result and transmitted to the overnight emergency physician before specialist verification. These deployments differ materially in clinical reliance and the consequences of error, even though the underlying model, images, and generated text are identical. Explicitly identifying output disposition, reversibility, source-image access, and mandatory review would help ensure that the framework consistently captures those differences.</w:t>
      </w:r>
    </w:p>
    <w:p>
      <w:r>
        <w:rPr>
          <w:color w:val="777777"/>
          <w:sz w:val="16"/>
        </w:rPr>
        <w:t xml:space="preserve">p133 · att1 p.15  </w:t>
      </w:r>
      <w:r>
        <w:t>One of those dimensions warrants particular emphasis. The activity axis distinguishes continuous healthcare professional supervision from autonomous operation, but supervision is not binary. Supervision that a workflow permits the user to bypass is not equivalent to supervision supported by mandatory workflow controls. TMI and RADIN respectfully urge the Agency to distinguish architecturally enforced review requirements from advisory review. Required source-image access and affirmative specialist sign-off are design controls that can be inspected in system configuration and audit logs; an instruction to review, without corresponding workflow controls, remains an expectation about user behavior.</w:t>
      </w:r>
    </w:p>
    <w:p>
      <w:r>
        <w:rPr>
          <w:color w:val="777777"/>
          <w:sz w:val="16"/>
        </w:rPr>
        <w:t xml:space="preserve">p134 · att1 p.15  </w:t>
      </w:r>
      <w:r>
        <w:t>Question 2: How should FDA distinguish non-directive information from action-directing information?</w:t>
      </w:r>
    </w:p>
    <w:p>
      <w:r>
        <w:rPr>
          <w:color w:val="777777"/>
          <w:sz w:val="16"/>
        </w:rPr>
        <w:t xml:space="preserve">p135 · att1 p.15  </w:t>
      </w:r>
      <w:r>
        <w:t>Directiveness should be evaluated functionally and in the context of actual deployment, rather than determined solely by the wording of the output.</w:t>
      </w:r>
    </w:p>
    <w:p>
      <w:r>
        <w:rPr>
          <w:color w:val="777777"/>
          <w:sz w:val="16"/>
        </w:rPr>
        <w:t xml:space="preserve">p136 · att1 p.16  </w:t>
      </w:r>
      <w:r>
        <w:t>Relevant considerations include: • who receives the output; • the output's specificity, personalization, urgency, and expressed certainty; • whether it assigns a diagnosis or proposes treatment, triage, disposition, or follow-up; • whether it enters an EHR, alerting system, ordering system, patient portal, or clinical communication channel; • whether it can automatically initiate an order, alert, communication, or workflow change; • whether the recipient can independently evaluate the underlying source information; and • whether specialist verification is required before the output can affect care.</w:t>
      </w:r>
    </w:p>
    <w:p>
      <w:r>
        <w:rPr>
          <w:color w:val="777777"/>
          <w:sz w:val="16"/>
        </w:rPr>
        <w:t xml:space="preserve">p137 · att1 p.16  </w:t>
      </w:r>
      <w:r>
        <w:t>A disclaimer should not convert an otherwise action-directing output into a non-directive one. Conversely, the presence of diagnostic language should not automatically make an output action-directing when that output is private, non-final, inaccessible to downstream users, and incapable of affecting care before specialist verification.</w:t>
      </w:r>
    </w:p>
    <w:p>
      <w:r>
        <w:rPr>
          <w:color w:val="777777"/>
          <w:sz w:val="16"/>
        </w:rPr>
        <w:t xml:space="preserve">p138 · att1 p.16  </w:t>
      </w:r>
      <w:r>
        <w:t>A qualifying RSG-PD function therefore falls toward the lower end of the directiveness continuum. Its output becomes clinically operative only when the radiologist independently reviews the images and issues the final report.</w:t>
      </w:r>
    </w:p>
    <w:p>
      <w:r>
        <w:rPr>
          <w:color w:val="777777"/>
          <w:sz w:val="16"/>
        </w:rPr>
        <w:t xml:space="preserve">p139 · att1 p.16  </w:t>
      </w:r>
      <w:r>
        <w:t>Question 3: When does delivering clinical information directly to patients create different or higher risk?</w:t>
      </w:r>
    </w:p>
    <w:p>
      <w:r>
        <w:rPr>
          <w:color w:val="777777"/>
          <w:sz w:val="16"/>
        </w:rPr>
        <w:t xml:space="preserve">p140 · att1 p.16  </w:t>
      </w:r>
      <w:r>
        <w:t>Unverified GenAI-generated clinical information may present greater risk when delivered directly to a patient who may not have the expertise necessary to assess its accuracy, limitations, or clinical significance. The risk is particularly important when the output includes a diagnosis, prognosis, treatment recommendation, or instruction about whether to seek or defer care.</w:t>
      </w:r>
    </w:p>
    <w:p>
      <w:r>
        <w:rPr>
          <w:color w:val="777777"/>
          <w:sz w:val="16"/>
        </w:rPr>
        <w:t xml:space="preserve">p141 · att1 p.16  </w:t>
      </w:r>
      <w:r>
        <w:t>Patient-facing status should not automatically make every function high risk. Administrative information, general educational material, and access to a clinician-finalized report are materially different from an unverified AI-generated diagnostic interpretation.</w:t>
      </w:r>
    </w:p>
    <w:p>
      <w:r>
        <w:rPr>
          <w:color w:val="777777"/>
          <w:sz w:val="16"/>
        </w:rPr>
        <w:t xml:space="preserve">p142 · att1 p.16  </w:t>
      </w:r>
      <w:r>
        <w:t>For a qualifying RSG-PD function, the AI pre-draft should not be available to the patient or to any clinician other than the interpreting radiologist. Technical controls should prevent it from appearing in the patient portal, EHR, clinician inbox, API output, or any other downstream communication channel.</w:t>
      </w:r>
    </w:p>
    <w:p>
      <w:r>
        <w:rPr>
          <w:color w:val="777777"/>
          <w:sz w:val="16"/>
        </w:rPr>
        <w:t xml:space="preserve">p143 · att1 p.16  </w:t>
      </w:r>
      <w:r>
        <w:t>The patient and treating clinician should receive only the report issued by the radiologist after specialist review. This safeguard applies to unverified AI-generated work product and should not restrict a patient's appropriate access to the finalized radiology report.</w:t>
      </w:r>
    </w:p>
    <w:p>
      <w:r>
        <w:rPr>
          <w:color w:val="777777"/>
          <w:sz w:val="16"/>
        </w:rPr>
        <w:t xml:space="preserve">p144 · att1 p.16  </w:t>
      </w:r>
      <w:r>
        <w:t>Question 4: How should the distinction between generalist and specialist physicians affect risk assessment?</w:t>
      </w:r>
    </w:p>
    <w:p>
      <w:r>
        <w:rPr>
          <w:color w:val="777777"/>
          <w:sz w:val="16"/>
        </w:rPr>
        <w:t xml:space="preserve">p145 · att1 p.16  </w:t>
      </w:r>
      <w:r>
        <w:t>Specialist expertise should be a meaningful risk modifier when the specialist: • has access to the original source information; • is practicing within the relevant clinical specialty; • possesses the training necessary to evaluate the output independently; • exclusively controls finalization; • can readily reject or replace the AI output; and • receives appropriate training regarding the function's limitations.</w:t>
      </w:r>
    </w:p>
    <w:p>
      <w:r>
        <w:rPr>
          <w:color w:val="777777"/>
          <w:sz w:val="16"/>
        </w:rPr>
        <w:t xml:space="preserve">p146 · att1 p.16  </w:t>
      </w:r>
      <w:r>
        <w:t>A radiologist independently interpreting a complete imaging examination is differently situated from a generalist clinician receiving an unverified subspecialty diagnosis. The radiologist has both the source images and the specialty expertise necessary to identify unsupported or incorrect statements.</w:t>
      </w:r>
    </w:p>
    <w:p>
      <w:r>
        <w:rPr>
          <w:color w:val="777777"/>
          <w:sz w:val="16"/>
        </w:rPr>
        <w:t xml:space="preserve">p147 · att1 p.17  </w:t>
      </w:r>
      <w:r>
        <w:t>Specialist status alone should not eliminate oversight. Its significance arises when it operates together with source-image access, output sequestration, affirmative physician finalization, technical safeguards, local validation, and performance monitoring.</w:t>
      </w:r>
    </w:p>
    <w:p>
      <w:r>
        <w:rPr>
          <w:color w:val="777777"/>
          <w:sz w:val="16"/>
        </w:rPr>
        <w:t xml:space="preserve">p148 · att1 p.17  </w:t>
      </w:r>
      <w:r>
        <w:t>Question 5: How should risk be evaluated across multi-turn conversational trajectories?</w:t>
      </w:r>
    </w:p>
    <w:p>
      <w:r>
        <w:rPr>
          <w:color w:val="777777"/>
          <w:sz w:val="16"/>
        </w:rPr>
        <w:t xml:space="preserve">p149 · att1 p.17  </w:t>
      </w:r>
      <w:r>
        <w:t>Risk for a conversational GenAI-enabled function should be assessed across complete and realistically foreseeable conversational trajectories, rather than one isolated response at a time.</w:t>
      </w:r>
    </w:p>
    <w:p>
      <w:r>
        <w:rPr>
          <w:color w:val="777777"/>
          <w:sz w:val="16"/>
        </w:rPr>
        <w:t xml:space="preserve">p150 · att1 p.17  </w:t>
      </w:r>
      <w:r>
        <w:t>Testing should determine whether a function that begins within a non-directive scope can migrate toward diagnosis, treatment recommendations, triage instructions, or other action-directing behavior. The risk assessment should address reasonably foreseeable conversational behavior, including migration beyond the intended scope. The intended-use statement should clearly identify the supported clinical tasks, users, and limits; an out-of-scope capability should not, by itself, redefine intended use.</w:t>
      </w:r>
    </w:p>
    <w:p>
      <w:r>
        <w:rPr>
          <w:color w:val="777777"/>
          <w:sz w:val="16"/>
        </w:rPr>
        <w:t xml:space="preserve">p151 · att1 p.17  </w:t>
      </w:r>
      <w:r>
        <w:t>Appropriate safeguards may include: • hard scope boundaries; • restrictions on the types of outputs that can be generated; • refusal behavior when the conversation moves outside the intended use; • testing of adversarial and emotionally framed prompts; • monitoring of cumulative conversational context; and • clear escalation to a qualified human when appropriate.</w:t>
      </w:r>
    </w:p>
    <w:p>
      <w:r>
        <w:rPr>
          <w:color w:val="777777"/>
          <w:sz w:val="16"/>
        </w:rPr>
        <w:t xml:space="preserve">p152 · att1 p.17  </w:t>
      </w:r>
      <w:r>
        <w:t>Question 6: How should under-escalation and over-escalation be evaluated?</w:t>
      </w:r>
    </w:p>
    <w:p>
      <w:r>
        <w:rPr>
          <w:color w:val="777777"/>
          <w:sz w:val="16"/>
        </w:rPr>
        <w:t xml:space="preserve">p153 · att1 p.17  </w:t>
      </w:r>
      <w:r>
        <w:t>Under-escalation and over-escalation should be measured separately because they produce different types of harm and may not be appropriately represented by a single aggregate accuracy measure.</w:t>
      </w:r>
    </w:p>
    <w:p>
      <w:r>
        <w:rPr>
          <w:color w:val="777777"/>
          <w:sz w:val="16"/>
        </w:rPr>
        <w:t xml:space="preserve">p154 · att1 p.17  </w:t>
      </w:r>
      <w:r>
        <w:t>Evaluation should consider: • the clinical severity of missed escalation; • the consequences of unnecessary escalation; • disease prevalence; • urgency; • available alternative safeguards; • the intended user; • the availability of immediate professional review; and • the effect of each error direction on patients and healthcare resources.</w:t>
      </w:r>
    </w:p>
    <w:p>
      <w:r>
        <w:rPr>
          <w:color w:val="777777"/>
          <w:sz w:val="16"/>
        </w:rPr>
        <w:t xml:space="preserve">p155 · att1 p.17  </w:t>
      </w:r>
      <w:r>
        <w:t>Acceptance criteria should be specific to the clinical context. A missed emergency escalation may warrant a substantially lower tolerance than an unnecessary recommendation for non-emergency follow-up.</w:t>
      </w:r>
    </w:p>
    <w:p>
      <w:r>
        <w:rPr>
          <w:color w:val="777777"/>
          <w:sz w:val="16"/>
        </w:rPr>
        <w:t xml:space="preserve">p156 · att1 p.17  </w:t>
      </w:r>
      <w:r>
        <w:t>B. Competency-Based Premarket Evaluation — Question 7: Is benchmarking followed by clinical confirmation an appropriate evaluation framework?</w:t>
      </w:r>
    </w:p>
    <w:p>
      <w:r>
        <w:rPr>
          <w:color w:val="777777"/>
          <w:sz w:val="16"/>
        </w:rPr>
        <w:t xml:space="preserve">p157 · att1 p.17  </w:t>
      </w:r>
      <w:r>
        <w:t>For GenAI-enabled functions subject to premarket review, device benchmarking followed by riskproportionate clinical confirmation is a useful general framework.</w:t>
      </w:r>
    </w:p>
    <w:p>
      <w:r>
        <w:rPr>
          <w:color w:val="777777"/>
          <w:sz w:val="16"/>
        </w:rPr>
        <w:t xml:space="preserve">p158 · att1 p.17  </w:t>
      </w:r>
      <w:r>
        <w:t>The evaluation should focus on the final user-facing function as configured and intended to be deployed, rather than on the foundation model acting in isolation.</w:t>
      </w:r>
    </w:p>
    <w:p>
      <w:r>
        <w:rPr>
          <w:color w:val="777777"/>
          <w:sz w:val="16"/>
        </w:rPr>
        <w:t xml:space="preserve">p159 · att1 p.17  </w:t>
      </w:r>
      <w:r>
        <w:t>For an RSG-PD function, the intended system is the combined workflow: VLM-generated private pre-draft → radiologist review of the source images → editing, rejection, or replacement of the pre-draft → radiologist-issued final report.</w:t>
      </w:r>
    </w:p>
    <w:p>
      <w:r>
        <w:rPr>
          <w:color w:val="777777"/>
          <w:sz w:val="16"/>
        </w:rPr>
        <w:t xml:space="preserve">p160 · att1 p.18  </w:t>
      </w:r>
      <w:r>
        <w:t>Clinical confirmation should evaluate the performance of that workflow. It should not require the VLM operating alone to satisfy the standard applicable to an autonomous diagnostician when autonomous use is neither intended nor technically permitted.</w:t>
      </w:r>
    </w:p>
    <w:p>
      <w:r>
        <w:rPr>
          <w:color w:val="777777"/>
          <w:sz w:val="16"/>
        </w:rPr>
        <w:t xml:space="preserve">p161 · att1 p.18  </w:t>
      </w:r>
      <w:r>
        <w:t>Appropriate methods may include representative retrospective testing, prospective shadow deployment, specialist adjudication, paired aided-versus-unaided evaluation, and human-factors testing. The rigor of confirmation should reflect residual risk after accounting for specialist verification, output sequestration, reversibility, and downstream safeguards.</w:t>
      </w:r>
    </w:p>
    <w:p>
      <w:r>
        <w:rPr>
          <w:color w:val="777777"/>
          <w:sz w:val="16"/>
        </w:rPr>
        <w:t xml:space="preserve">p162 · att1 p.18  </w:t>
      </w:r>
      <w:r>
        <w:t>The commenters respectfully refer the Agency to Section VII.B above, which proposes that the competency framework recognize a supervised-operation stage between non-clinical benchmarking and independent operation, with the evidence expected at each stage calibrated accordingly.</w:t>
      </w:r>
    </w:p>
    <w:p>
      <w:r>
        <w:rPr>
          <w:color w:val="777777"/>
          <w:sz w:val="16"/>
        </w:rPr>
        <w:t xml:space="preserve">p163 · att1 p.18  </w:t>
      </w:r>
      <w:r>
        <w:t>Question 8: How should the risk framework determine the level of premarket evidence?</w:t>
      </w:r>
    </w:p>
    <w:p>
      <w:r>
        <w:rPr>
          <w:color w:val="777777"/>
          <w:sz w:val="16"/>
        </w:rPr>
        <w:t xml:space="preserve">p164 · att1 p.18  </w:t>
      </w:r>
      <w:r>
        <w:t>The amount and rigor of premarket evidence should be based on the residual risk of the final deployed function after application of its actual safeguards. It should not be based solely on the latent capabilities of the underlying foundation model or on a hypothetical autonomous use that is outside the intended use.</w:t>
      </w:r>
    </w:p>
    <w:p>
      <w:r>
        <w:rPr>
          <w:color w:val="777777"/>
          <w:sz w:val="16"/>
        </w:rPr>
        <w:t xml:space="preserve">p165 · att1 p.18  </w:t>
      </w:r>
      <w:r>
        <w:t>Relevant considerations include: • who receives the output; • whether the user can independently evaluate the source information; • whether specialist review is mandatory; • whether the output remains technically sequestered until approval by a specialist; • whether it is reversible before clinical reliance; • whether it can initiate a clinical action; • whether the system can bypass the specialist; and • whether monitoring and rollback controls are in place.</w:t>
      </w:r>
    </w:p>
    <w:p>
      <w:r>
        <w:rPr>
          <w:color w:val="777777"/>
          <w:sz w:val="16"/>
        </w:rPr>
        <w:t xml:space="preserve">p166 · att1 p.18  </w:t>
      </w:r>
      <w:r>
        <w:t>A private RSG-PD function has limited independent clinical activity because it does not issue a report, communicate with a clinician or patient, trigger treatment or triage, or bypass radiologist review.</w:t>
      </w:r>
    </w:p>
    <w:p>
      <w:r>
        <w:rPr>
          <w:color w:val="777777"/>
          <w:sz w:val="16"/>
        </w:rPr>
        <w:t xml:space="preserve">p167 · att1 p.18  </w:t>
      </w:r>
      <w:r>
        <w:t>Greater evidence should be required as a function moves toward direct delivery to clinicians or patients, action-directing behavior, time-critical use, reduced opportunity for specialist verification, or autonomous clinical action.</w:t>
      </w:r>
    </w:p>
    <w:p>
      <w:r>
        <w:rPr>
          <w:color w:val="777777"/>
          <w:sz w:val="16"/>
        </w:rPr>
        <w:t xml:space="preserve">p168 · att1 p.18  </w:t>
      </w:r>
      <w:r>
        <w:t>Question 9: Is the proposed benchmarking structure adequate, and what additional elements are needed?</w:t>
      </w:r>
    </w:p>
    <w:p>
      <w:r>
        <w:rPr>
          <w:color w:val="777777"/>
          <w:sz w:val="16"/>
        </w:rPr>
        <w:t xml:space="preserve">p169 · att1 p.18  </w:t>
      </w:r>
      <w:r>
        <w:t>FDA's proposed benchmarking structure is a useful starting point, but multimodal radiology VLMs require additional evaluation tailored to the relationship between the source images and the generated text.</w:t>
      </w:r>
    </w:p>
    <w:p>
      <w:r>
        <w:rPr>
          <w:color w:val="777777"/>
          <w:sz w:val="16"/>
        </w:rPr>
        <w:t xml:space="preserve">p170 · att1 p.18  </w:t>
      </w:r>
      <w:r>
        <w:t>Testing should assess: • whether clinically material statements are supported by the source images; • clinically significant omissions and unsupported additions; • laterality, location, severity, number, and measurement errors; • complete-study ingestion and coverage; • comparison with prior examinations; • consistency between the findings and impression; • clinically meaningful variability across repeated outputs; • generalizability across modalities, protocols, scanners, institutions, and populations; • subgroup performance; • workflow containment; and • human-AI team performance.</w:t>
      </w:r>
    </w:p>
    <w:p>
      <w:r>
        <w:rPr>
          <w:color w:val="777777"/>
          <w:sz w:val="16"/>
        </w:rPr>
        <w:t xml:space="preserve">p171 · att1 p.19  </w:t>
      </w:r>
      <w:r>
        <w:t>Generic text-similarity metrics should not serve as the principal measure of clinical performance. Two reports may differ significantly in wording while remaining clinically equivalent, or appear linguistically similar while containing a material diagnostic error.</w:t>
      </w:r>
    </w:p>
    <w:p>
      <w:r>
        <w:rPr>
          <w:color w:val="777777"/>
          <w:sz w:val="16"/>
        </w:rPr>
        <w:t xml:space="preserve">p172 · att1 p.19  </w:t>
      </w:r>
      <w:r>
        <w:t>For supervised pre-drafting, testing should also measure material correction rates, complete-draft rejection, AI-induced errors, radiologist-corrected AI errors, verification time, report completeness, and final-report quality compared with realistic unaided interpretation.</w:t>
      </w:r>
    </w:p>
    <w:p>
      <w:r>
        <w:rPr>
          <w:color w:val="777777"/>
          <w:sz w:val="16"/>
        </w:rPr>
        <w:t xml:space="preserve">p173 · att1 p.19  </w:t>
      </w:r>
      <w:r>
        <w:t>The final configured system should also be tested to confirm that an unverified pre-draft cannot be automatically finalized, transmitted, or used to initiate clinical action.</w:t>
      </w:r>
    </w:p>
    <w:p>
      <w:r>
        <w:rPr>
          <w:color w:val="777777"/>
          <w:sz w:val="16"/>
        </w:rPr>
        <w:t xml:space="preserve">p174 · att1 p.19  </w:t>
      </w:r>
      <w:r>
        <w:t>Two additional benchmarking elements warrant separate treatment because they are not captured by accuracy measures. The first is fabricated specificity: whether the output asserts measurements, comparisons, technique parameters, or clinical history that are not derivable from the inputs supplied. This is the report-generation form of confabulation, and it is distinct from diagnostic error because the fabricated assertion may be diagnostically plausible and nonetheless wholly invented.</w:t>
      </w:r>
    </w:p>
    <w:p>
      <w:r>
        <w:rPr>
          <w:color w:val="777777"/>
          <w:sz w:val="16"/>
        </w:rPr>
        <w:t xml:space="preserve">p175 · att1 p.19  </w:t>
      </w:r>
      <w:r>
        <w:t>The second is direct measurement of whether specialist review is functioning as designed. Where a function is deployed under the conditions proposed in Section VIII, the sponsor and deploying organization can measure verbatim-adoption rates, edit-distance distributions, per-reader variation in adoption, and blinded independent re-read of a random sample of signed reports stratified by whether the pre-draft was adopted verbatim or edited. Each can be evaluated without communicating unverified output to downstream clinicians or patients. TMI and RADIN specifically caution against approaches that would seed known errors into live clinical pre-drafts in order to test reviewer vigilance; retrospective blinded re-read can assess reviewer performance without deliberately introducing error into patient care.</w:t>
      </w:r>
    </w:p>
    <w:p>
      <w:r>
        <w:rPr>
          <w:color w:val="777777"/>
          <w:sz w:val="16"/>
        </w:rPr>
        <w:t xml:space="preserve">p176 · att1 p.19  </w:t>
      </w:r>
      <w:r>
        <w:t>These measures are surveillance signals, not substitutes for independent clinical adjudication, and they do not by themselves establish that a radiologist performed an adequate cognitive review. They should be interpreted together with blinded review of final reports and independent measures of clinical accuracy.</w:t>
      </w:r>
    </w:p>
    <w:p>
      <w:r>
        <w:rPr>
          <w:color w:val="777777"/>
          <w:sz w:val="16"/>
        </w:rPr>
        <w:t xml:space="preserve">p177 · att1 p.19  </w:t>
      </w:r>
      <w:r>
        <w:t>Question 10: How should benchmark contamination, saturation, and representativeness be addressed?</w:t>
      </w:r>
    </w:p>
    <w:p>
      <w:r>
        <w:rPr>
          <w:color w:val="777777"/>
          <w:sz w:val="16"/>
        </w:rPr>
        <w:t xml:space="preserve">p178 · att1 p.19  </w:t>
      </w:r>
      <w:r>
        <w:t>Benchmark performance should be treated as predictive of real-world performance only when the benchmark is clinically relevant, appropriately independent from model development, and representative of the intended deployment environment.</w:t>
      </w:r>
    </w:p>
    <w:p>
      <w:r>
        <w:rPr>
          <w:color w:val="777777"/>
          <w:sz w:val="16"/>
        </w:rPr>
        <w:t xml:space="preserve">p179 · att1 p.19  </w:t>
      </w:r>
      <w:r>
        <w:t>Reasonable controls may include: • sequestered datasets; • temporal or institutional holdouts; • documented data provenance; • screening for duplicate and near-duplicate cases; • prespecified endpoints and scoring criteria; • a locked model and configuration before testing; • independent specialist adjudication; • repeated-run testing; • subgroup analysis; and • confirmation using representative real-world data or prospective shadow deployment.</w:t>
      </w:r>
    </w:p>
    <w:p>
      <w:r>
        <w:rPr>
          <w:color w:val="777777"/>
          <w:sz w:val="16"/>
        </w:rPr>
        <w:t xml:space="preserve">p180 · att1 p.19  </w:t>
      </w:r>
      <w:r>
        <w:t>Public benchmarks should not automatically be presumed superior. Public availability may increase the risk of training-data contamination, repeated optimization, and benchmark saturation.</w:t>
      </w:r>
    </w:p>
    <w:p>
      <w:r>
        <w:rPr>
          <w:color w:val="777777"/>
          <w:sz w:val="16"/>
        </w:rPr>
        <w:t xml:space="preserve">p181 · att1 p.19  </w:t>
      </w:r>
      <w:r>
        <w:t>Sponsor-developed benchmarks should remain permissible where no adequate public benchmark exists, provided the sponsor documents the case-selection method, data provenance, scoring methodology, acceptance criteria, adjudication process, and known limitations. Sponsor-developed benchmarks should not ordinarily constitute the sole evidence supporting a material clinical claim.</w:t>
      </w:r>
    </w:p>
    <w:p>
      <w:r>
        <w:rPr>
          <w:color w:val="777777"/>
          <w:sz w:val="16"/>
        </w:rPr>
        <w:t xml:space="preserve">p182 · att1 p.20  </w:t>
      </w:r>
      <w:r>
        <w:t>Where a downstream developer lacks complete visibility into an upstream foundation model's training data, FDA should permit reasonable demonstrations of benchmark independence rather than require impossible certainty that no benchmark case was ever encountered during upstream training.</w:t>
      </w:r>
    </w:p>
    <w:p>
      <w:r>
        <w:rPr>
          <w:color w:val="777777"/>
          <w:sz w:val="16"/>
        </w:rPr>
        <w:t xml:space="preserve">p183 · att1 p.20  </w:t>
      </w:r>
      <w:r>
        <w:t>Question 11: How should the method of clinical confirmation be selected?</w:t>
      </w:r>
    </w:p>
    <w:p>
      <w:r>
        <w:rPr>
          <w:color w:val="777777"/>
          <w:sz w:val="16"/>
        </w:rPr>
        <w:t xml:space="preserve">p184 · att1 p.20  </w:t>
      </w:r>
      <w:r>
        <w:t>For a private radiologist pre-draft, appropriate methods may include: • retrospective local validation; • prospective shadow deployment; • blinded specialist review; • paired aided-versus-unaided comparison; • adjudication of clinically significant discrepancies; • human-factors evaluation; • phased deployment; and • prospective performance monitoring.</w:t>
      </w:r>
    </w:p>
    <w:p>
      <w:r>
        <w:rPr>
          <w:color w:val="777777"/>
          <w:sz w:val="16"/>
        </w:rPr>
        <w:t xml:space="preserve">p185 · att1 p.20  </w:t>
      </w:r>
      <w:r>
        <w:t>The confirmation method should be proportional to the function's autonomy, clinical reliance, novelty, intended users, deployment environment, and consequences of error.</w:t>
      </w:r>
    </w:p>
    <w:p>
      <w:r>
        <w:rPr>
          <w:color w:val="777777"/>
          <w:sz w:val="16"/>
        </w:rPr>
        <w:t xml:space="preserve">p186 · att1 p.20  </w:t>
      </w:r>
      <w:r>
        <w:t>A prospective randomized clinical study should not automatically be required for every private, specialistsupervised pre-drafting function. Lower-risk functions may be adequately evaluated through representative retrospective data, shadow deployment, and specialist adjudication.</w:t>
      </w:r>
    </w:p>
    <w:p>
      <w:r>
        <w:rPr>
          <w:color w:val="777777"/>
          <w:sz w:val="16"/>
        </w:rPr>
        <w:t xml:space="preserve">p187 · att1 p.20  </w:t>
      </w:r>
      <w:r>
        <w:t>More rigorous prospective evidence may be appropriate when the AI output reaches treating clinicians or patients, operates in a time-critical environment, initiates action, replaces specialist interpretation, or otherwise presents a direct pathway from model output to patient care.</w:t>
      </w:r>
    </w:p>
    <w:p>
      <w:r>
        <w:rPr>
          <w:color w:val="777777"/>
          <w:sz w:val="16"/>
        </w:rPr>
        <w:t xml:space="preserve">p188 · att1 p.20  </w:t>
      </w:r>
      <w:r>
        <w:t>Question 12: How should sponsors obtain statistically meaningful performance measurements?</w:t>
      </w:r>
    </w:p>
    <w:p>
      <w:r>
        <w:rPr>
          <w:color w:val="777777"/>
          <w:sz w:val="16"/>
        </w:rPr>
        <w:t xml:space="preserve">p189 · att1 p.20  </w:t>
      </w:r>
      <w:r>
        <w:t>Sponsors should prespecify clinically meaningful endpoints, the unit of analysis, sample-size assumptions, acceptance criteria, and the statistical methods used to account for variation among cases, readers, institutions, and repeated model outputs.</w:t>
      </w:r>
    </w:p>
    <w:p>
      <w:r>
        <w:rPr>
          <w:color w:val="777777"/>
          <w:sz w:val="16"/>
        </w:rPr>
        <w:t xml:space="preserve">p190 · att1 p.20  </w:t>
      </w:r>
      <w:r>
        <w:t>Evaluation should report: • point estimates and confidence intervals; • clinically significant error rates; • reader- and site-level variability; • performance across modalities and use cases; • subgroup estimates; • repeated-run variability; and • performance under representative real-world conditions.</w:t>
      </w:r>
    </w:p>
    <w:p>
      <w:r>
        <w:rPr>
          <w:color w:val="777777"/>
          <w:sz w:val="16"/>
        </w:rPr>
        <w:t xml:space="preserve">p191 · att1 p.20  </w:t>
      </w:r>
      <w:r>
        <w:t>When the same radiologists or cases contribute multiple observations, the analysis should account for clustering and repeated measures.</w:t>
      </w:r>
    </w:p>
    <w:p>
      <w:r>
        <w:rPr>
          <w:color w:val="777777"/>
          <w:sz w:val="16"/>
        </w:rPr>
        <w:t xml:space="preserve">p192 · att1 p.20  </w:t>
      </w:r>
      <w:r>
        <w:t>Synthetic inputs and real-patient data should not automatically be pooled into a single performance estimate. Pooling is appropriate only when the sponsor establishes that the data sources measure the same clinical construct and adequately addresses differences in distribution. Otherwise, synthetic and real-world results should be reported separately, with real-patient data serving as the principal evidence of clinical performance.</w:t>
      </w:r>
    </w:p>
    <w:p>
      <w:r>
        <w:rPr>
          <w:color w:val="777777"/>
          <w:sz w:val="16"/>
        </w:rPr>
        <w:t xml:space="preserve">p193 · att1 p.21  </w:t>
      </w:r>
      <w:r>
        <w:t>Question 13: When is synthetic data appropriate or inadequate?</w:t>
      </w:r>
    </w:p>
    <w:p>
      <w:r>
        <w:rPr>
          <w:color w:val="777777"/>
          <w:sz w:val="16"/>
        </w:rPr>
        <w:t xml:space="preserve">p194 · att1 p.21  </w:t>
      </w:r>
      <w:r>
        <w:t>Synthetic data may be useful for: • stress testing; • rare or dangerous edge cases; • controlled alteration of specific imaging characteristics; • testing system boundaries; • supplementing underrepresented scenarios; • evaluating robustness; and • reducing unnecessary exposure of identifiable patient information.</w:t>
      </w:r>
    </w:p>
    <w:p>
      <w:r>
        <w:rPr>
          <w:color w:val="777777"/>
          <w:sz w:val="16"/>
        </w:rPr>
        <w:t xml:space="preserve">p195 · att1 p.21  </w:t>
      </w:r>
      <w:r>
        <w:t>Synthetic data should not replace representative real-patient imaging data when validating the clinical performance of an image-to-report function.</w:t>
      </w:r>
    </w:p>
    <w:p>
      <w:r>
        <w:rPr>
          <w:color w:val="777777"/>
          <w:sz w:val="16"/>
        </w:rPr>
        <w:t xml:space="preserve">p196 · att1 p.21  </w:t>
      </w:r>
      <w:r>
        <w:t>It may be particularly inadequate when subtle pathology, acquisition artifacts, disease prevalence, demographic characteristics, or institutional variation cannot be reproduced faithfully. There is also a risk that synthetic data generated by a related model class may reproduce the same biases or blind spots that the evaluation is intended to detect.</w:t>
      </w:r>
    </w:p>
    <w:p>
      <w:r>
        <w:rPr>
          <w:color w:val="777777"/>
          <w:sz w:val="16"/>
        </w:rPr>
        <w:t xml:space="preserve">p197 · att1 p.21  </w:t>
      </w:r>
      <w:r>
        <w:t>Safeguards should include independent clinical review, documentation of the generation method, comparison with real-world distributions, subgroup-specific analysis, use of multiple data sources where feasible, and confirmation of material findings on representative real-patient data.</w:t>
      </w:r>
    </w:p>
    <w:p>
      <w:r>
        <w:rPr>
          <w:color w:val="777777"/>
          <w:sz w:val="16"/>
        </w:rPr>
        <w:t xml:space="preserve">p198 · att1 p.21  </w:t>
      </w:r>
      <w:r>
        <w:t>Question 14: How should comparators and acceptance criteria be selected for open-ended outputs?</w:t>
      </w:r>
    </w:p>
    <w:p>
      <w:r>
        <w:rPr>
          <w:color w:val="777777"/>
          <w:sz w:val="16"/>
        </w:rPr>
        <w:t xml:space="preserve">p199 · att1 p.21  </w:t>
      </w:r>
      <w:r>
        <w:t>For open-ended radiology outputs, a qualified specialist panel or adjudicated clinical reference standard may be appropriate when a single definitive reference report does not exist.</w:t>
      </w:r>
    </w:p>
    <w:p>
      <w:r>
        <w:rPr>
          <w:color w:val="777777"/>
          <w:sz w:val="16"/>
        </w:rPr>
        <w:t xml:space="preserve">p200 · att1 p.21  </w:t>
      </w:r>
      <w:r>
        <w:t>Acceptance criteria should focus on clinically significant agreement rather than exact wording. Relevant measures include:</w:t>
      </w:r>
    </w:p>
    <w:p>
      <w:r>
        <w:rPr>
          <w:color w:val="777777"/>
          <w:sz w:val="16"/>
        </w:rPr>
        <w:t xml:space="preserve">p201 · att1 p.21  </w:t>
      </w:r>
      <w:r>
        <w:t>• missed or unsupported findings; • laterality and location errors; • incorrect measurements; • inappropriate diagnostic conclusions; • findings-impression inconsistency; • clinically significant recommendations; and • effects on the final radiologist-issued report.</w:t>
      </w:r>
    </w:p>
    <w:p>
      <w:r>
        <w:rPr>
          <w:color w:val="777777"/>
          <w:sz w:val="16"/>
        </w:rPr>
        <w:t xml:space="preserve">p202 · att1 p.21  </w:t>
      </w:r>
      <w:r>
        <w:t>For supervised pre-drafting, the human-AI team should be the principal evaluation unit. The relevant question is whether the radiologist using the final configured function produces reports that are at least as safe and clinically accurate as the realistic unaided workflow.</w:t>
      </w:r>
    </w:p>
    <w:p>
      <w:r>
        <w:rPr>
          <w:color w:val="777777"/>
          <w:sz w:val="16"/>
        </w:rPr>
        <w:t xml:space="preserve">p203 · att1 p.21  </w:t>
      </w:r>
      <w:r>
        <w:t>Device-alone performance remains useful for characterizing failure modes and defining safeguards. It should not be the sole clinical standard when autonomous interpretation is outside the intended use and technically prohibited.</w:t>
      </w:r>
    </w:p>
    <w:p>
      <w:r>
        <w:rPr>
          <w:color w:val="777777"/>
          <w:sz w:val="16"/>
        </w:rPr>
        <w:t xml:space="preserve">p204 · att1 p.21  </w:t>
      </w:r>
      <w:r>
        <w:t>Question 15: Should performance be compared with the care likely to occur without the device?</w:t>
      </w:r>
    </w:p>
    <w:p>
      <w:r>
        <w:rPr>
          <w:color w:val="777777"/>
          <w:sz w:val="16"/>
        </w:rPr>
        <w:t xml:space="preserve">p205 · att1 p.21  </w:t>
      </w:r>
      <w:r>
        <w:t>Yes. The comparator should reflect the actual care, technology, and workflow likely to exist in the function's absence.</w:t>
      </w:r>
    </w:p>
    <w:p>
      <w:r>
        <w:rPr>
          <w:color w:val="777777"/>
          <w:sz w:val="16"/>
        </w:rPr>
        <w:t xml:space="preserve">p206 · att1 p.21  </w:t>
      </w:r>
      <w:r>
        <w:t>For an RSG-PD function, the principal comparator should ordinarily be realistic unaided radiologist reporting. The evaluation should account for normal case complexity, workload, fatigue, interruptions, time pressure, and ordinary human error.</w:t>
      </w:r>
    </w:p>
    <w:p>
      <w:r>
        <w:rPr>
          <w:color w:val="777777"/>
          <w:sz w:val="16"/>
        </w:rPr>
        <w:t xml:space="preserve">p207 · att1 p.22  </w:t>
      </w:r>
      <w:r>
        <w:t>The appropriate comparator may differ for other functions. For example, delayed specialist review, generalist interpretation, or no intervention may be appropriate where those conditions represent the actual alternative available to the intended population.</w:t>
      </w:r>
    </w:p>
    <w:p>
      <w:r>
        <w:rPr>
          <w:color w:val="777777"/>
          <w:sz w:val="16"/>
        </w:rPr>
        <w:t xml:space="preserve">p208 · att1 p.22  </w:t>
      </w:r>
      <w:r>
        <w:t>For access and timeliness claims, the relevant comparator may differ from the comparator used to assess diagnostic accuracy. In many overnight, rural, critical-access, and off-hours imaging settings, delayed specialist review may be the actual alternative rather than a hypothetical one. The realistic alternative to an assisted interpretation may be an interpretation rendered hours later or a treating clinician's provisional assessment in the interim.</w:t>
      </w:r>
    </w:p>
    <w:p>
      <w:r>
        <w:rPr>
          <w:color w:val="777777"/>
          <w:sz w:val="16"/>
        </w:rPr>
        <w:t xml:space="preserve">p209 · att1 p.22  </w:t>
      </w:r>
      <w:r>
        <w:t>TMI and RADIN respectfully suggest that a sponsor be permitted to justify a delayed-specialist-review or unaided-judgment comparator by documenting the actual service pattern at the intended deployment sites — turnaround-time distributions, hours of specialist availability, and the interpreting arrangements in place absent the function — rather than by assertion. That evidence is routinely captured in radiology operational systems and can be produced without a prospective study.</w:t>
      </w:r>
    </w:p>
    <w:p>
      <w:r>
        <w:rPr>
          <w:color w:val="777777"/>
          <w:sz w:val="16"/>
        </w:rPr>
        <w:t xml:space="preserve">p210 · att1 p.22  </w:t>
      </w:r>
      <w:r>
        <w:t>The comparison should measure both directions of effect: • errors introduced or reinforced by AI assistance; and • errors prevented, identified, or corrected with AI assistance.</w:t>
      </w:r>
    </w:p>
    <w:p>
      <w:r>
        <w:rPr>
          <w:color w:val="777777"/>
          <w:sz w:val="16"/>
        </w:rPr>
        <w:t xml:space="preserve">p211 · att1 p.22  </w:t>
      </w:r>
      <w:r>
        <w:t>A GenAI-enabled function should be evaluated against the real clinical baseline, not against a hypothetical error-free physician or an autonomous use the product is not intended to perform.</w:t>
      </w:r>
    </w:p>
    <w:p>
      <w:r>
        <w:rPr>
          <w:color w:val="777777"/>
          <w:sz w:val="16"/>
        </w:rPr>
        <w:t xml:space="preserve">p212 · att1 p.22  </w:t>
      </w:r>
      <w:r>
        <w:t>Question 16: What role should independent third parties play?</w:t>
      </w:r>
    </w:p>
    <w:p>
      <w:r>
        <w:rPr>
          <w:color w:val="777777"/>
          <w:sz w:val="16"/>
        </w:rPr>
        <w:t xml:space="preserve">p213 · att1 p.22  </w:t>
      </w:r>
      <w:r>
        <w:t>Independent third parties may contribute meaningfully to selected aspects of competency-based evaluation, but participation should be risk-proportionate rather than universally mandatory.</w:t>
      </w:r>
    </w:p>
    <w:p>
      <w:r>
        <w:rPr>
          <w:color w:val="777777"/>
          <w:sz w:val="16"/>
        </w:rPr>
        <w:t xml:space="preserve">p214 · att1 p.22  </w:t>
      </w:r>
      <w:r>
        <w:t>Appropriate roles may include: • maintaining sequestered datasets; • conducting independent specialist adjudication; • auditing benchmark methodology; • validating scoring rubrics; and • confirming performance for higher-risk or autonomous functions.</w:t>
      </w:r>
    </w:p>
    <w:p>
      <w:r>
        <w:rPr>
          <w:color w:val="777777"/>
          <w:sz w:val="16"/>
        </w:rPr>
        <w:t xml:space="preserve">p215 · att1 p.22  </w:t>
      </w:r>
      <w:r>
        <w:t>For a lower-risk RSG-PD function, adequate independence may also be achieved through radiologists who were not involved in model development, blinded adjudication, external review of a representative sample, or institution-specific validation under formal AI governance.</w:t>
      </w:r>
    </w:p>
    <w:p>
      <w:r>
        <w:rPr>
          <w:color w:val="777777"/>
          <w:sz w:val="16"/>
        </w:rPr>
        <w:t xml:space="preserve">p216 · att1 p.22  </w:t>
      </w:r>
      <w:r>
        <w:t>A universal third-party mandate could create unnecessary cost, delay, limited testing capacity, and barriers to entry. FDA should preserve multiple valid means of achieving independent evaluation and should avoid allowing a small number of organizations to control essential datasets or certification pathways.</w:t>
      </w:r>
    </w:p>
    <w:p>
      <w:r>
        <w:rPr>
          <w:color w:val="777777"/>
          <w:sz w:val="16"/>
        </w:rPr>
        <w:t xml:space="preserve">p217 · att1 p.22  </w:t>
      </w:r>
      <w:r>
        <w:t>Third-party involvement should supplement, not replace, the responsibilities of the developer, downstream integrator, and deploying healthcare organization.</w:t>
      </w:r>
    </w:p>
    <w:p>
      <w:r>
        <w:rPr>
          <w:color w:val="777777"/>
          <w:sz w:val="16"/>
        </w:rPr>
        <w:t xml:space="preserve">p218 · att1 p.22  </w:t>
      </w:r>
      <w:r>
        <w:t>Question 17: How should the competency-based framework be adapted for multimodal VLMs?</w:t>
      </w:r>
    </w:p>
    <w:p>
      <w:r>
        <w:rPr>
          <w:color w:val="777777"/>
          <w:sz w:val="16"/>
        </w:rPr>
        <w:t xml:space="preserve">p219 · att1 p.22  </w:t>
      </w:r>
      <w:r>
        <w:t>A competency-based framework can be applied to multimodal VLMs, but it must address the relationship among image inputs, clinical context, and generated language.</w:t>
      </w:r>
    </w:p>
    <w:p>
      <w:r>
        <w:rPr>
          <w:color w:val="777777"/>
          <w:sz w:val="16"/>
        </w:rPr>
        <w:t xml:space="preserve">p220 · att1 p.22  </w:t>
      </w:r>
      <w:r>
        <w:t>Evaluation should include: • cross-modal grounding of generated statements; • complete-study ingestion and coverage; • clinically significant omissions and hallucinations;</w:t>
      </w:r>
    </w:p>
    <w:p>
      <w:r>
        <w:rPr>
          <w:color w:val="777777"/>
          <w:sz w:val="16"/>
        </w:rPr>
        <w:t xml:space="preserve">p221 · att1 p.23  </w:t>
      </w:r>
      <w:r>
        <w:t>• laterality, localization, measurement, and interval change; • appropriate use of clinical history and prior examinations; • findings-impression consistency; • output variability and reproducibility; • generalizability across populations and imaging environments; • human-factors effects; and • sensitivity to changes in the model, prompts, retrieval sources, templates, guardrails, post-processing, and interface.</w:t>
      </w:r>
    </w:p>
    <w:p>
      <w:r>
        <w:rPr>
          <w:color w:val="777777"/>
          <w:sz w:val="16"/>
        </w:rPr>
        <w:t xml:space="preserve">p222 · att1 p.23  </w:t>
      </w:r>
      <w:r>
        <w:t>The final configured function — not merely the underlying foundation model — should be the primary unit of evaluation.</w:t>
      </w:r>
    </w:p>
    <w:p>
      <w:r>
        <w:rPr>
          <w:color w:val="777777"/>
          <w:sz w:val="16"/>
        </w:rPr>
        <w:t xml:space="preserve">p223 · att1 p.23  </w:t>
      </w:r>
      <w:r>
        <w:t>For an RSG-PD function, the central performance question should be whether the radiologist-plus-VLM workflow produces final reports that are at least as safe and clinically accurate as realistic unaided reporting, without permitting unverified AI output to reach or influence downstream care independently.</w:t>
      </w:r>
    </w:p>
    <w:p>
      <w:r>
        <w:rPr>
          <w:color w:val="777777"/>
          <w:sz w:val="16"/>
        </w:rPr>
        <w:t xml:space="preserve">p224 · att1 p.23  </w:t>
      </w:r>
      <w:r>
        <w:t>Standalone model performance may still be evaluated to identify failure modes, but it should not replace human-AI team performance as the principal evaluation of the intended supervised function.</w:t>
      </w:r>
    </w:p>
    <w:p>
      <w:r>
        <w:rPr>
          <w:color w:val="777777"/>
          <w:sz w:val="16"/>
        </w:rPr>
        <w:t xml:space="preserve">p225 · att1 p.23  </w:t>
      </w:r>
      <w:r>
        <w:t>C. Postmarket Monitoring for GenAI-Enabled Functions — Question 18: When may stronger postmarket monitoring justify greater premarket uncertainty?</w:t>
      </w:r>
    </w:p>
    <w:p>
      <w:r>
        <w:rPr>
          <w:color w:val="777777"/>
          <w:sz w:val="16"/>
        </w:rPr>
        <w:t xml:space="preserve">p226 · att1 p.23  </w:t>
      </w:r>
      <w:r>
        <w:t>Greater reliance on postmarket monitoring may be appropriate when the function: • has limited independent clinical activity; • operates under continuous specialist supervision; • produces an output that remains reversible before clinical reliance; • cannot directly reach a patient or treating clinician; • is technically contained from initiating clinical action; • can be monitored using meaningful real-world performance measures; • can be promptly disabled or rolled back; and • is deployed incrementally under defined thresholds.</w:t>
      </w:r>
    </w:p>
    <w:p>
      <w:r>
        <w:rPr>
          <w:color w:val="777777"/>
          <w:sz w:val="16"/>
        </w:rPr>
        <w:t xml:space="preserve">p227 · att1 p.23  </w:t>
      </w:r>
      <w:r>
        <w:t>A qualifying RSG-PD function possesses many of these characteristics because the radiologist intercepts the output before it enters the patient-care pathway and creates immediate feedback through edits, rejection, or replacement of the text.</w:t>
      </w:r>
    </w:p>
    <w:p>
      <w:r>
        <w:rPr>
          <w:color w:val="777777"/>
          <w:sz w:val="16"/>
        </w:rPr>
        <w:t xml:space="preserve">p228 · att1 p.23  </w:t>
      </w:r>
      <w:r>
        <w:t>Greater premarket uncertainty would be less appropriate for autonomous diagnosis, direct-to-patient or directto-clinician output, irreversible or high-consequence action, time-critical use without meaningful review, or functions for which performance cannot be reliably monitored after deployment.</w:t>
      </w:r>
    </w:p>
    <w:p>
      <w:r>
        <w:rPr>
          <w:color w:val="777777"/>
          <w:sz w:val="16"/>
        </w:rPr>
        <w:t xml:space="preserve">p229 · att1 p.23  </w:t>
      </w:r>
      <w:r>
        <w:t>Question 19: What postmarket monitoring methods, cadence, and triggering events are appropriate?</w:t>
      </w:r>
    </w:p>
    <w:p>
      <w:r>
        <w:rPr>
          <w:color w:val="777777"/>
          <w:sz w:val="16"/>
        </w:rPr>
        <w:t xml:space="preserve">p230 · att1 p.23  </w:t>
      </w:r>
      <w:r>
        <w:t>FDA's proposed approaches — periodic re-benchmarking, sample-based clinician review, and performancedegradation monitoring — are appropriate components of a postmarket program.</w:t>
      </w:r>
    </w:p>
    <w:p>
      <w:r>
        <w:rPr>
          <w:color w:val="777777"/>
          <w:sz w:val="16"/>
        </w:rPr>
        <w:t xml:space="preserve">p231 · att1 p.23  </w:t>
      </w:r>
      <w:r>
        <w:t>Additional measures for RSG-PD functions may include: • clinically significant correction rates; • complete-draft rejection rates; • unsupported additions and significant omissions; • laterality and measurement errors; • subgroup performance; • AI-induced versus AI-corrected radiologist errors; • complaints and safety events;</w:t>
      </w:r>
    </w:p>
    <w:p>
      <w:r>
        <w:rPr>
          <w:color w:val="777777"/>
          <w:sz w:val="16"/>
        </w:rPr>
        <w:t xml:space="preserve">p232 · att1 p.24  </w:t>
      </w:r>
      <w:r>
        <w:t>• workflow containment failures; and • performance by modality, facility, scanner, or protocol.</w:t>
      </w:r>
    </w:p>
    <w:p>
      <w:r>
        <w:rPr>
          <w:color w:val="777777"/>
          <w:sz w:val="16"/>
        </w:rPr>
        <w:t xml:space="preserve">p233 · att1 p.24  </w:t>
      </w:r>
      <w:r>
        <w:t>Monitoring cadence should be proportionate to risk, utilization, and the maturity of the function.</w:t>
      </w:r>
    </w:p>
    <w:p>
      <w:r>
        <w:rPr>
          <w:color w:val="777777"/>
          <w:sz w:val="16"/>
        </w:rPr>
        <w:t xml:space="preserve">p234 · att1 p.24  </w:t>
      </w:r>
      <w:r>
        <w:t>Triggering events should include: • a foundation-model or fine-tuned-model update; • material prompt, retrieval, guardrail, or post-processing changes; • workflow or interface changes; • new modalities or intended populations; • significant changes in scanners or acquisition protocols; • a material change in case mix or disease prevalence; • onboarding of a new facility or materially different reporting environment; • substantial turnover or change in the supervising radiologist pool; • a sustained unexplained change in verbatim-adoption, editing, or rejection patterns; • a safety incident; • evidence of drift; or • breach of a prospectively defined performance threshold.</w:t>
      </w:r>
    </w:p>
    <w:p>
      <w:r>
        <w:rPr>
          <w:color w:val="777777"/>
          <w:sz w:val="16"/>
        </w:rPr>
        <w:t xml:space="preserve">p235 · att1 p.24  </w:t>
      </w:r>
      <w:r>
        <w:t>Question 20: Can machine-based supervisory agents facilitate postmarket monitoring?</w:t>
      </w:r>
    </w:p>
    <w:p>
      <w:r>
        <w:rPr>
          <w:color w:val="777777"/>
          <w:sz w:val="16"/>
        </w:rPr>
        <w:t xml:space="preserve">p236 · att1 p.24  </w:t>
      </w:r>
      <w:r>
        <w:t>Machine-based supervisory agents may help screen large volumes of data, identify unusual outputs, detect drift, and flag cases for human review. They may be particularly useful for identifying laterality inconsistencies, unsupported language, findings-impression contradictions, abnormal correction rates, or deviations from established output patterns.</w:t>
      </w:r>
    </w:p>
    <w:p>
      <w:r>
        <w:rPr>
          <w:color w:val="777777"/>
          <w:sz w:val="16"/>
        </w:rPr>
        <w:t xml:space="preserve">p237 · att1 p.24  </w:t>
      </w:r>
      <w:r>
        <w:t>A supervisory agent should not serve as the sole postmarket safeguard.</w:t>
      </w:r>
    </w:p>
    <w:p>
      <w:r>
        <w:rPr>
          <w:color w:val="777777"/>
          <w:sz w:val="16"/>
        </w:rPr>
        <w:t xml:space="preserve">p238 · att1 p.24  </w:t>
      </w:r>
      <w:r>
        <w:t>Its own performance should be independently evaluated, including: • sensitivity and specificity for the monitored failure modes; • reliability across model versions and clinical settings; • susceptibility to drift; • false-positive burden; • failure visibility; • auditability; and • escalation to qualified human reviewers.</w:t>
      </w:r>
    </w:p>
    <w:p>
      <w:r>
        <w:rPr>
          <w:color w:val="777777"/>
          <w:sz w:val="16"/>
        </w:rPr>
        <w:t xml:space="preserve">p239 · att1 p.24  </w:t>
      </w:r>
      <w:r>
        <w:t>FDA should also consider correlated-failure risk. A supervisory agent built on the same model family, training data, or architecture as the monitored function may share its blind spots.</w:t>
      </w:r>
    </w:p>
    <w:p>
      <w:r>
        <w:rPr>
          <w:color w:val="777777"/>
          <w:sz w:val="16"/>
        </w:rPr>
        <w:t xml:space="preserve">p240 · att1 p.24  </w:t>
      </w:r>
      <w:r>
        <w:t>Machine-based monitoring should therefore supplement periodic human adjudication, not replace it.</w:t>
      </w:r>
    </w:p>
    <w:p>
      <w:r>
        <w:rPr>
          <w:color w:val="777777"/>
          <w:sz w:val="16"/>
        </w:rPr>
        <w:t xml:space="preserve">p241 · att1 p.24  </w:t>
      </w:r>
      <w:r>
        <w:t>Question 21: How should postmarket responsibilities be distributed without diffusing manufacturer accountability?</w:t>
      </w:r>
    </w:p>
    <w:p>
      <w:r>
        <w:rPr>
          <w:color w:val="777777"/>
          <w:sz w:val="16"/>
        </w:rPr>
        <w:t xml:space="preserve">p242 · att1 p.24  </w:t>
      </w:r>
      <w:r>
        <w:t>The developer or manufacturer of the final configured function should remain accountable for its safety, performance, change management, and postmarket monitoring.</w:t>
      </w:r>
    </w:p>
    <w:p>
      <w:r>
        <w:rPr>
          <w:color w:val="777777"/>
          <w:sz w:val="16"/>
        </w:rPr>
        <w:t xml:space="preserve">p243 · att1 p.24  </w:t>
      </w:r>
      <w:r>
        <w:t>Other stakeholders may provide important complementary functions: • healthcare institutions can conduct local validation, monitor site-specific performance, investigate incidents, and restrict or suspend deployment; • clinicians can report recurrent errors, unexpected behavior, and clinically significant discrepancies; • professional societies can develop error taxonomies, clinical performance measures, and specialty-specific evaluation standards;</w:t>
      </w:r>
    </w:p>
    <w:p>
      <w:r>
        <w:rPr>
          <w:color w:val="777777"/>
          <w:sz w:val="16"/>
        </w:rPr>
        <w:t xml:space="preserve">p244 · att1 p.25  </w:t>
      </w:r>
      <w:r>
        <w:t>• standards-setting bodies can establish interoperable monitoring methods and reporting formats; • upstream model providers can disclose relevant changes, limitations, and safety information; and • regulators and public-private consortia can facilitate reporting and signal detection across institutions.</w:t>
      </w:r>
    </w:p>
    <w:p>
      <w:r>
        <w:rPr>
          <w:color w:val="777777"/>
          <w:sz w:val="16"/>
        </w:rPr>
        <w:t xml:space="preserve">p245 · att1 p.25  </w:t>
      </w:r>
      <w:r>
        <w:t>These roles should be defined contractually and operationally, with clear data-sharing and escalation obligations. Shared participation should not permit the developer of the final clinical function to disclaim responsibility or transfer accountability to the clinician or institution.</w:t>
      </w:r>
    </w:p>
    <w:p>
      <w:r>
        <w:rPr>
          <w:color w:val="777777"/>
          <w:sz w:val="16"/>
        </w:rPr>
        <w:t xml:space="preserve">p246 · att1 p.25  </w:t>
      </w:r>
      <w:r>
        <w:t>Question 22: How should re-benchmarking scale to the nature of a modification?</w:t>
      </w:r>
    </w:p>
    <w:p>
      <w:r>
        <w:rPr>
          <w:color w:val="777777"/>
          <w:sz w:val="16"/>
        </w:rPr>
        <w:t xml:space="preserve">p247 · att1 p.25  </w:t>
      </w:r>
      <w:r>
        <w:t>The extent of re-benchmarking should be proportionate to the likelihood that a modification could alter clinical behavior, workflow containment, or the benefit-risk profile.</w:t>
      </w:r>
    </w:p>
    <w:p>
      <w:r>
        <w:rPr>
          <w:color w:val="777777"/>
          <w:sz w:val="16"/>
        </w:rPr>
        <w:t xml:space="preserve">p248 · att1 p.25  </w:t>
      </w:r>
      <w:r>
        <w:t>Changes limited to non-clinical formatting, administrative interfaces, or other functions shown not to affect clinical output may be managed within the quality management system.</w:t>
      </w:r>
    </w:p>
    <w:p>
      <w:r>
        <w:rPr>
          <w:color w:val="777777"/>
          <w:sz w:val="16"/>
        </w:rPr>
        <w:t xml:space="preserve">p249 · att1 p.25  </w:t>
      </w:r>
      <w:r>
        <w:t>More substantial re-evaluation should be required for changes to: • model weights or foundation-model versions; • prompts; • retrieval sources; • guardrails; • clinical-context inputs; • post-processing; • report templates that affect clinical content; • user-interface presentation; • intended users; • intended populations; • autonomy; or • downstream communication pathways.</w:t>
      </w:r>
    </w:p>
    <w:p>
      <w:r>
        <w:rPr>
          <w:color w:val="777777"/>
          <w:sz w:val="16"/>
        </w:rPr>
        <w:t xml:space="preserve">p250 · att1 p.25  </w:t>
      </w:r>
      <w:r>
        <w:t>Changes that expand the intended use, reduce specialist oversight, introduce action-taking behavior, or expose unverified output to clinicians or patients may warrant FDA review before implementation.</w:t>
      </w:r>
    </w:p>
    <w:p>
      <w:r>
        <w:rPr>
          <w:color w:val="777777"/>
          <w:sz w:val="16"/>
        </w:rPr>
        <w:t xml:space="preserve">p251 · att1 p.25  </w:t>
      </w:r>
      <w:r>
        <w:t>PCCPs may be appropriate for bounded and foreseeable categories of change when the modification process, validation methods, acceptance criteria, and rollback requirements are defined in advance.</w:t>
      </w:r>
    </w:p>
    <w:p>
      <w:r>
        <w:rPr>
          <w:color w:val="777777"/>
          <w:sz w:val="16"/>
        </w:rPr>
        <w:t xml:space="preserve">p252 · att1 p.25  </w:t>
      </w:r>
      <w:r>
        <w:t>Question 23: How should PCCPs address future changes that cannot be fully prespecified?</w:t>
      </w:r>
    </w:p>
    <w:p>
      <w:r>
        <w:rPr>
          <w:color w:val="777777"/>
          <w:sz w:val="16"/>
        </w:rPr>
        <w:t xml:space="preserve">p253 · att1 p.25  </w:t>
      </w:r>
      <w:r>
        <w:t>A PCCP need not identify the exact content of every future model modification. It should, however, define the permissible categories and boundaries of change.</w:t>
      </w:r>
    </w:p>
    <w:p>
      <w:r>
        <w:rPr>
          <w:color w:val="777777"/>
          <w:sz w:val="16"/>
        </w:rPr>
        <w:t xml:space="preserve">p254 · att1 p.25  </w:t>
      </w:r>
      <w:r>
        <w:t>A suitable PCCP may specify: • the components that may change; • the intended purpose and maximum scope of those changes; • prohibited changes; • the data and development methods that may be used; • required re-benchmarking and clinical confirmation; • subgroup and human-factors evaluation; • acceptance criteria; • post-deployment monitoring; • version control; and • suspension or rollback procedures.</w:t>
      </w:r>
    </w:p>
    <w:p>
      <w:r>
        <w:rPr>
          <w:color w:val="777777"/>
          <w:sz w:val="16"/>
        </w:rPr>
        <w:t xml:space="preserve">p255 · att1 p.25  </w:t>
      </w:r>
      <w:r>
        <w:t>A PCCP should not function as an open-ended authorization for any future modification.</w:t>
      </w:r>
    </w:p>
    <w:p>
      <w:r>
        <w:rPr>
          <w:color w:val="777777"/>
          <w:sz w:val="16"/>
        </w:rPr>
        <w:t xml:space="preserve">p256 · att1 p.26  </w:t>
      </w:r>
      <w:r>
        <w:t>Changes that fall outside the predefined categories, materially alter intended use, increase autonomy, change the recipient of the output, or create a new pathway to clinical reliance should undergo the otherwise applicable regulatory review.</w:t>
      </w:r>
    </w:p>
    <w:p>
      <w:r>
        <w:rPr>
          <w:color w:val="777777"/>
          <w:sz w:val="16"/>
        </w:rPr>
        <w:t xml:space="preserve">p257 · att1 p.26  </w:t>
      </w:r>
      <w:r>
        <w:t>Question 24: How should manufacturers manage changes made by upstream foundation-model developers?</w:t>
      </w:r>
    </w:p>
    <w:p>
      <w:r>
        <w:rPr>
          <w:color w:val="777777"/>
          <w:sz w:val="16"/>
        </w:rPr>
        <w:t xml:space="preserve">p258 · att1 p.26  </w:t>
      </w:r>
      <w:r>
        <w:t>Manufacturers using third-party foundation models should maintain sufficient technical and contractual control to prevent an upstream change from entering clinical production without evaluation.</w:t>
      </w:r>
    </w:p>
    <w:p>
      <w:r>
        <w:rPr>
          <w:color w:val="777777"/>
          <w:sz w:val="16"/>
        </w:rPr>
        <w:t xml:space="preserve">p259 · att1 p.26  </w:t>
      </w:r>
      <w:r>
        <w:t>Appropriate mechanisms include: • version pinning; • advance notice of material changes; • detailed change logs; • defined support and retirement periods; • audit rights; • access to safety-relevant performance information; • automated detection of model-version changes; • sandbox testing; • validation against established benchmarks; • automatic blocking of unvalidated versions; • rollback capability; and • contractual remedies when required information is not provided.</w:t>
      </w:r>
    </w:p>
    <w:p>
      <w:r>
        <w:rPr>
          <w:color w:val="777777"/>
          <w:sz w:val="16"/>
        </w:rPr>
        <w:t xml:space="preserve">p260 · att1 p.26  </w:t>
      </w:r>
      <w:r>
        <w:t>Where appropriate, anticipated upstream changes may be addressed through a PCCP.</w:t>
      </w:r>
    </w:p>
    <w:p>
      <w:r>
        <w:rPr>
          <w:color w:val="777777"/>
          <w:sz w:val="16"/>
        </w:rPr>
        <w:t xml:space="preserve">p261 · att1 p.26  </w:t>
      </w:r>
      <w:r>
        <w:t>If a sponsor cannot obtain version pinning, advance notice, or sufficient safety-relevant information from an upstream provider, that limitation should be disclosed and considered in the benefit-risk assessment.</w:t>
      </w:r>
    </w:p>
    <w:p>
      <w:r>
        <w:rPr>
          <w:color w:val="777777"/>
          <w:sz w:val="16"/>
        </w:rPr>
        <w:t xml:space="preserve">p262 · att1 p.26  </w:t>
      </w:r>
      <w:r>
        <w:t>Silent or automatic replacement of a clinically deployed foundation model should not be permitted when the change may affect diagnostic behavior or safety. The downstream developer should retain the ability to continue using a validated version, suspend the function, or transition only after the updated configuration has satisfied applicable acceptance criteria.</w:t>
      </w:r>
    </w:p>
    <w:p>
      <w:r>
        <w:rPr>
          <w:color w:val="777777"/>
          <w:sz w:val="16"/>
        </w:rPr>
        <w:t xml:space="preserve">p263 · att1 p.26  </w:t>
      </w:r>
      <w:r>
        <w:t>D. Other Topics — Question 25: Would voluntary Foundation Model MAFs be practical and useful?</w:t>
      </w:r>
    </w:p>
    <w:p>
      <w:r>
        <w:rPr>
          <w:color w:val="777777"/>
          <w:sz w:val="16"/>
        </w:rPr>
        <w:t xml:space="preserve">p264 · att1 p.26  </w:t>
      </w:r>
      <w:r>
        <w:t>Voluntary Foundation Model MAFs could improve regulatory efficiency by allowing an upstream model developer to provide confidential, standardized information that multiple downstream sponsors may reference.</w:t>
      </w:r>
    </w:p>
    <w:p>
      <w:r>
        <w:rPr>
          <w:color w:val="777777"/>
          <w:sz w:val="16"/>
        </w:rPr>
        <w:t xml:space="preserve">p265 · att1 p.26  </w:t>
      </w:r>
      <w:r>
        <w:t>Useful content may include: • model architecture and version; • training-data provenance and general characteristics; • intended supported use cases; • known limitations and failure modes; • healthcare-relevant evaluation results; • subgroup performance; • behavioral constraints and guardrails; • cybersecurity information; • audit-log capabilities; • versioning and retirement policies; and</w:t>
      </w:r>
    </w:p>
    <w:p>
      <w:r>
        <w:rPr>
          <w:color w:val="777777"/>
          <w:sz w:val="16"/>
        </w:rPr>
        <w:t xml:space="preserve">p266 · att1 p.27  </w:t>
      </w:r>
      <w:r>
        <w:t>• commitments to notify downstream developers of material changes.</w:t>
      </w:r>
    </w:p>
    <w:p>
      <w:r>
        <w:rPr>
          <w:color w:val="777777"/>
          <w:sz w:val="16"/>
        </w:rPr>
        <w:t xml:space="preserve">p267 · att1 p.27  </w:t>
      </w:r>
      <w:r>
        <w:t>The program will be useful only if files are maintained, review teams can rely on current information, and downstream sponsors receive sufficient change notifications to manage their own products.</w:t>
      </w:r>
    </w:p>
    <w:p>
      <w:r>
        <w:rPr>
          <w:color w:val="777777"/>
          <w:sz w:val="16"/>
        </w:rPr>
        <w:t xml:space="preserve">p268 · att1 p.27  </w:t>
      </w:r>
      <w:r>
        <w:t>A Foundation Model MAF should not presumptively authorize or classify the underlying model for all potential downstream uses. The developer of the final configured function should remain responsible for demonstrating the safety and performance of that function.</w:t>
      </w:r>
    </w:p>
    <w:p>
      <w:r>
        <w:rPr>
          <w:color w:val="777777"/>
          <w:sz w:val="16"/>
        </w:rPr>
        <w:t xml:space="preserve">p269 · att1 p.27  </w:t>
      </w:r>
      <w:r>
        <w:t>Alternative mechanisms may include contractual disclosure obligations, structured model or system cards, audit rights, independent attestations, standardized APIs for version and change information, and direct confidential regulatory access to safety-relevant documentation.</w:t>
      </w:r>
    </w:p>
    <w:p>
      <w:r>
        <w:rPr>
          <w:color w:val="777777"/>
          <w:sz w:val="16"/>
        </w:rPr>
        <w:t xml:space="preserve">p270 · att1 p.27  </w:t>
      </w:r>
      <w:r>
        <w:t>Question 26: What additional oversight is appropriate for agentic GenAI-enabled devices?</w:t>
      </w:r>
    </w:p>
    <w:p>
      <w:r>
        <w:rPr>
          <w:color w:val="777777"/>
          <w:sz w:val="16"/>
        </w:rPr>
        <w:t xml:space="preserve">p271 · att1 p.27  </w:t>
      </w:r>
      <w:r>
        <w:t>Agentic AI presents additional risk because it may plan and execute multiple steps, use external tools, and take actions with fewer opportunities for human review.</w:t>
      </w:r>
    </w:p>
    <w:p>
      <w:r>
        <w:rPr>
          <w:color w:val="777777"/>
          <w:sz w:val="16"/>
        </w:rPr>
        <w:t xml:space="preserve">p272 · att1 p.27  </w:t>
      </w:r>
      <w:r>
        <w:t>Evaluation should therefore address: • task planning and sequencing; • compliance with intended-use boundaries; • tool-selection and tool-use accuracy; • recognition of erroneous tool outputs; • authorization and permission controls; • human-oversight checkpoints; • handling of interrupted or failed actions; • prompt-injection and cybersecurity resistance; • auditability; • rollback; and • postmarket detection of unexpected action sequences.</w:t>
      </w:r>
    </w:p>
    <w:p>
      <w:r>
        <w:rPr>
          <w:color w:val="777777"/>
          <w:sz w:val="16"/>
        </w:rPr>
        <w:t xml:space="preserve">p273 · att1 p.27  </w:t>
      </w:r>
      <w:r>
        <w:t>High-consequence, irreversible, or clinically material actions should generally require affirmative human confirmation unless the autonomous function has been specifically evaluated and authorized for that use.</w:t>
      </w:r>
    </w:p>
    <w:p>
      <w:r>
        <w:rPr>
          <w:color w:val="777777"/>
          <w:sz w:val="16"/>
        </w:rPr>
        <w:t xml:space="preserve">p274 · att1 p.27  </w:t>
      </w:r>
      <w:r>
        <w:t>A qualifying RSG-PD function is not agentic in the clinical sense addressed by this question. It generates private textual work product and cannot independently communicate, order, treat, escalate, or otherwise act on the patient's care.</w:t>
      </w:r>
    </w:p>
    <w:p>
      <w:r>
        <w:rPr>
          <w:color w:val="777777"/>
          <w:sz w:val="16"/>
        </w:rPr>
        <w:t xml:space="preserve">p275 · att1 p.27  </w:t>
      </w:r>
      <w:r>
        <w:t>The term "agentic AI" should not itself determine device status. Some agentic radiology functions operate only on finalized physician-authored reports or administrative data and perform documentation, routing, coding, communication, or quality-workflow tasks without independently analyzing images or generating diagnostic conclusions. Each function must be assessed according to its particular intended use, but tool use, multi-step planning, or agentic architecture alone should not cause a non-device operational function to be treated as a medical device.</w:t>
      </w:r>
    </w:p>
    <w:p>
      <w:r>
        <w:rPr>
          <w:color w:val="777777"/>
          <w:sz w:val="16"/>
        </w:rPr>
        <w:t xml:space="preserve">p276 · att1 p.27  </w:t>
      </w:r>
      <w:r>
        <w:t>If agentic functions are later combined with pre-drafting — such as autonomous communication, workflow reprioritization, or order initiation — each action-taking function should be separately identified and evaluated according to its intended use and risk.</w:t>
      </w:r>
    </w:p>
    <w:p>
      <w:r>
        <w:rPr>
          <w:color w:val="777777"/>
          <w:sz w:val="16"/>
        </w:rPr>
        <w:t xml:space="preserve">p277 · att1 p.27  </w:t>
      </w:r>
      <w:r>
        <w:t>XVII. Workforce and Public-Health Considerations — Patient safety must remain primary. Regulatory cost or operational convenience cannot justify an unsafe function. FDA should nonetheless consider the public-health consequences of imposing an autonomousdiagnostic evidentiary burden on technology intended only for specialist-supervised drafting.</w:t>
      </w:r>
    </w:p>
    <w:p>
      <w:r>
        <w:rPr>
          <w:color w:val="777777"/>
          <w:sz w:val="16"/>
        </w:rPr>
        <w:t xml:space="preserve">p278 · att1 p.28  </w:t>
      </w:r>
      <w:r>
        <w:t>Radiology practices face sustained pressure from rising imaging volumes, uneven specialist availability, and a workforce pipeline that expands slowly relative to demand. Recent American College of Radiology publications describe persistent supply-and-demand pressure, increasing imaging volumes, and the need to redesign work rather than merely redistribute workload.24</w:t>
      </w:r>
    </w:p>
    <w:p>
      <w:r>
        <w:rPr>
          <w:color w:val="777777"/>
          <w:sz w:val="16"/>
        </w:rPr>
        <w:t xml:space="preserve">p279 · att1 p.28  </w:t>
      </w:r>
      <w:r>
        <w:t>Developing and validating radiology VLMs also depends on feedback from practicing radiologists, and that feedback is difficult to obtain outside clinical practice. Radiologists in active practice do not, as a rule, set aside clinical work to participate in model development; their expertise is applied at the workstation, one examination at a time. A qualifying RSG-PD workflow makes that expertise available to development without asking anything additional of the radiologist. Each time a pre-draft is reviewed against the source images and edited, replaced, or rejected before the radiologist issues the final report, the comparison between the generated text and the radiologist-approved report is itself a labeled observation, produced in the ordinary course of practice and at clinical volume. Patient safety is unchanged, because no report issues without the radiologist’s independent review and signature. If a supervised pre-drafting tool must instead achieve the standalone performance expected of an autonomous diagnostician before any controlled clinical use, that source of real-world feedback is unavailable during the period in which it would matter most. Used under the controlled, offline, versioned process described in Section XIII, this feedback offers a mechanism by which supervised functions can improve over time without any unverified output ever reaching the patient-care pathway.</w:t>
      </w:r>
    </w:p>
    <w:p>
      <w:r>
        <w:rPr>
          <w:color w:val="777777"/>
          <w:sz w:val="16"/>
        </w:rPr>
        <w:t xml:space="preserve">p280 · att1 p.28  </w:t>
      </w:r>
      <w:r>
        <w:t>A proportionate framework can protect patients while allowing shadow testing, representative local validation, limited supervised deployment, collection of real-world error data, controlled improvement, and expansion only when safety is demonstrated. This is consistent with FDA's stated goal of a scientifically rigorous, least-burdensome approach that provides reasonable assurance of safety and effectiveness.25</w:t>
      </w:r>
    </w:p>
    <w:p>
      <w:r>
        <w:rPr>
          <w:color w:val="777777"/>
          <w:sz w:val="16"/>
        </w:rPr>
        <w:t xml:space="preserve">p281 · att1 p.28  </w:t>
      </w:r>
      <w:r>
        <w:t>XVIII. Specific Requested FDA Policy — TMI and RADIN respectfully request that FDA develop guidance substantially consistent with the following principle:</w:t>
      </w:r>
    </w:p>
    <w:p>
      <w:r>
        <w:rPr>
          <w:color w:val="777777"/>
          <w:sz w:val="16"/>
        </w:rPr>
        <w:t xml:space="preserve">p282 · att1 p.28  </w:t>
      </w:r>
      <w:r>
        <w:t>Proposed policy language — FDA intends to exercise enforcement discretion with respect to premarket authorization requirements for a generative artificial intelligence software function that analyzes medical images solely to generate private, non-final report work product for review by the qualified specialist physician independently interpreting those images, when enforceable technical controls, supported by procedural controls, prevent the output from being finalized, communicated, acted upon, or otherwise entering the patient-care pathway before affirmative specialist review.</w:t>
      </w:r>
    </w:p>
    <w:p>
      <w:r>
        <w:rPr>
          <w:color w:val="777777"/>
          <w:sz w:val="16"/>
        </w:rPr>
        <w:t xml:space="preserve">p283 · att1 p.28  </w:t>
      </w:r>
      <w:r>
        <w:t>To qualify, the function should include the following conditions, which correspond to those set out in Section VIII:</w:t>
      </w:r>
    </w:p>
    <w:p>
      <w:r>
        <w:rPr>
          <w:color w:val="777777"/>
          <w:sz w:val="16"/>
        </w:rPr>
        <w:t xml:space="preserve">p284 · att1 p.28  </w:t>
      </w:r>
      <w:r>
        <w:t>1. mandatory specialist access to the complete source images and relevant clinical information before report finalization;</w:t>
      </w:r>
    </w:p>
    <w:p>
      <w:r>
        <w:rPr>
          <w:color w:val="777777"/>
          <w:sz w:val="16"/>
        </w:rPr>
        <w:t xml:space="preserve">p285 · att1 p.28  </w:t>
      </w:r>
      <w:r>
        <w:t>2. restriction of output to the interpreting specialist;</w:t>
      </w:r>
    </w:p>
    <w:p>
      <w:r>
        <w:rPr>
          <w:color w:val="777777"/>
          <w:sz w:val="16"/>
        </w:rPr>
        <w:t xml:space="preserve">p286 · att1 p.28  </w:t>
      </w:r>
      <w:r>
        <w:t>3. clear identification as unverified AI-generated work product;</w:t>
      </w:r>
    </w:p>
    <w:p>
      <w:r>
        <w:rPr>
          <w:color w:val="777777"/>
          <w:sz w:val="16"/>
        </w:rPr>
        <w:t xml:space="preserve">p287 · att1 p.28  </w:t>
      </w:r>
      <w:r>
        <w:t>24 Elizabeth Y. Rula, The Radiologist Shortage: A Workforce Update from HPI, ACR Bulletin (Feb. 5, 2026), https://www.acr.org/Clinical- Resources/Publications-and-Research/ACR-Bulletin/2026/radiologist-shortage-work-force-update; Andrew Moriarity &amp; Gregory N. Nicola, Workforce Economics: How Imaging Practices Are Adapting, ACR Bulletin (Apr. 6, 2026), https://www.acr.org/Clinical- Resources/Publications-and-Research/ACR-Bulletin/2026/workforce-economics. 25 FDA GenAI Discussion Paper, supra note 1, at 1-2 (stating CDRH's goal of a nimble, least-burdensome approach that enables timely access to safe and effective devices); FD&amp;C Act section 513(a)(2), 21 U.S.C. section 360c(a)(2) (reasonable assurance of safety and effectiveness).</w:t>
      </w:r>
    </w:p>
    <w:p>
      <w:r>
        <w:rPr>
          <w:color w:val="777777"/>
          <w:sz w:val="16"/>
        </w:rPr>
        <w:t xml:space="preserve">p288 · att1 p.29  </w:t>
      </w:r>
      <w:r>
        <w:t>4. clinical non-persistence of unverified output outside restricted audit and quality records;</w:t>
      </w:r>
    </w:p>
    <w:p>
      <w:r>
        <w:rPr>
          <w:color w:val="777777"/>
          <w:sz w:val="16"/>
        </w:rPr>
        <w:t xml:space="preserve">p289 · att1 p.29  </w:t>
      </w:r>
      <w:r>
        <w:t>5. prohibition against automatic finalization or passive acceptance;</w:t>
      </w:r>
    </w:p>
    <w:p>
      <w:r>
        <w:rPr>
          <w:color w:val="777777"/>
          <w:sz w:val="16"/>
        </w:rPr>
        <w:t xml:space="preserve">p290 · att1 p.29  </w:t>
      </w:r>
      <w:r>
        <w:t>6. prohibition against downstream communication before review;</w:t>
      </w:r>
    </w:p>
    <w:p>
      <w:r>
        <w:rPr>
          <w:color w:val="777777"/>
          <w:sz w:val="16"/>
        </w:rPr>
        <w:t xml:space="preserve">p291 · att1 p.29  </w:t>
      </w:r>
      <w:r>
        <w:t>7. prohibition against autonomous clinical action;</w:t>
      </w:r>
    </w:p>
    <w:p>
      <w:r>
        <w:rPr>
          <w:color w:val="777777"/>
          <w:sz w:val="16"/>
        </w:rPr>
        <w:t xml:space="preserve">p292 · att1 p.29  </w:t>
      </w:r>
      <w:r>
        <w:t>8. affirmative physician control of the final report;</w:t>
      </w:r>
    </w:p>
    <w:p>
      <w:r>
        <w:rPr>
          <w:color w:val="777777"/>
          <w:sz w:val="16"/>
        </w:rPr>
        <w:t xml:space="preserve">p293 · att1 p.29  </w:t>
      </w:r>
      <w:r>
        <w:t>9. representative local validation;</w:t>
      </w:r>
    </w:p>
    <w:p>
      <w:r>
        <w:rPr>
          <w:color w:val="777777"/>
          <w:sz w:val="16"/>
        </w:rPr>
        <w:t xml:space="preserve">p294 · att1 p.29  </w:t>
      </w:r>
      <w:r>
        <w:t>10. appropriate human-factors evaluation;</w:t>
      </w:r>
    </w:p>
    <w:p>
      <w:r>
        <w:rPr>
          <w:color w:val="777777"/>
          <w:sz w:val="16"/>
        </w:rPr>
        <w:t xml:space="preserve">p295 · att1 p.29  </w:t>
      </w:r>
      <w:r>
        <w:t>11. ongoing performance, drift, and subgroup monitoring;</w:t>
      </w:r>
    </w:p>
    <w:p>
      <w:r>
        <w:rPr>
          <w:color w:val="777777"/>
          <w:sz w:val="16"/>
        </w:rPr>
        <w:t xml:space="preserve">p296 · att1 p.29  </w:t>
      </w:r>
      <w:r>
        <w:t>12. controlled and auditable model changes;</w:t>
      </w:r>
    </w:p>
    <w:p>
      <w:r>
        <w:rPr>
          <w:color w:val="777777"/>
          <w:sz w:val="16"/>
        </w:rPr>
        <w:t xml:space="preserve">p297 · att1 p.29  </w:t>
      </w:r>
      <w:r>
        <w:t>13. rollback and incident-response capability; and — 14. exclusion of autonomous, direct-to-clinician, direct-to-patient, action-directing, and time-critical uses in which meaningful specialist review is not feasible.</w:t>
      </w:r>
    </w:p>
    <w:p>
      <w:r>
        <w:rPr>
          <w:color w:val="777777"/>
          <w:sz w:val="16"/>
        </w:rPr>
        <w:t xml:space="preserve">p298 · att1 p.29  </w:t>
      </w:r>
      <w:r>
        <w:t>These conditions apply specifically to the RSG-PD function. They would not preclude a separately identified image-based worklist-prioritization function from operating within the same platform, including through a shared underlying model, provided that all requirements applicable to the prioritization function are satisfied. The combined configuration should be evaluated for shared-model dependencies, resource contention, and workflow interactions that could affect safety, performance, or preservation of the safeguards applicable to each function.26</w:t>
      </w:r>
    </w:p>
    <w:p>
      <w:r>
        <w:rPr>
          <w:color w:val="777777"/>
          <w:sz w:val="16"/>
        </w:rPr>
        <w:t xml:space="preserve">p299 · att1 p.29  </w:t>
      </w:r>
      <w:r>
        <w:t>FDA should retain and exercise appropriate oversight when any of these safeguards is absent or when AI- generated information becomes available for clinical reliance before specialist verification. If the Agency determines that broad premarket enforcement discretion is not appropriate, it should consider a streamlined low-risk pathway or exemption supported by defined special controls rather than requiring supervised predrafting to satisfy standards designed for autonomous diagnosis.</w:t>
      </w:r>
    </w:p>
    <w:p>
      <w:r>
        <w:rPr>
          <w:color w:val="777777"/>
          <w:sz w:val="16"/>
        </w:rPr>
        <w:t xml:space="preserve">p300 · att1 p.29  </w:t>
      </w:r>
      <w:r>
        <w:t>XIX. Conclusion — Generative AI and VLMs may improve radiology quality, consistency, efficiency, and access, but they also present legitimate risks. Those risks should be addressed directly through validation, human-factors engineering, access controls, monitoring, cybersecurity, auditability, and controlled change management.</w:t>
      </w:r>
    </w:p>
    <w:p>
      <w:r>
        <w:rPr>
          <w:color w:val="777777"/>
          <w:sz w:val="16"/>
        </w:rPr>
        <w:t xml:space="preserve">p301 · att1 p.29  </w:t>
      </w:r>
      <w:r>
        <w:t>They should not be addressed by treating every model capable of image analysis as though it autonomously diagnoses patients. A foundation model's latent capability is not the same as the intended use and risk of the final configured function. A private pre-draft shown only to the responsible specialist is not equivalent to a preliminary report delivered to a clinician. A reversible textual suggestion checked against complete source images is not equivalent to an output the user cannot independently verify. A continuously supervised function is not equivalent to an autonomous function.</w:t>
      </w:r>
    </w:p>
    <w:p>
      <w:r>
        <w:rPr>
          <w:color w:val="777777"/>
          <w:sz w:val="16"/>
        </w:rPr>
        <w:t xml:space="preserve">p302 · att1 p.29  </w:t>
      </w:r>
      <w:r>
        <w:t>A narrowly bounded premarket enforcement-discretion policy for RSG-PD functions would preserve FDA jurisdiction and patient protections while allowing responsible specialist-supervised innovation. TMI and RADIN respectfully request that the Agency preserve these distinctions as it develops its regulatory approach.</w:t>
      </w:r>
    </w:p>
    <w:p>
      <w:r>
        <w:rPr>
          <w:color w:val="777777"/>
          <w:sz w:val="16"/>
        </w:rPr>
        <w:t xml:space="preserve">p303 · att1 p.29  </w:t>
      </w:r>
      <w:r>
        <w:t>26 21 C.F.R. § 892.2080; U.S. Food &amp; Drug Admin., Multiple Function Device Products: Policy and Considerations, §§ V-VII (July 2020), https://www.fda.gov/media/112671/download.</w:t>
      </w:r>
    </w:p>
    <w:p>
      <w:r>
        <w:rPr>
          <w:color w:val="777777"/>
          <w:sz w:val="16"/>
        </w:rPr>
        <w:t xml:space="preserve">p304 · att1 p.30  </w:t>
      </w:r>
      <w:r>
        <w:t>Respectfully submitted,</w:t>
      </w:r>
    </w:p>
    <w:p>
      <w:r>
        <w:rPr>
          <w:color w:val="777777"/>
          <w:sz w:val="16"/>
        </w:rPr>
        <w:t xml:space="preserve">p305 · att1 p.30  </w:t>
      </w:r>
      <w:r>
        <w:t>Alejandro Bugnone, M.D. Chief Executive Officer, Total Medical Imaging, LLC Chief Executive Officer, RADIN, LLC Practicing Radiologist Submitted on behalf of Total Medical Imaging, LLC and RADIN, LLC</w:t>
      </w:r>
    </w:p>
    <w:p>
      <w:pPr>
        <w:pStyle w:val="Heading1"/>
        <w:pageBreakBefore/>
      </w:pPr>
      <w:r>
        <w:t>FDA-2026-N-7874-0121</w:t>
      </w:r>
    </w:p>
    <w:p>
      <w:r>
        <w:t>Comment from STEVEN PAYNE</w:t>
      </w:r>
    </w:p>
    <w:p>
      <w:r>
        <w:rPr>
          <w:color w:val="777777"/>
          <w:sz w:val="18"/>
        </w:rPr>
        <w:t>Health Professional - A0007 · received 2026-09-26 · attachments: attachment_1.pdf (1 pp), attachment_2.pdf (1 pp), attachment_3.pdf (1 pp), attachment_4.pdf (1 pp), attachment_5.pdf (1 pp), attachment_6.pdf (1 pp), attachment_7.pdf (1 pp), attachment_8.pdf (1 pp), attachment_9.pdf (1 pp), attachment_10.pdf (1 pp), attachment_11.pdf (1 pp)</w:t>
      </w:r>
    </w:p>
    <w:p>
      <w:r>
        <w:rPr>
          <w:color w:val="777777"/>
          <w:sz w:val="16"/>
        </w:rPr>
        <w:t xml:space="preserve">p001 · body  </w:t>
      </w:r>
      <w:r>
        <w:t>See attached file(s)</w:t>
      </w:r>
    </w:p>
    <w:p>
      <w:r>
        <w:rPr>
          <w:color w:val="777777"/>
          <w:sz w:val="16"/>
        </w:rPr>
        <w:t xml:space="preserve">p002 · att1 p.1  </w:t>
      </w:r>
      <w:r>
        <w:t>Guideline Contribution - Generative Al in Clinical Assessment and Chronic Care — Centers for Medicare &amp; Medicaid Services. ACCESS (Advancing Chronic Care with Effective, Scalable Solutions) Model. CMS Innovation Center model page, updated September 2026.</w:t>
      </w:r>
    </w:p>
    <w:p>
      <w:r>
        <w:rPr>
          <w:color w:val="777777"/>
          <w:sz w:val="16"/>
        </w:rPr>
        <w:t xml:space="preserve">p003 · att1 p.1  </w:t>
      </w:r>
      <w:r>
        <w:t>Centers for Medicare &amp; Medicaid Services. ACCESS Technical Frequently Asked Questions. 2026.</w:t>
      </w:r>
    </w:p>
    <w:p>
      <w:r>
        <w:rPr>
          <w:color w:val="777777"/>
          <w:sz w:val="16"/>
        </w:rPr>
        <w:t xml:space="preserve">p004 · att1 p.1  </w:t>
      </w:r>
      <w:r>
        <w:t>American Medical Association. CPT Appendix S: Taxonomy for Artificial Intelligence in Medical — Services and Procedures. Updated 2026.</w:t>
      </w:r>
    </w:p>
    <w:p>
      <w:r>
        <w:rPr>
          <w:color w:val="777777"/>
          <w:sz w:val="16"/>
        </w:rPr>
        <w:t xml:space="preserve">p005 · att1 p.1  </w:t>
      </w:r>
      <w:r>
        <w:t>American Medical Association. CPT 2026 code set; remote monitoring and Al-assisted service additions effective January 1, 2026.</w:t>
      </w:r>
    </w:p>
    <w:p>
      <w:r>
        <w:rPr>
          <w:color w:val="777777"/>
          <w:sz w:val="16"/>
        </w:rPr>
        <w:t xml:space="preserve">p006 · att1 p.1  </w:t>
      </w:r>
      <w:r>
        <w:t>American Nurses Association. The Ethical Use of Artificial Intelligence in Nursing Practice. Position statement (2022; revised discussion 2025).</w:t>
      </w:r>
    </w:p>
    <w:p>
      <w:r>
        <w:rPr>
          <w:color w:val="777777"/>
          <w:sz w:val="16"/>
        </w:rPr>
        <w:t xml:space="preserve">p007 · att1 p.1  </w:t>
      </w:r>
      <w:r>
        <w:t>American Nurses Association. Artificial Intelligence in Nursing Practice: Consensus Findings from the ANA AI in Nursing Practice Think Tank. Convened April 22, 2026; released May 2026.</w:t>
      </w:r>
    </w:p>
    <w:p>
      <w:r>
        <w:rPr>
          <w:color w:val="777777"/>
          <w:sz w:val="16"/>
        </w:rPr>
        <w:t xml:space="preserve">p008 · att1 p.1  </w:t>
      </w:r>
      <w:r>
        <w:t>American Academy of Nursing. Position Statement: Artificial Intelligence in Health Care. 2026.</w:t>
      </w:r>
    </w:p>
    <w:p>
      <w:r>
        <w:rPr>
          <w:color w:val="777777"/>
          <w:sz w:val="16"/>
        </w:rPr>
        <w:t xml:space="preserve">p009 · att1 p.1  </w:t>
      </w:r>
      <w:r>
        <w:t>Jiménez-Rodriguez et al. The Integration ofAI into the Nursing Process: A Comparative Analysis of NANDA, NOC, and NIC-Based Care Plans. Nursing Reports 15, no. 6 (2025): 186.</w:t>
      </w:r>
    </w:p>
    <w:p>
      <w:r>
        <w:rPr>
          <w:color w:val="777777"/>
          <w:sz w:val="16"/>
        </w:rPr>
        <w:t xml:space="preserve">p010 · att1 p.1  </w:t>
      </w:r>
      <w:r>
        <w:t>Kowalski et al. Creating Perinatal Nursing Care Plans Using ChatGPT. PMC, 2025. NANDA International; Nursing Interventions Classification; Nursing Outcomes Classification. Standardized nursing language references.</w:t>
      </w:r>
    </w:p>
    <w:p>
      <w:r>
        <w:rPr>
          <w:color w:val="777777"/>
          <w:sz w:val="16"/>
        </w:rPr>
        <w:t xml:space="preserve">p011 · att1 p.1  </w:t>
      </w:r>
      <w:r>
        <w:t>Note on use.</w:t>
      </w:r>
    </w:p>
    <w:p>
      <w:r>
        <w:rPr>
          <w:color w:val="777777"/>
          <w:sz w:val="16"/>
        </w:rPr>
        <w:t xml:space="preserve">p012 · att1 p.1  </w:t>
      </w:r>
      <w:r>
        <w:t>This essay is a professional analysis prepared to assist guideline development and public comment. It is not legal advice, not a filing on behalf of any organization, and not an assertion that any particular software product is a medical device, is cleared, or is payable. Readers who file comments on docket FDA-2026-N-7874 should submit through Regulations.gov in their own name or organizational capacity and should answer the agency’s numbered questions with operational detail from their setting.</w:t>
      </w:r>
    </w:p>
    <w:p>
      <w:r>
        <w:rPr>
          <w:color w:val="777777"/>
          <w:sz w:val="16"/>
        </w:rPr>
        <w:t xml:space="preserve">p013 · att1 p.1  </w:t>
      </w:r>
      <w:r>
        <w:t>Prepared for public comment and professional dialogue - Page 11</w:t>
      </w:r>
    </w:p>
    <w:p>
      <w:r>
        <w:rPr>
          <w:color w:val="777777"/>
          <w:sz w:val="16"/>
        </w:rPr>
        <w:t xml:space="preserve">p014 · att2 p.1  </w:t>
      </w:r>
      <w:r>
        <w:t>Guideline Contribution - Generative Al in Clinical Assessment and Chronic Care — 5. Require postmarket monitoring that includes sample-based clinician review of generative outputs, tracking of nurse or physician override rates, and performance stratified by ACCESS-relevant subgroups.</w:t>
      </w:r>
    </w:p>
    <w:p>
      <w:r>
        <w:rPr>
          <w:color w:val="777777"/>
          <w:sz w:val="16"/>
        </w:rPr>
        <w:t xml:space="preserve">p015 · att2 p.1  </w:t>
      </w:r>
      <w:r>
        <w:t>6. Align payment with Appendix S. Do not allow an ACCESS or RPM claim to conceal Level II or Level III autonomous diagnosis inside an assistive documentation tool.</w:t>
      </w:r>
    </w:p>
    <w:p>
      <w:r>
        <w:rPr>
          <w:color w:val="777777"/>
          <w:sz w:val="16"/>
        </w:rPr>
        <w:t xml:space="preserve">p016 · att2 p.1  </w:t>
      </w:r>
      <w:r>
        <w:t>7. Preserve nursing as a distinct accountable profession in labeling and in quality measures. Time saved on documentation is a valid benefit; disappearance of nursing diagnoses from the record is not.</w:t>
      </w:r>
    </w:p>
    <w:p>
      <w:r>
        <w:rPr>
          <w:color w:val="777777"/>
          <w:sz w:val="16"/>
        </w:rPr>
        <w:t xml:space="preserve">p017 · att2 p.1  </w:t>
      </w:r>
      <w:r>
        <w:t>X. Conclusion — The FDA comment period that closes on October 19, 2026, and the CMS ACCESS expansion that takes new tracks live on April 1, 2027, are not separate stories. One will decide how generative tools are allowed to speak in clinic. The other will decide whether those tools are worth paying for when the patient has heart failure, COPD, diabetes, pain, depression, or a substance use disorder. Guidelines should start where this essay started: with simple principles. Licensed judgment remains the accountable act. Intended use should be honest about autonomy. Risk is autonomy multiplied by harm. The deployed system, not the model card, is what must be competent. Human review must be designed. Equity is safety. Patients should knowwhen a machine is in the room. Payment should follow work and outcome. Nursing should keep its own language. The professions should govern their tools.</w:t>
      </w:r>
    </w:p>
    <w:p>
      <w:r>
        <w:rPr>
          <w:color w:val="777777"/>
          <w:sz w:val="16"/>
        </w:rPr>
        <w:t xml:space="preserve">p018 · att2 p.1  </w:t>
      </w:r>
      <w:r>
        <w:t>From those principles follow practical models. Nursing assessment is the first safe harbor for clinical AI. Physician assessment remains decision-making, not transcription. Robotic and autonomous diagnosis may be charged only inside a defined code, a defined AppendixS level, and a defined liability structure. CPT and clinical practice guidelines are the twin rails that keep generators from inventing unsafe care. An Al-generated nursing care plan can be a high-quality draft if it is bound to diagnosis, vital signs, and presentation, written in NANDA-NIC-NOC, and authenticated by a nurse. An AI Nursing Association, or an equivalent chartered body, can keep that settlement alive as the tools change.</w:t>
      </w:r>
    </w:p>
    <w:p>
      <w:r>
        <w:rPr>
          <w:color w:val="777777"/>
          <w:sz w:val="16"/>
        </w:rPr>
        <w:t xml:space="preserve">p019 · att2 p.1  </w:t>
      </w:r>
      <w:r>
        <w:t>The assistance offered here is not a claim that the technology is ready to practice nursing or medicine. It is a claim that the technology is already in the workflow, that two federal agencies are now writing the tests it will have to pass, and that the safest next step is to write those tests in public, in plain language, before the tools write them for us.</w:t>
      </w:r>
    </w:p>
    <w:p>
      <w:r>
        <w:rPr>
          <w:color w:val="777777"/>
          <w:sz w:val="16"/>
        </w:rPr>
        <w:t xml:space="preserve">p020 · att2 p.1  </w:t>
      </w:r>
      <w:r>
        <w:t>Selected Sources — U.S. Food and Drug Administration. FDA Seeks Public Feedback to Inform Regulatory Approach for Generative Al-Enabled Medical Devices. News release, August 18, 2026. Docket FDA-2026- N-7874; comments due October 19, 2026.</w:t>
      </w:r>
    </w:p>
    <w:p>
      <w:r>
        <w:rPr>
          <w:color w:val="777777"/>
          <w:sz w:val="16"/>
        </w:rPr>
        <w:t xml:space="preserve">p021 · att2 p.1  </w:t>
      </w:r>
      <w:r>
        <w:t>U.S. Food and Drug Administration, Digital Health Center of Excellence. Considerations for the Regulation of Generative Al-Enabled Medical Devices: Discussion Paper and Request for Feedback. August 18, 2026.</w:t>
      </w:r>
    </w:p>
    <w:p>
      <w:r>
        <w:rPr>
          <w:color w:val="777777"/>
          <w:sz w:val="16"/>
        </w:rPr>
        <w:t xml:space="preserve">p022 · att2 p.1  </w:t>
      </w:r>
      <w:r>
        <w:t>Centers for Medicare &amp; Medicaid Services. CMS Adds Medicare Options to Help People Manage Substance Use Disorder, Heart Failure, and Other Common Chronic Conditions. Press release, September 15, 2026.</w:t>
      </w:r>
    </w:p>
    <w:p>
      <w:r>
        <w:rPr>
          <w:color w:val="777777"/>
          <w:sz w:val="16"/>
        </w:rPr>
        <w:t xml:space="preserve">p023 · att2 p.1  </w:t>
      </w:r>
      <w:r>
        <w:t>Prepared for public comment and professional dialogue - Page 10</w:t>
      </w:r>
    </w:p>
    <w:p>
      <w:r>
        <w:rPr>
          <w:color w:val="777777"/>
          <w:sz w:val="16"/>
        </w:rPr>
        <w:t xml:space="preserve">p024 · att3 p.1  </w:t>
      </w:r>
      <w:r>
        <w:t>Guideline Contribution - Generative Al in Clinical Assessment and Chronic Care — C. Core functions that maintain growth</w:t>
      </w:r>
    </w:p>
    <w:p>
      <w:r>
        <w:rPr>
          <w:color w:val="777777"/>
          <w:sz w:val="16"/>
        </w:rPr>
        <w:t xml:space="preserve">p025 · att3 p.1  </w:t>
      </w:r>
      <w:r>
        <w:t>+ Competency framework. Define AI literacy for every registered nurse and advanced competencies for nurses who select, validate, or supervise tools. Align with ANA’s baselineliteracy principle.</w:t>
      </w:r>
    </w:p>
    <w:p>
      <w:r>
        <w:rPr>
          <w:color w:val="777777"/>
          <w:sz w:val="16"/>
        </w:rPr>
        <w:t xml:space="preserve">p026 · att3 p.1  </w:t>
      </w:r>
      <w:r>
        <w:t>* Tool evaluation rubric. Score tools on intended-use honesty, autonomy level, contestability, equity testing, documentation burden, effect on time with patients, and postmarket monitoring. Publish results.</w:t>
      </w:r>
    </w:p>
    <w:p>
      <w:r>
        <w:rPr>
          <w:color w:val="777777"/>
          <w:sz w:val="16"/>
        </w:rPr>
        <w:t xml:space="preserve">p027 · att3 p.1  </w:t>
      </w:r>
      <w:r>
        <w:t>- Standardized language stewardship. Maintain official mappings among NANDA-I, NIC, NOC, SNOMED CT, and local EHR models so generators do not drift into unofficial labels.</w:t>
      </w:r>
    </w:p>
    <w:p>
      <w:r>
        <w:rPr>
          <w:color w:val="777777"/>
          <w:sz w:val="16"/>
        </w:rPr>
        <w:t xml:space="preserve">p028 · att3 p.1  </w:t>
      </w:r>
      <w:r>
        <w:t>+ Docket and payment advocacy. File timely comments on FDA-2026-N-7874 successors, ACCESS evaluation measures, and CPT AppendixS applications that would bill for nursingadjacent autonomous work without nursing input.</w:t>
      </w:r>
    </w:p>
    <w:p>
      <w:r>
        <w:rPr>
          <w:color w:val="777777"/>
          <w:sz w:val="16"/>
        </w:rPr>
        <w:t xml:space="preserve">p029 · att3 p.1  </w:t>
      </w:r>
      <w:r>
        <w:t>- Incident learning. Operate a non-punitive registry of Al-related near misses in nursing workflows, analogous to existing patient-safety organizations.</w:t>
      </w:r>
    </w:p>
    <w:p>
      <w:r>
        <w:rPr>
          <w:color w:val="777777"/>
          <w:sz w:val="16"/>
        </w:rPr>
        <w:t xml:space="preserve">p030 · att3 p.1  </w:t>
      </w:r>
      <w:r>
        <w:t>- Education pipeline. Partner with schools of nursing so that care-plan generators are used to teach reasoning, not to skip it.</w:t>
      </w:r>
    </w:p>
    <w:p>
      <w:r>
        <w:rPr>
          <w:color w:val="777777"/>
          <w:sz w:val="16"/>
        </w:rPr>
        <w:t xml:space="preserve">p031 · att3 p.1  </w:t>
      </w:r>
      <w:r>
        <w:t>+ Public trust. Issue plain-language explanations of what patients should expect when a nurse uses AI, including the right to know and the right to a human decision-maker.</w:t>
      </w:r>
    </w:p>
    <w:p>
      <w:r>
        <w:rPr>
          <w:color w:val="777777"/>
          <w:sz w:val="16"/>
        </w:rPr>
        <w:t xml:space="preserve">p032 · att3 p.1  </w:t>
      </w:r>
      <w:r>
        <w:t>D. A growth sequence, not a bureaucracy — Year one should produce a short standard on Al-generated care plans and documentation, a comment letter to the present FDA docket, and a pilot evaluation rubric used by a handful of health systems. Year two should producea literacy curriculum anda first registry of evaluated tools. Year three should produce a voluntary certification for high-autonomy nursing tools anda research agenda tied to ACCESS chronic-care outcomes. Growth is measured by safer tools and better nursing time, not by membership count alone.</w:t>
      </w:r>
    </w:p>
    <w:p>
      <w:r>
        <w:rPr>
          <w:color w:val="777777"/>
          <w:sz w:val="16"/>
        </w:rPr>
        <w:t xml:space="preserve">p033 · att3 p.1  </w:t>
      </w:r>
      <w:r>
        <w:t>IX. Recommended Positions for Guidelines and for Docket FDA-2026-N-7874 — The following positions are offered as assistance to those drafting comments or institutional guidelines. They are partial answers to the agency’s questions on risk, competency, and monitoring, translated into the language of assessment and chronic care.</w:t>
      </w:r>
    </w:p>
    <w:p>
      <w:r>
        <w:rPr>
          <w:color w:val="777777"/>
          <w:sz w:val="16"/>
        </w:rPr>
        <w:t xml:space="preserve">p034 · att3 p.1  </w:t>
      </w:r>
      <w:r>
        <w:t>1. Adopt the two-axis heuristic and add reversibility, time-to-detection, and presence of a licensed authenticator as explicit modifiers. A wrong care-plan sentence that a nurse must sign is not the same risk as a wrong autonomous order that executes in seconds.</w:t>
      </w:r>
    </w:p>
    <w:p>
      <w:r>
        <w:rPr>
          <w:color w:val="777777"/>
          <w:sz w:val="16"/>
        </w:rPr>
        <w:t xml:space="preserve">p035 · att3 p.1  </w:t>
      </w:r>
      <w:r>
        <w:t>2. Evaluate the deployed configuration. Require sponsors of generative documentation and care-plan tools to benchmark the user-facing product, including prompts, retrieval, and escalation rules.</w:t>
      </w:r>
    </w:p>
    <w:p>
      <w:r>
        <w:rPr>
          <w:color w:val="777777"/>
          <w:sz w:val="16"/>
        </w:rPr>
        <w:t xml:space="preserve">p036 · att3 p.1  </w:t>
      </w:r>
      <w:r>
        <w:t>3. Treat nursing care-plan generators as informational or action-directing devices or as clinical decision support outside device regulation only when they cannot initiate orders and cannot emit a medical diagnosis as a finished act.</w:t>
      </w:r>
    </w:p>
    <w:p>
      <w:r>
        <w:rPr>
          <w:color w:val="777777"/>
          <w:sz w:val="16"/>
        </w:rPr>
        <w:t xml:space="preserve">p037 · att3 p.1  </w:t>
      </w:r>
      <w:r>
        <w:t>4. Require competency evidence for high-consequence recognition tasks that chronic-care tools will actually face: decompensated heart failure, COPD exacerbation, withdrawal, suicidal ideation, and severe hyperglycemia or hypoglycemia.</w:t>
      </w:r>
    </w:p>
    <w:p>
      <w:r>
        <w:rPr>
          <w:color w:val="777777"/>
          <w:sz w:val="16"/>
        </w:rPr>
        <w:t xml:space="preserve">p038 · att3 p.1  </w:t>
      </w:r>
      <w:r>
        <w:t>Prepared for public comment and professional dialogue - Page 9</w:t>
      </w:r>
    </w:p>
    <w:p>
      <w:r>
        <w:rPr>
          <w:color w:val="777777"/>
          <w:sz w:val="16"/>
        </w:rPr>
        <w:t xml:space="preserve">p039 · att4 p.1  </w:t>
      </w:r>
      <w:r>
        <w:t>Guideline Contribution - Generative Al in Clinical Assessment and Chronic Care for nurse review, nursing diagnoses such as excess fluid volume related to compromised regulatory mechanisms as evidenced by weight gain and orthopnea; activity intolerance; and risk for ineffective health management. Outcomes might include fluid balance and activity tolerance at defined dates. Interventions might include daily weight teaching, sodium guidance consistent with the cited heart-failure guideline, early clinician notification parameters, and coordination with the ACCESS organization. The nurse individualizes for cognition, caregiver support, and the patient’s goals. The physician or advanced practice clinician remains responsible for medical therapy change. ACCESS outcome payment still turns on function, symptoms, and quality of life, not on whether a polished plan was generated.</w:t>
      </w:r>
    </w:p>
    <w:p>
      <w:r>
        <w:rPr>
          <w:color w:val="777777"/>
          <w:sz w:val="16"/>
        </w:rPr>
        <w:t xml:space="preserve">p040 · att4 p.1  </w:t>
      </w:r>
      <w:r>
        <w:t>E. Placement on the FDA risk axes — An AI nursing care-plan generator, used as described, is informational and at most actiondirecting. It does not take autonomous clinical action. Consequence of an incorrect draft is real— missed deterioration, wasted effort, or a misleading problem list—but it is mitigated if authentication is mandatory and if high-consequence suggestions (sepsis concern, suicidal ideation, severe withdrawal, acute decompensation) force an interruptive escalation rather than a quiet line in a plan. That is the correct risk cell for first-generation tools. Moving the same generator into unsupervised order entry or autonomous diagnosis would change the cell and should change the regulatory and payment treatment.</w:t>
      </w:r>
    </w:p>
    <w:p>
      <w:r>
        <w:rPr>
          <w:color w:val="777777"/>
          <w:sz w:val="16"/>
        </w:rPr>
        <w:t xml:space="preserve">p041 · att4 p.1  </w:t>
      </w:r>
      <w:r>
        <w:t>Vill. A Model for an Al Nursing Association — Existing organizations have begun the work. ANA issued ethical guidance on AI in nursing practice and, in April 2026, conveneda Think Tank that called for nurse-led guardrails, a nursing AI playbook, literacy as baseline competence, policy advocacy, and cross-sector collaboration. The American Academy of Nursing has urged that AI support rather than supplant clinical judgment and the nurse—patient relationship. Those statements are necessary and not sufficient. They are positions of large professional bodies with many mandates. A dedicated association, or a formally chartered academy within existing structures, is needed to develop and maintain growth of Al into healthcare without losing nursing’s distinct knowledge.</w:t>
      </w:r>
    </w:p>
    <w:p>
      <w:r>
        <w:rPr>
          <w:color w:val="777777"/>
          <w:sz w:val="16"/>
        </w:rPr>
        <w:t xml:space="preserve">p042 · att4 p.1  </w:t>
      </w:r>
      <w:r>
        <w:t>A. Purpose — The association’s purpose would be to set practice standards for AI used in nursing assessment, documentation, care planning, staffing, education, and research; to credential nurses and, where appropriate, systems against those standards; to file comments on FDA, CMS, ONC, and stateboard actions; to maintain an evidence registry of tools evaluated in nursing workflows; and to protect the nurse—patient relationship as the non-negotiable center of care.</w:t>
      </w:r>
    </w:p>
    <w:p>
      <w:r>
        <w:rPr>
          <w:color w:val="777777"/>
          <w:sz w:val="16"/>
        </w:rPr>
        <w:t xml:space="preserve">p043 · att4 p.1  </w:t>
      </w:r>
      <w:r>
        <w:t>B. Membership and governance — Membership should include practicing nurses across settings, nurse informaticists, educators, researchers, regulators, patient representatives, and a minority of vendor liaisons without voting control over standards. Governance should separate standards-setting from industry sponsorship. A public conflict-of-interest register should be mandatory. State boards of nursing and the National Council of State Boards of Nursing should have liaison seats so that license implications ofAl-influenced decisions are addressed rather than discovered in discipline cases.</w:t>
      </w:r>
    </w:p>
    <w:p>
      <w:r>
        <w:rPr>
          <w:color w:val="777777"/>
          <w:sz w:val="16"/>
        </w:rPr>
        <w:t xml:space="preserve">p044 · att4 p.1  </w:t>
      </w:r>
      <w:r>
        <w:t>Prepared for public comment and professional dialogue - Page 8</w:t>
      </w:r>
    </w:p>
    <w:p>
      <w:r>
        <w:rPr>
          <w:color w:val="777777"/>
          <w:sz w:val="16"/>
        </w:rPr>
        <w:t xml:space="preserve">p045 · att5 p.1  </w:t>
      </w:r>
      <w:r>
        <w:t>Guideline Contribution - Generative Al in Clinical Assessment and Chronic Care derived from them: heart-failure guidelines for weight, sodium, and decompensation triggers; COPD guidelines for exacerbation action plans; ADA or equivalent metabolic guidance for glucose and lifestyle targets; pain guidelines that prefer function over reflex opioid escalation; and addiction-medicine guidelines for withdrawal risk and medication for opioid use disorder. The model should cite the guideline clause it used. When no guideline applies, it should say so and escalate to the clinician rather than improvise with confidence.</w:t>
      </w:r>
    </w:p>
    <w:p>
      <w:r>
        <w:rPr>
          <w:color w:val="777777"/>
          <w:sz w:val="16"/>
        </w:rPr>
        <w:t xml:space="preserve">p046 · att5 p.1  </w:t>
      </w:r>
      <w:r>
        <w:t>Vil. A Model for Al-Generated Nursing Care Plans — Published comparisons of nurse-written and large-language-model care plans using NANDA, NOC, and NIC show that models can produce structured, time-saving drafts and, in some simulated cases, score well on standardized rubrics. They also show characteristic errors: substitution of a medical complication for a nursing diagnosis, use of outdated labels, and missing individualization. Those results support a supervised generator, not an unsupervised author.</w:t>
      </w:r>
    </w:p>
    <w:p>
      <w:r>
        <w:rPr>
          <w:color w:val="777777"/>
          <w:sz w:val="16"/>
        </w:rPr>
        <w:t xml:space="preserve">p047 · att5 p.1  </w:t>
      </w:r>
      <w:r>
        <w:t>A. Inputs — The generator should require three input classes and refuse to emit a plan if any class is empty. Diagnosis: medical problem list plus, when available, the ACCESS track or other program enrollment. Vital signs and device data: the current set and the recent trend, with timestamps and source device. Presentation: chief concern, functional status, cognition, safety risks, social context, preferences, and the nurse’s own assessment findings. Optional fourth inputs improve quality: medications, allergies, advance directives, and the last authenticated care plan.</w:t>
      </w:r>
    </w:p>
    <w:p>
      <w:r>
        <w:rPr>
          <w:color w:val="777777"/>
          <w:sz w:val="16"/>
        </w:rPr>
        <w:t xml:space="preserve">p048 · att5 p.1  </w:t>
      </w:r>
      <w:r>
        <w:t>B. Process — Step one maps presentation and vital-sign abnormalities to defining characteristics and related factors in NANDA-I. Step two ranks actual and risk diagnoses by threat to airway, breathing, circulation, safety, and then by patient-priority symptoms. Step three attaches NOC outcomes that are measurable and time-bound. Step four attaches NIC interventions that are permitted by the local protocol and by the cited CPG. Step five writes a short rationale that points back to the triggering data (“weight up 2.1 kg in 48 hours; orthopnea overnight; enrolled in ACCESS heartfailure track”). Step six presents the draft in an editable form with each item marked accepted, edited, or rejected.</w:t>
      </w:r>
    </w:p>
    <w:p>
      <w:r>
        <w:rPr>
          <w:color w:val="777777"/>
          <w:sz w:val="16"/>
        </w:rPr>
        <w:t xml:space="preserve">p049 · att5 p.1  </w:t>
      </w:r>
      <w:r>
        <w:t>C. Outputs and documentation standard — The authenticated plan is the legal document. The draft is a work product. The record should retain both for a defined period so that quality review can measure how often nurses accept machine language unchanged. Unchanged acceptance of high-risk items should be a quality flag, not a productivity trophy. Each plan should carry a version stamp of the model, prompt pack, and guideline library, matching the FDA intuition that the deployed configuration, not an abstract model name, is what must be monitored.</w:t>
      </w:r>
    </w:p>
    <w:p>
      <w:r>
        <w:rPr>
          <w:color w:val="777777"/>
          <w:sz w:val="16"/>
        </w:rPr>
        <w:t xml:space="preserve">p050 · att5 p.1  </w:t>
      </w:r>
      <w:r>
        <w:t>D. Worked sketch: heart-failure presentation — Consider an older adult in an ACCESS heart-failure track whose home scale shows a twokilogram gain, whose resting heart rate has risen, and who reports new pillow orthopnea. The generator should not output “congestive heart failure” as a nursing diagnosis. It should propose,</w:t>
      </w:r>
    </w:p>
    <w:p>
      <w:r>
        <w:rPr>
          <w:color w:val="777777"/>
          <w:sz w:val="16"/>
        </w:rPr>
        <w:t xml:space="preserve">p051 · att5 p.1  </w:t>
      </w:r>
      <w:r>
        <w:t>Prepared for public comment and professional dialogue - Page 7</w:t>
      </w:r>
    </w:p>
    <w:p>
      <w:r>
        <w:rPr>
          <w:color w:val="777777"/>
          <w:sz w:val="16"/>
        </w:rPr>
        <w:t xml:space="preserve">p052 · att6 p.1  </w:t>
      </w:r>
      <w:r>
        <w:t>Guideline Contribution - Generative Al in Clinical Assessment and Chronic Care — Where software itself performsa clinically meaningful analysis, Category I or Category III codes that already describe the analysis should be used, classified under Appendix S. A separate charge for “the robot diagnosed X” is appropriate only when three conditions are met. First, the service matches a defined code whose descriptor contemplates algorithmic interpretation. Second, the autonomy level is disclosed on the claim and in the record. Third, a responsible clinician or organization accepts residual liability and maintains an override path commensurate with that level. Level III autonomous diagnosis that generates a claim without contemporaneous clinician work should be rare, narrowly indicated, and paired with heightened FDA-style competency evidence and postmarket surveillance.</w:t>
      </w:r>
    </w:p>
    <w:p>
      <w:r>
        <w:rPr>
          <w:color w:val="777777"/>
          <w:sz w:val="16"/>
        </w:rPr>
        <w:t xml:space="preserve">p053 · att6 p.1  </w:t>
      </w:r>
      <w:r>
        <w:t>C. Liability is not solved by a code — A billable autonomous output does not answer who is responsible when the output is wrong. Manufacturer duty runs to design, validation, labeling, and change control. Facility duty runs to selection, integration, privilege, and monitoring. Clinician duty runs to appropriate use, contestability, and the decision actually implemented. Insurers have not uniformly confirmed that professional liability policies cover algorithm -initiated management. Guidelines should require that any organization billing for autonomous diagnostic outputs maintain written allocation of these duties, indemnification terms that do not leave the bedside clinician as the sole residual payer, and a patient-facing explanation of what the machine did.</w:t>
      </w:r>
    </w:p>
    <w:p>
      <w:r>
        <w:rPr>
          <w:color w:val="777777"/>
          <w:sz w:val="16"/>
        </w:rPr>
        <w:t xml:space="preserve">p054 · att6 p.1  </w:t>
      </w:r>
      <w:r>
        <w:t>VI. CPT Classification and Clinical Practice Guidelines as Twin Rails — The user request correctly pairs technology with possible CPT codes and with clinical practice guidelines. They are different rails. CPT and HCPCS describe what was done and by what class of actor. CPGs describe what ought to be done given the diagnosis and the evidence. An AI system that proposes a diagnosis or a nursing plan should be constrained by both.</w:t>
      </w:r>
    </w:p>
    <w:p>
      <w:r>
        <w:rPr>
          <w:color w:val="777777"/>
          <w:sz w:val="16"/>
        </w:rPr>
        <w:t xml:space="preserve">p055 · att6 p.1  </w:t>
      </w:r>
      <w:r>
        <w:t>A. A practical coding map for Al documentation and chronic-care tools — Ambient or generative E/M; G2211 only if longitudinal Treat as assistive. Clinician authenticates. Ban unmodified documentation necessity is narrated template language as proof of medical necessity.</w:t>
      </w:r>
    </w:p>
    <w:p>
      <w:r>
        <w:rPr>
          <w:color w:val="777777"/>
          <w:sz w:val="16"/>
        </w:rPr>
        <w:t xml:space="preserve">p056 · att6 p.1  </w:t>
      </w:r>
      <w:r>
        <w:t>Remote vital-sign RPM 99453, 99445/99454, FDA-cleared device. Document days of data, interactive streaming 99470/99457/99458 communication, and clinician or clinical-staff time.</w:t>
      </w:r>
    </w:p>
    <w:p>
      <w:r>
        <w:rPr>
          <w:color w:val="777777"/>
          <w:sz w:val="16"/>
        </w:rPr>
        <w:t xml:space="preserve">p057 · att6 p.1  </w:t>
      </w:r>
      <w:r>
        <w:t>Symptom, therapy, or MSK RTM 98975, 98985/98977, Use for ACCESS musculoskeletal and pulmonary support tracking 98979/98980/98981 when physiologic RPM criteria are not met.</w:t>
      </w:r>
    </w:p>
    <w:p>
      <w:r>
        <w:rPr>
          <w:color w:val="777777"/>
          <w:sz w:val="16"/>
        </w:rPr>
        <w:t xml:space="preserve">p058 · att6 p.1  </w:t>
      </w:r>
      <w:r>
        <w:t>. ae CCM/PCM; ACCESS OAP; ~$30 co- Al may draft the update. The billable act is review plus a Chronic-care coordination ai ; management documented coordination action.</w:t>
      </w:r>
    </w:p>
    <w:p>
      <w:r>
        <w:rPr>
          <w:color w:val="777777"/>
          <w:sz w:val="16"/>
        </w:rPr>
        <w:t xml:space="preserve">p059 · att6 p.1  </w:t>
      </w:r>
      <w:r>
        <w:t>Algorithmic image or signal Specific Category | or Ill Al analysis Classify as assistive, augmentative, or autonomous per analysis codes Appendix S. Do not use a generic Al code.</w:t>
      </w:r>
    </w:p>
    <w:p>
      <w:r>
        <w:rPr>
          <w:color w:val="777777"/>
          <w:sz w:val="16"/>
        </w:rPr>
        <w:t xml:space="preserve">p060 · att6 p.1  </w:t>
      </w:r>
      <w:r>
        <w:t>Autonomous diagnosis or Only if a descriptor exists; Level | Require contestability, competency evidence, and explicit initiation default liability allocation. Treat Level Ill as exceptional.</w:t>
      </w:r>
    </w:p>
    <w:p>
      <w:r>
        <w:rPr>
          <w:color w:val="777777"/>
          <w:sz w:val="16"/>
        </w:rPr>
        <w:t xml:space="preserve">p061 · att6 p.1  </w:t>
      </w:r>
      <w:r>
        <w:t>B. Clinical practice guidelines as the evidence constraint — A generative model that is free to invent interventions will eventually invent unsafe ones. The correct constraint is to bind proposed actions to current CPGs and to institutional protocols</w:t>
      </w:r>
    </w:p>
    <w:p>
      <w:r>
        <w:rPr>
          <w:color w:val="777777"/>
          <w:sz w:val="16"/>
        </w:rPr>
        <w:t xml:space="preserve">p062 · att6 p.1  </w:t>
      </w:r>
      <w:r>
        <w:t>Prepared for public comment and professional dialogue - Page 6</w:t>
      </w:r>
    </w:p>
    <w:p>
      <w:r>
        <w:rPr>
          <w:color w:val="777777"/>
          <w:sz w:val="16"/>
        </w:rPr>
        <w:t xml:space="preserve">p063 · att7 p.1  </w:t>
      </w:r>
      <w:r>
        <w:t>Guideline Contribution - Generative Al in Clinical Assessment and Chronic Care should be reserved for narrowly validated tasks with explicit contestability, such as certain retinal imaging services already recognized in the code set, and should never be the default for open-ended generative diagnosis.</w:t>
      </w:r>
    </w:p>
    <w:p>
      <w:r>
        <w:rPr>
          <w:color w:val="777777"/>
          <w:sz w:val="16"/>
        </w:rPr>
        <w:t xml:space="preserve">p064 · att7 p.1  </w:t>
      </w:r>
      <w:r>
        <w:t>In ACCESS workflows, the physician’s co-management role is review of a care update and a documented coordination action—medication change, problem-list update, monitoring instruction, or referral. Al may draft that update. The billed co-management service is the clinician’s review and action, not the draft. Guidelines should say so plainly, because templateheavy AI notes already create reimbursement risk for codes such as G2211 that require individualized, longitudinal medical necessity rather than boilerplate attestation.</w:t>
      </w:r>
    </w:p>
    <w:p>
      <w:r>
        <w:rPr>
          <w:color w:val="777777"/>
          <w:sz w:val="16"/>
        </w:rPr>
        <w:t xml:space="preserve">p065 · att7 p.1  </w:t>
      </w:r>
      <w:r>
        <w:t>V. Diagnosis with Robots and Machines: Autonomy, Charges, and Liability — A. Three levels of machine diagnosis</w:t>
      </w:r>
    </w:p>
    <w:p>
      <w:r>
        <w:rPr>
          <w:color w:val="777777"/>
          <w:sz w:val="16"/>
        </w:rPr>
        <w:t xml:space="preserve">p066 · att7 p.1  </w:t>
      </w:r>
      <w:r>
        <w:t>The AMA CPT Appendix S taxonomy, revised in 2026, is the most useful existing language for charges. Assistive software supports clinician work with data described as likelihood, suggestive of, or risk for; a physician or other qualified health professional must interpret and report the output. Augmentative software produces clinically meaningful parameters that differ from the input and identify a condition in predictive or prognostic terms; documentation must show that the output contributed to management. Autonomous software derives parameters and independently generates clinically meaningful interpretations. Autonomous work is further divided into three levels. Level I recommends a diagnosis or management option that remains contestable and requires clinician action to implement. Level II initiates diagnosis or management with an alert and an opportunity to override. Level III initiates management that proceeds unless the clinician actively contests it.</w:t>
      </w:r>
    </w:p>
    <w:p>
      <w:r>
        <w:rPr>
          <w:color w:val="777777"/>
          <w:sz w:val="16"/>
        </w:rPr>
        <w:t xml:space="preserve">p067 · att7 p.1  </w:t>
      </w:r>
      <w:r>
        <w:t>The FDA two-axis framework maps onto this taxonomy with unusual cleanliness. Assistive and most augmentative tools sit toward informational and action-directing activity. Autonomous Level II and Level III tools sit at supervised or fully autonomous action. Consequence determines how much evidence and monitoring each cell requires. A robotic kiosk that tells a well adult their cardiovascular risk score is not the same product as a closed-loop robot that initiates insulin, ora generative system that issues a billable diagnosis of heart failure from wearable data without concurrent clinician involvement.</w:t>
      </w:r>
    </w:p>
    <w:p>
      <w:r>
        <w:rPr>
          <w:color w:val="777777"/>
          <w:sz w:val="16"/>
        </w:rPr>
        <w:t xml:space="preserve">p068 · att7 p.1  </w:t>
      </w:r>
      <w:r>
        <w:t>B. Possible charges for machine-assisted and autonomous diagnoses — Charges should follow existing constructs before anyone invents a generic “AI diagnosis” code. Where the clinician performs and documents the assessment, evaluation-and-management codes, chronic-care management, principal-care management, and ACCESS outcome-aligned payments remain the backbone. Wherea device supplies physiologic data, remote physiologic monitoring codes apply, including the 2026 additions that recognize shorter windows: CPT 99445 for device supply with two to fifteen days of data in a thirty-day period, and CPT 99470 for ten to nineteen minutes of treatment management. Traditional 99453, 99454, 99457, and 99458 remain available for setup, sixteen-to-thirty-day supply, and twenty-minute management increments. Remote therapeutic monitoring codes follow a parallel structure for musculoskeletal and respiratory programs relevant to ACCESS tracks.</w:t>
      </w:r>
    </w:p>
    <w:p>
      <w:r>
        <w:rPr>
          <w:color w:val="777777"/>
          <w:sz w:val="16"/>
        </w:rPr>
        <w:t xml:space="preserve">p069 · att7 p.1  </w:t>
      </w:r>
      <w:r>
        <w:t>Prepared for public comment and professional dialogue - Page 5</w:t>
      </w:r>
    </w:p>
    <w:p>
      <w:r>
        <w:rPr>
          <w:color w:val="777777"/>
          <w:sz w:val="16"/>
        </w:rPr>
        <w:t xml:space="preserve">p070 · att8 p.1  </w:t>
      </w:r>
      <w:r>
        <w:t>Guideline Contribution - Generative Al in Clinical Assessment and Chronic Care (ADPIE)—gives AI a bounded job: assemble subjective and objective data, flag missing elements, propose standardized nursing diagnoses, and draft a plan for a licensed nurse to accept or revise.</w:t>
      </w:r>
    </w:p>
    <w:p>
      <w:r>
        <w:rPr>
          <w:color w:val="777777"/>
          <w:sz w:val="16"/>
        </w:rPr>
        <w:t xml:space="preserve">p071 · att8 p.1  </w:t>
      </w:r>
      <w:r>
        <w:t>A. What the machine may do — An AI assessment layer may ingest vital signs, device streams, chief concern, history, medications, allergies, functional status, and presentation. It may organize those data into review-of-systems and focused-assessment formats. It may compare current vital signs against the patient’s baseline and against condition-specific thresholds relevant to ACCESS tracks— blood pressure and weight in heart failure, oxygen saturation and respiratory rate in COPD, pain scores in musculoskeletal disease, and validated symptom scales in depression, anxiety, or substance use disorder. It may propose NANDA-I labels with related factors and defining characteristics, ranked by priority. It may draft SMART outcomes using Nursing Outcomes Classification language and suggest Nursing Interventions Classification actions tied to current clinical practice guidelines.</w:t>
      </w:r>
    </w:p>
    <w:p>
      <w:r>
        <w:rPr>
          <w:color w:val="777777"/>
          <w:sz w:val="16"/>
        </w:rPr>
        <w:t xml:space="preserve">p072 · att8 p.1  </w:t>
      </w:r>
      <w:r>
        <w:t>B. What the machine may not do — The machine may not complete the legal nursing assessment. It may not assign a medical diagnosis. It may not silently drop a finding that does not fit its template. It may not treat a generated care plan as implemented until a nurse reviews, individualizes, and authenticates it. It may not replace the interpersonal work through which nurses detect fear, confusion, cultural meaning, and the small physical changes that do not yet appear in a data stream. ANA’s 2026 Think Tank consensus is direct on this point: AI must support, never replace, nursing judgment; human oversight is non-negotiable; black-box systems are incompatible with professional accountability; and Al literacy is now baseline competence.</w:t>
      </w:r>
    </w:p>
    <w:p>
      <w:r>
        <w:rPr>
          <w:color w:val="777777"/>
          <w:sz w:val="16"/>
        </w:rPr>
        <w:t xml:space="preserve">p073 · att8 p.1  </w:t>
      </w:r>
      <w:r>
        <w:t>C. A simple nursing-assessment architecture — A guideline-ready architecture has five layers. Capture: devices and conversation produce structured and unstructured data, with provenance. Interpretation: models map data to assessment domains and to standardized nursing language. Proposal: the system presents ranked nursing diagnoses, outcomes, and interventions, each with a confidence statement and source links to the triggering data and to a CPG or institutional protocol. Authentication: the nurse accepts, edits, or rejects, and the record stores the human act. Learning: de-identified accepted and rejected proposals feed local quality review, not silent model self-training on identified patient data without governance.</w:t>
      </w:r>
    </w:p>
    <w:p>
      <w:r>
        <w:rPr>
          <w:color w:val="777777"/>
          <w:sz w:val="16"/>
        </w:rPr>
        <w:t xml:space="preserve">p074 · att8 p.1  </w:t>
      </w:r>
      <w:r>
        <w:t>IV. Physician Assessment and the Boundary of Decision Support — Physician assessment is a different legal and cognitive act. History, examination, differential diagnosis, and medical decision-making remain the physician’s or other qualified health professional’s work. AI can reduce documentation burden, surface relevant priors, and retrieve guidelines. It cannot become the attending of record.</w:t>
      </w:r>
    </w:p>
    <w:p>
      <w:r>
        <w:rPr>
          <w:color w:val="777777"/>
          <w:sz w:val="16"/>
        </w:rPr>
        <w:t xml:space="preserve">p075 · att8 p.1  </w:t>
      </w:r>
      <w:r>
        <w:t>For documentation tools, the safe default is assistive under CPT Appendix S: the software provides clinically relevant data, and the clinician interprets and reports. For diagnostic support</w:t>
      </w:r>
    </w:p>
    <w:p>
      <w:r>
        <w:rPr>
          <w:color w:val="777777"/>
          <w:sz w:val="16"/>
        </w:rPr>
        <w:t xml:space="preserve">p076 · att8 p.1  </w:t>
      </w:r>
      <w:r>
        <w:t>—plaque characterization, arrhythmia risk scores, wound classification—the correct default is often augmentative: the software produces clinically meaningful parameters that contribute to management, with documented clinician use of those parameters. Autonomous classification</w:t>
      </w:r>
    </w:p>
    <w:p>
      <w:r>
        <w:rPr>
          <w:color w:val="777777"/>
          <w:sz w:val="16"/>
        </w:rPr>
        <w:t xml:space="preserve">p077 · att8 p.1  </w:t>
      </w:r>
      <w:r>
        <w:t>Prepared for public comment and professional dialogue - Page 4</w:t>
      </w:r>
    </w:p>
    <w:p>
      <w:r>
        <w:rPr>
          <w:color w:val="777777"/>
          <w:sz w:val="16"/>
        </w:rPr>
        <w:t xml:space="preserve">p078 · att9 p.1  </w:t>
      </w:r>
      <w:r>
        <w:t>Guideline Contribution - Generative Al in Clinical Assessment and Chronic Care ll. Foundational Principles: How Al Can Be in Healthcare</w:t>
      </w:r>
    </w:p>
    <w:p>
      <w:r>
        <w:rPr>
          <w:color w:val="777777"/>
          <w:sz w:val="16"/>
        </w:rPr>
        <w:t xml:space="preserve">p079 · att9 p.1  </w:t>
      </w:r>
      <w:r>
        <w:t>The principles below are intentionally simple. Complexity belongs in implementation, not in first principles. They are consistent with the American Nurses Association’s position that AI must support and not replace nursing judgment; with the American Academy of Nursing’s 2026 statement that AI should support rather than supplant human wisdom; with the AMA CPT Appendix S taxonomy that separates assistive, augmentative, and autonomous software; and with the FDA’s emerging two-axis view of activity and consequence.</w:t>
      </w:r>
    </w:p>
    <w:p>
      <w:r>
        <w:rPr>
          <w:color w:val="777777"/>
          <w:sz w:val="16"/>
        </w:rPr>
        <w:t xml:space="preserve">p080 · att9 p.1  </w:t>
      </w:r>
      <w:r>
        <w:t>1. Licensed judgment remains the accountable act. Software may draft, retrieve, score, or recommend. A nurse, physician, or other qualified health professional remains responsible for the assessment, diagnosis, plan, and order that enter the legal record.</w:t>
      </w:r>
    </w:p>
    <w:p>
      <w:r>
        <w:rPr>
          <w:color w:val="777777"/>
          <w:sz w:val="16"/>
        </w:rPr>
        <w:t xml:space="preserve">p081 · att9 p.1  </w:t>
      </w:r>
      <w:r>
        <w:t>2. Intended use must be stated at the lowest defensible level of autonomy. A documentation assistant should not be labeled or marketed as a diagnostician. A care-plan generator should not silently become an order-entry agent.</w:t>
      </w:r>
    </w:p>
    <w:p>
      <w:r>
        <w:rPr>
          <w:color w:val="777777"/>
          <w:sz w:val="16"/>
        </w:rPr>
        <w:t xml:space="preserve">p082 · att9 p.1  </w:t>
      </w:r>
      <w:r>
        <w:t>3. Risk is a product of autonomy and harm, not of marketing language. Informational, reversible, and easily contested outputs require less premarket and postmarket burden than action-directing or autonomous outputs that can delay emergency care, initiate treatment, or generate a billable diagnosis.</w:t>
      </w:r>
    </w:p>
    <w:p>
      <w:r>
        <w:rPr>
          <w:color w:val="777777"/>
          <w:sz w:val="16"/>
        </w:rPr>
        <w:t xml:space="preserve">p083 · att9 p.1  </w:t>
      </w:r>
      <w:r>
        <w:t>4. The unit of evaluation is the deployed system. Foundation models, prompts, retrieval stores, guardrails, and user interface together constitute the device or clinical tool. Benchmarking a model in isolation is not competency assessment of the product patients will meet.</w:t>
      </w:r>
    </w:p>
    <w:p>
      <w:r>
        <w:rPr>
          <w:color w:val="777777"/>
          <w:sz w:val="16"/>
        </w:rPr>
        <w:t xml:space="preserve">p084 · att9 p.1  </w:t>
      </w:r>
      <w:r>
        <w:t>5. Human review is not a slogan. It is a designed control: contestability, override, escalation, and an audit trail that shows who accepted, edited, or rejected an output and why.</w:t>
      </w:r>
    </w:p>
    <w:p>
      <w:r>
        <w:rPr>
          <w:color w:val="777777"/>
          <w:sz w:val="16"/>
        </w:rPr>
        <w:t xml:space="preserve">p085 · att9 p.1  </w:t>
      </w:r>
      <w:r>
        <w:t>6. Equity and representativeness are safety requirements. Performance must be examined across age, sex, race and ethnicity where clinically relevant, language, disability, and care setting, because biased outputs are clinical errors.</w:t>
      </w:r>
    </w:p>
    <w:p>
      <w:r>
        <w:rPr>
          <w:color w:val="777777"/>
          <w:sz w:val="16"/>
        </w:rPr>
        <w:t xml:space="preserve">p086 · att9 p.1  </w:t>
      </w:r>
      <w:r>
        <w:t>7. Transparency to the patient is part of consent. When AI is used in diagnosis, triage, treatment planning, documentation, or decision support, that use should be disclosed in language the patient can understand.</w:t>
      </w:r>
    </w:p>
    <w:p>
      <w:r>
        <w:rPr>
          <w:color w:val="777777"/>
          <w:sz w:val="16"/>
        </w:rPr>
        <w:t xml:space="preserve">p087 · att9 p.1  </w:t>
      </w:r>
      <w:r>
        <w:t>8. Payment must follow work and outcome, not the mere presence of an algorithm. A charge for an Al-generated diagnosis is legitimate only when the service meets a defined CPT or HCPCS construct, a qualified professional remains accountable at the appropriate Appendix S level, and medical necessity is documented.</w:t>
      </w:r>
    </w:p>
    <w:p>
      <w:r>
        <w:rPr>
          <w:color w:val="777777"/>
          <w:sz w:val="16"/>
        </w:rPr>
        <w:t xml:space="preserve">p088 · att9 p.1  </w:t>
      </w:r>
      <w:r>
        <w:t>9. Nursing knowledge has its own formal language. Care plans generated by machines should speak NANDA-I, NIC, and NOC, or an equally standardized local taxonomy, so that nursing work remains measurable rather than absorbed into a physician note.</w:t>
      </w:r>
    </w:p>
    <w:p>
      <w:r>
        <w:rPr>
          <w:color w:val="777777"/>
          <w:sz w:val="16"/>
        </w:rPr>
        <w:t xml:space="preserve">p089 · att9 p.1  </w:t>
      </w:r>
      <w:r>
        <w:t>10. The professions must govern their own tools. Medicine, nursing, pharmacy, and allied fields need standing organizations that can set competencies, comment on dockets, maintain practice standards, and prevent vendor capture of clinical language.</w:t>
      </w:r>
    </w:p>
    <w:p>
      <w:r>
        <w:rPr>
          <w:color w:val="777777"/>
          <w:sz w:val="16"/>
        </w:rPr>
        <w:t xml:space="preserve">p090 · att9 p.1  </w:t>
      </w:r>
      <w:r>
        <w:t>lll. Nursing Assessment as the First Safe Use of Clinical Al — Nursing assessment is the correct place to begin because it is structured, repeated, and already organized by a process that machines can assist without claiming medical diagnosis. The conventional process—assessment, diagnosis, planning, implementation, and evaluation</w:t>
      </w:r>
    </w:p>
    <w:p>
      <w:r>
        <w:rPr>
          <w:color w:val="777777"/>
          <w:sz w:val="16"/>
        </w:rPr>
        <w:t xml:space="preserve">p091 · att9 p.1  </w:t>
      </w:r>
      <w:r>
        <w:t>Prepared for public comment and professional dialogue - Page 3</w:t>
      </w:r>
    </w:p>
    <w:p>
      <w:r>
        <w:rPr>
          <w:color w:val="777777"/>
          <w:sz w:val="16"/>
        </w:rPr>
        <w:t xml:space="preserve">p092 · att10 p.1  </w:t>
      </w:r>
      <w:r>
        <w:t>Guideline Contribution - Generative Al in Clinical Assessment and Chronic Care ranging from informational and non-directive output, through action-directing information, to supervised action and fully autonomous action. The other axis measures the consequence of relying on an incorrect output. Risk rises as a function moves rightward on activity and upward on harm. Second, because GenAI systems accept open-ended inputs and produce variable outputs, the agency is considering a competency-based premarket evaluation modeled at a high level on how physicians are trained and examined: non-clinical device benchmarking followed by clinical confirmation of the final user-facing device as configured for real-world use, not of a foundation model standing alone.</w:t>
      </w:r>
    </w:p>
    <w:p>
      <w:r>
        <w:rPr>
          <w:color w:val="777777"/>
          <w:sz w:val="16"/>
        </w:rPr>
        <w:t xml:space="preserve">p093 · att10 p.1  </w:t>
      </w:r>
      <w:r>
        <w:t>Those concepts matter for documentation tools and chronic-care software. An ambient scribe that drafts a note is not the same product as a system that recommends a diagnosis, initiates an order, or generates a billable autonomous interpretation. Guidelines should force that distinction into intended-use statements, labeling, human-oversight design, and postmarket monitoring.</w:t>
      </w:r>
    </w:p>
    <w:p>
      <w:r>
        <w:rPr>
          <w:color w:val="777777"/>
          <w:sz w:val="16"/>
        </w:rPr>
        <w:t xml:space="preserve">p094 · att10 p.1  </w:t>
      </w:r>
      <w:r>
        <w:t>B. The CMS ACCESS expansion: judging the outcome — ACCESS is a ten-year CMS Innovation Center model that began July 5, 2026, and is scheduled to run through June 30, 2036. It tests outcome-aligned payments for technology-supported chronic care in Original Medicare. Participating organizations receive predictable payments for managing qualifying conditions and earn the full amount only when patients meet defined health goals. The initial tracks address early cardio-kidney-metabolic conditions, established cardio-kidney-metabolic disease, chronic musculoskeletal pain, and behavioral health. The September 2026 expansion adds heart failure, COPD, substance use disorder, and tobacco cessation, plus a follow-on musculoskeletal track, with new tracks starting April 1, 2027. CMS estimates that three of four people with Medicare now qualify for at least one track. Approximately 160 organizations were participating at launch, with rolling applications continuing through 2033.</w:t>
      </w:r>
    </w:p>
    <w:p>
      <w:r>
        <w:rPr>
          <w:color w:val="777777"/>
          <w:sz w:val="16"/>
        </w:rPr>
        <w:t xml:space="preserve">p095 · att10 p.1  </w:t>
      </w:r>
      <w:r>
        <w:t>ACCESS is not a device-authorization pathway. It is a payment and accountability pathway. CMS has stated that services may include clinician consultations, lifestyle and behavioral support, medication management, care coordination, and use of FDA-cleared hardware and software, including Al-enabled technologies and connected devices. Primary care clinicians may bill a comanagement payment, approximately thirty dollars subject to geographic adjustment, for reviewing ACCESS care updates and documentinga related coordination action. The model therefore creates demand for AI documentation, remote monitoring, and care-planning tools— and simultaneously creates a performance standard against which those tools will be judged: did blood pressure, symptoms, function, or recovery actually improve?</w:t>
      </w:r>
    </w:p>
    <w:p>
      <w:r>
        <w:rPr>
          <w:color w:val="777777"/>
          <w:sz w:val="16"/>
        </w:rPr>
        <w:t xml:space="preserve">p096 · att10 p.1  </w:t>
      </w:r>
      <w:r>
        <w:t>C. The joint test for Al documentation and chronic-care tools — A tool that drafts notes, proposes nursing diagnoses, or triages remote vital signs will now face two audiences at once. FDA will ask whether the function is informational or action-taking, how severe an error would be, whether competency has been shown on the deployed system, and how drift, hallucination, and foundation-model change will be monitored. CMS, through ACCESS and related remote-care payment policy, will ask whether the same tool supports measurable chronic-care outcomes without inflating claims or displacing the referring clinician. Guidelines that ignore either audience will be incomplete. Guidelines that begin with simple principles, then map those principles onto assessment, diagnosis, coding, and professional organization, can serve both.</w:t>
      </w:r>
    </w:p>
    <w:p>
      <w:r>
        <w:rPr>
          <w:color w:val="777777"/>
          <w:sz w:val="16"/>
        </w:rPr>
        <w:t xml:space="preserve">p097 · att10 p.1  </w:t>
      </w:r>
      <w:r>
        <w:t>Prepared for public comment and professional dialogue - Page 2</w:t>
      </w:r>
    </w:p>
    <w:p>
      <w:r>
        <w:rPr>
          <w:color w:val="777777"/>
          <w:sz w:val="16"/>
        </w:rPr>
        <w:t xml:space="preserve">p098 · att11 p.1  </w:t>
      </w:r>
      <w:r>
        <w:t>Guideline Contribution - Generative Al in Clinical Assessment and Chronic Care — POLICY ESSAY AND GUIDELINE CONTRIBUTION</w:t>
      </w:r>
    </w:p>
    <w:p>
      <w:r>
        <w:rPr>
          <w:color w:val="777777"/>
          <w:sz w:val="16"/>
        </w:rPr>
        <w:t xml:space="preserve">p099 · att11 p.1  </w:t>
      </w:r>
      <w:r>
        <w:t>Foundational Principles for Artificial Intelligence in Healthcare: Nursing and Physician Assessment, Autonomous Diagnosis, Coding, Care Planning, and Professional Stewardship</w:t>
      </w:r>
    </w:p>
    <w:p>
      <w:r>
        <w:rPr>
          <w:color w:val="777777"/>
          <w:sz w:val="16"/>
        </w:rPr>
        <w:t xml:space="preserve">p100 · att11 p.1  </w:t>
      </w:r>
      <w:r>
        <w:t>A structured contribution toward FDA docket FDA-2026-N-7874 and alignment with the CMS ACCESS Model expansion</w:t>
      </w:r>
    </w:p>
    <w:p>
      <w:r>
        <w:rPr>
          <w:color w:val="777777"/>
          <w:sz w:val="16"/>
        </w:rPr>
        <w:t xml:space="preserve">p101 · att11 p.1  </w:t>
      </w:r>
      <w:r>
        <w:t>Comment deadline: October 19, 2026 - Prepared September 24, 2026 — Abstract — Two federal actions in 2026 are jointly defining how artificial intelligence will be judged in American healthcare. On August 18, 2026, the Food and Drug Administration (FDA) issued a discussion paper on the regulation of generative artificial intelligence (GenAI)—enabled medical devices and opened docket FDA-2026-N-7874 for public comment through October 19, 2026. On September 15, 2026, the Centers for Medicare &amp; Medicaid Services (CMS) expanded the Advancing Chronic Care with Effective, Scalable Solutions (ACCESS) Model, adding heart failure, chronic obstructive pulmonary disease, substance use disorder, and tobacco cessation tracks beginning April 1, 2027. Together, these moves establish a dual test: devices and documentation tools will be judged first by safety, competency, and lifecycle risk, and second by whether they produce measurable improvement in chronic conditions under outcome-aligned payment.</w:t>
      </w:r>
    </w:p>
    <w:p>
      <w:r>
        <w:rPr>
          <w:color w:val="777777"/>
          <w:sz w:val="16"/>
        </w:rPr>
        <w:t xml:space="preserve">p102 · att11 p.1  </w:t>
      </w:r>
      <w:r>
        <w:t>This essay offers assistance in developing guidelines. It begins with simple foundational principles. It then specifies how those principles apply to nursing assessment, physician assessment, robotic and autonomous diagnosis (including charges), Current Procedural Terminology (CPT) classification, clinical practice guidelines (CPGs) as an evidence layer, anda practical model for Al-generated nursing care plans based on diagnosis, vital signs, and presentation. It concludes with a model for an AI Nursing Association capable of developing and maintaining the profession’s growth into Al-enabled care. The governing idea is modest and firm: artificial intelligence may inform, organize, and scale clinical work; it may not replace licensed judgment, patient consent, or accountable human review.</w:t>
      </w:r>
    </w:p>
    <w:p>
      <w:r>
        <w:rPr>
          <w:color w:val="777777"/>
          <w:sz w:val="16"/>
        </w:rPr>
        <w:t xml:space="preserve">p103 · att11 p.1  </w:t>
      </w:r>
      <w:r>
        <w:t>1. Why These Two Moves Must Be Read Together — A. The FDA discussion paper: judging the tool</w:t>
      </w:r>
    </w:p>
    <w:p>
      <w:r>
        <w:rPr>
          <w:color w:val="777777"/>
          <w:sz w:val="16"/>
        </w:rPr>
        <w:t xml:space="preserve">p104 · att11 p.1  </w:t>
      </w:r>
      <w:r>
        <w:t>The FDA’s Digital Health Center of Excellence, within the Center for Devices and Radiological Health, published Considerations for the Regulation of Generative AIl-Enabled Medical Devices as a discussion paper, not as draft or final guidance. The paper is explicit that it does not establish policy, does not set evidentiary requirements for future submissions, and does not resolve whether the approaches discussed fall within existing legal authorities. Its purpose is to solicit early input on four clusters of questions: risk assessment, premarket evaluation, postmarket monitoring, and issues specific to foundation models and agentic systems.</w:t>
      </w:r>
    </w:p>
    <w:p>
      <w:r>
        <w:rPr>
          <w:color w:val="777777"/>
          <w:sz w:val="16"/>
        </w:rPr>
        <w:t xml:space="preserve">p105 · att11 p.1  </w:t>
      </w:r>
      <w:r>
        <w:t>Two ideas in the paper should shape any guideline contribution. First, the agency proposes a two-axis risk heuristic. One axis measures the degree and independence of device activity,</w:t>
      </w:r>
    </w:p>
    <w:p>
      <w:r>
        <w:rPr>
          <w:color w:val="777777"/>
          <w:sz w:val="16"/>
        </w:rPr>
        <w:t xml:space="preserve">p106 · att11 p.1  </w:t>
      </w:r>
      <w:r>
        <w:t>Prepared for public comment and professional dialogue - Page 1</w:t>
      </w:r>
    </w:p>
    <w:p>
      <w:pPr>
        <w:pStyle w:val="Heading1"/>
        <w:pageBreakBefore/>
      </w:pPr>
      <w:r>
        <w:t>FDA-2026-N-7874-0122</w:t>
      </w:r>
    </w:p>
    <w:p>
      <w:r>
        <w:t>Comment from Steven Zhao</w:t>
      </w:r>
    </w:p>
    <w:p>
      <w:r>
        <w:rPr>
          <w:color w:val="777777"/>
          <w:sz w:val="18"/>
        </w:rPr>
        <w:t>received 2026-09-26 · attachments: attachment_1.pdf (3 pp)</w:t>
      </w:r>
    </w:p>
    <w:p>
      <w:r>
        <w:rPr>
          <w:color w:val="777777"/>
          <w:sz w:val="16"/>
        </w:rPr>
        <w:t xml:space="preserve">p001 · body  </w:t>
      </w:r>
      <w:r>
        <w:t>See attached file(s)</w:t>
      </w:r>
    </w:p>
    <w:p>
      <w:r>
        <w:rPr>
          <w:color w:val="777777"/>
          <w:sz w:val="16"/>
        </w:rPr>
        <w:t xml:space="preserve">p002 · att1 p.1  </w:t>
      </w:r>
      <w:r>
        <w:t>Supplemental Comment — Docket No. FDA-2026-N-7874 (Round 2: Agentic AI and Foundation Models, **v1.0**)</w:t>
      </w:r>
    </w:p>
    <w:p>
      <w:r>
        <w:rPr>
          <w:color w:val="777777"/>
          <w:sz w:val="16"/>
        </w:rPr>
        <w:t xml:space="preserve">p003 · att1 p.1  </w:t>
      </w:r>
      <w:r>
        <w:t>Docket: FDA-2026-N-7874 — Considerations for the Regulation of Generative AI-Enabled Medical Devices: Discussion Paper and Request for Feedback (FDA / CDRH / DHCoE; released 2026-08-18) Comment period closes: October 19, 2026 (verified 2026-09-26) Submitter type: Individual (no organizational affiliation) Submitter: Steven Zhao — independent medical device regulatory practitioner Nature: Supplemental comment. Builds on my earlier comment in this docket (posted 2026-09-15, docket comment id FDA-2026-N-7874-0093). This comment does not repeat that submission; it addresses the paper's treatment of agentic AI systems and foundation models with operational proposals.</w:t>
      </w:r>
    </w:p>
    <w:p>
      <w:r>
        <w:rPr>
          <w:color w:val="777777"/>
          <w:sz w:val="16"/>
        </w:rPr>
        <w:t xml:space="preserve">p004 · att1 p.1  </w:t>
      </w:r>
      <w:r>
        <w:t>Document note: this comment was drafted with AI tools and reviewed and approved by the named submitter, who takes full responsibility for its content. The mechanisms described below were additionally prototyped in a small working demonstration (a state-machine implementation, not a medical product) to verify they can be expressed in runnable form; no claims of clinical validity are made or implied.</w:t>
      </w:r>
    </w:p>
    <w:p>
      <w:r>
        <w:rPr>
          <w:color w:val="777777"/>
          <w:sz w:val="16"/>
        </w:rPr>
        <w:t xml:space="preserve">p005 · att1 p.1  </w:t>
      </w:r>
      <w:r>
        <w:t>--- — Executive summary — 1. For agentic AI-enabled devices, I recommend FDA adopt an entity-level registration spine: the agent, the model(s), the external tools/data sources it can invoke, and the datasets used to qualify it should each be registered, versioned, and linked — so that "the device" is a reviewable configuration, not a moving target. 2. I recommend framing agentic behavior change as evidence-gated state transitions: a change (model update, tool change, dataset refresh, capability expansion) is a transition that is only valid when its pre-specified evidence requirements are met; an unmet requirement makes the transition invalid rather than merely discouraged. 3. For postmarket monitoring, I recommend FDA name silent failure patterns explicitly in its postmarket discussion: degraded input populations with stable headline accuracy; tool or data sources that have aged out of validity without an error signal; and agent behavior that deviates from declared workflows without raising exceptions. 4. I recommend the framework treat human authorization as a required state transition for capability expansion: an agentic device should not be able to move into a higher-impact capability tier through in-use learning or orchestration drift; that transition must be human-authorized and evidence-carrying, with the authority to grant it kept distinct from the technical capability to perform it. 5. These four recommendations are expressible with machinery manufacturers already run (design controls, change management, audit trails) and are offered as operational additions to Sections VI–VII of the discussion paper.</w:t>
      </w:r>
    </w:p>
    <w:p>
      <w:r>
        <w:rPr>
          <w:color w:val="777777"/>
          <w:sz w:val="16"/>
        </w:rPr>
        <w:t xml:space="preserve">p006 · att1 p.1  </w:t>
      </w:r>
      <w:r>
        <w:t>--- — Thank you for the opportunity to provide a second round of input. I remain an independent practitioner submitting in my personal capacity. My first comment responded to all 26 discussion questions with emphasis on benchmark governance and change control. This supplemental comment responds specifically to the paper's discussions of foundation models and agentic AI systems, because agentic deployments change the reviewable unit: what must be evaluated and monitored is no longer only a model's outputs, but a configuration of entities whose composition can change after clearance.</w:t>
      </w:r>
    </w:p>
    <w:p>
      <w:r>
        <w:rPr>
          <w:color w:val="777777"/>
          <w:sz w:val="16"/>
        </w:rPr>
        <w:t xml:space="preserve">p007 · att1 p.1  </w:t>
      </w:r>
      <w:r>
        <w:t>1. An entity-level registration spine for agentic devices — The discussion paper asks how risk assessment should account for agentic systems. I suggest the starting point is definitional: an agentic device is not one artifact but a set of entities acting together — at minimum (i) the agent itself (the orchestrating software entity that persists across sessions), (ii) the model or models it invokes, (iii) the external tools and data sources it is authorized to call, and (iv) the datasets used to qualify the overall configuration.</w:t>
      </w:r>
    </w:p>
    <w:p>
      <w:r>
        <w:rPr>
          <w:color w:val="777777"/>
          <w:sz w:val="16"/>
        </w:rPr>
        <w:t xml:space="preserve">p008 · att1 p.1  </w:t>
      </w:r>
      <w:r>
        <w:t>For each entity class, registration would capture identity, version, and permissions (what that entity is allowed to do within the device). Four practical consequences follow:</w:t>
      </w:r>
    </w:p>
    <w:p>
      <w:r>
        <w:rPr>
          <w:color w:val="777777"/>
          <w:sz w:val="16"/>
        </w:rPr>
        <w:t xml:space="preserve">p009 · att1 p.2  </w:t>
      </w:r>
      <w:r>
        <w:t>• Reviewable configuration. The premarket submission can pin a specific configuration graph ("agent v1.0 + model v1.0 + imaging database v2026.09 + qualification dataset rev Q3"). Reviewers evaluate a frozen configuration, exactly as they evaluate a frozen software version today.</w:t>
      </w:r>
    </w:p>
    <w:p>
      <w:r>
        <w:rPr>
          <w:color w:val="777777"/>
          <w:sz w:val="16"/>
        </w:rPr>
        <w:t xml:space="preserve">p010 · att1 p.2  </w:t>
      </w:r>
      <w:r>
        <w:t>• Traceable drift. Any postmarket deviation from the registered graph (a new tool invoked, a new model swapped in, a dataset out of its declared validity window) becomes a detectable, reportable event rather than an invisible drift.</w:t>
      </w:r>
    </w:p>
    <w:p>
      <w:r>
        <w:rPr>
          <w:color w:val="777777"/>
          <w:sz w:val="16"/>
        </w:rPr>
        <w:t xml:space="preserve">p011 · att1 p.2  </w:t>
      </w:r>
      <w:r>
        <w:t>• Assignment of accountability. When a third-party foundation model sits behind the agent, the registration spine makes explicit which entity the sponsor controls and which it only references — connecting to the paper's Foundation Model Master Files discussion without conflating the sponsor's device with the foundation model.</w:t>
      </w:r>
    </w:p>
    <w:p>
      <w:r>
        <w:rPr>
          <w:color w:val="777777"/>
          <w:sz w:val="16"/>
        </w:rPr>
        <w:t xml:space="preserve">p012 · att1 p.2  </w:t>
      </w:r>
      <w:r>
        <w:t>• Audit artifacts. Each registration event and each configuration change leaves a hash-chained record; the audit trail is the enforceable core, not an afterthought.</w:t>
      </w:r>
    </w:p>
    <w:p>
      <w:r>
        <w:rPr>
          <w:color w:val="777777"/>
          <w:sz w:val="16"/>
        </w:rPr>
        <w:t xml:space="preserve">p013 · att1 p.2  </w:t>
      </w:r>
      <w:r>
        <w:t>None of this requires new legal authority; it reuses device identification, software versioning, and supplier-control concepts the industry already practices, extended to the agent/tool/dataset entities that the paper's current element set touches only through the single agentic element (A.1).</w:t>
      </w:r>
    </w:p>
    <w:p>
      <w:r>
        <w:rPr>
          <w:color w:val="777777"/>
          <w:sz w:val="16"/>
        </w:rPr>
        <w:t xml:space="preserve">p014 · att1 p.2  </w:t>
      </w:r>
      <w:r>
        <w:t>2. Evidence-gated state transitions as the operational core of change control — My first comment proposed predetermined-gate change control as an evolution of PCCP. This comment proposes the underlying formal shape, because agentic systems need it to be exact: every lifecycle-affecting change is a state transition, and a transition is valid only when its declared evidence requirements are satisfied.</w:t>
      </w:r>
    </w:p>
    <w:p>
      <w:r>
        <w:rPr>
          <w:color w:val="777777"/>
          <w:sz w:val="16"/>
        </w:rPr>
        <w:t xml:space="preserve">p015 · att1 p.2  </w:t>
      </w:r>
      <w:r>
        <w:t>Concretely, a sponsor would declare, per transition type, the evidence that must exist before the transition may occur. Illustrative minimum set:</w:t>
      </w:r>
    </w:p>
    <w:p>
      <w:r>
        <w:rPr>
          <w:color w:val="777777"/>
          <w:sz w:val="16"/>
        </w:rPr>
        <w:t xml:space="preserve">p016 · att1 p.2  </w:t>
      </w:r>
      <w:r>
        <w:t>Transition — Illustrative evidence requirement (pre-declared by sponsor) --- — --- Initial activation — Non-clinical benchmark results; clinical confirmation per the paper's premarket approach Model update — Version manifest; benchmark re-run; clinical review where risk class warrants Tool or data-source change — Provenance and validity evidence for the new source; regression results Return to service after a monitoring pause — Re-verification evidence; release note documenting the monitored condition and the recovery rationale</w:t>
      </w:r>
    </w:p>
    <w:p>
      <w:r>
        <w:rPr>
          <w:color w:val="777777"/>
          <w:sz w:val="16"/>
        </w:rPr>
        <w:t xml:space="preserve">p017 · att1 p.2  </w:t>
      </w:r>
      <w:r>
        <w:t>Two properties matter for regulation. First, invalidity, not discouragement: if the evidence requirement is unmet, the transition does not occur — the system records a denial receipt. This gives FDA a binary, inspectable condition instead of a judgment call made after deployment. Second, re-qualification is non-monotonic: a device that was paused for a monitored condition returns to service only through a new evidence-carrying transition, not by the passage of time or by a self-declared recovery. This "resume only through the gate" property is what keeps postmarket pause authorities meaningful for self-adjusting systems.</w:t>
      </w:r>
    </w:p>
    <w:p>
      <w:r>
        <w:rPr>
          <w:color w:val="777777"/>
          <w:sz w:val="16"/>
        </w:rPr>
        <w:t xml:space="preserve">p018 · att1 p.2  </w:t>
      </w:r>
      <w:r>
        <w:t>The discussion paper's premarket competency frame evaluates whether the device performs as intended before reaching patients. The state-transition frame extends the same evidentiary logic to every later change of the deployed configuration, so that the premarket and postmarket halves of the framework share one spine rather than two vocabularies.</w:t>
      </w:r>
    </w:p>
    <w:p>
      <w:r>
        <w:rPr>
          <w:color w:val="777777"/>
          <w:sz w:val="16"/>
        </w:rPr>
        <w:t xml:space="preserve">p019 · att1 p.2  </w:t>
      </w:r>
      <w:r>
        <w:t>3. Naming silent failures in postmarket monitoring — The paper invites comment on risk-proportionate postmarket monitoring. For agentic and continuously adjusting devices, I recommend FDA explicitly name silent failure patterns — failure modes that produce no error signal and can pass conventional performance dashboards:</w:t>
      </w:r>
    </w:p>
    <w:p>
      <w:r>
        <w:rPr>
          <w:color w:val="777777"/>
          <w:sz w:val="16"/>
        </w:rPr>
        <w:t xml:space="preserve">p020 · att1 p.2  </w:t>
      </w:r>
      <w:r>
        <w:t>• Population drift with stable headline accuracy. Aggregate accuracy can hold steady while performance on a shifted subpopulation degrades. Monitoring should therefore track input-distribution drift as a first-class signal, not only output quality.</w:t>
      </w:r>
    </w:p>
    <w:p>
      <w:r>
        <w:rPr>
          <w:color w:val="777777"/>
          <w:sz w:val="16"/>
        </w:rPr>
        <w:t xml:space="preserve">p021 · att1 p.2  </w:t>
      </w:r>
      <w:r>
        <w:t>• Expired inputs in active use. A tool, database, or dataset the agent still invokes may have moved outside its declared validity window without generating an exception; staleness should be monitored as a lifecycle event, not discovered at the next scheduled review.</w:t>
      </w:r>
    </w:p>
    <w:p>
      <w:r>
        <w:rPr>
          <w:color w:val="777777"/>
          <w:sz w:val="16"/>
        </w:rPr>
        <w:t xml:space="preserve">p022 · att1 p.3  </w:t>
      </w:r>
      <w:r>
        <w:t>• Path deviation without exceptions. An agent can complete tasks through workflows that diverge from its declared operating envelope — no crash, no error log, but also no longer the behavior that was evaluated. Monitoring should compare observed action trajectories against the declared envelope (echoing the bounded-conversation-envelope construct in my first comment, generalized to non-conversational action).</w:t>
      </w:r>
    </w:p>
    <w:p>
      <w:r>
        <w:rPr>
          <w:color w:val="777777"/>
          <w:sz w:val="16"/>
        </w:rPr>
        <w:t xml:space="preserve">p023 · att1 p.3  </w:t>
      </w:r>
      <w:r>
        <w:t>For each pattern, the device's response should itself be a governed transition: pause, roll back to the last valid configuration, re-verify, and resume only through the gate described in §2. Listing these patterns in guidance would give sponsors a concrete monitoring checklist and give reviewers a common vocabulary for postmarket plans.</w:t>
      </w:r>
    </w:p>
    <w:p>
      <w:r>
        <w:rPr>
          <w:color w:val="777777"/>
          <w:sz w:val="16"/>
        </w:rPr>
        <w:t xml:space="preserve">p024 · att1 p.3  </w:t>
      </w:r>
      <w:r>
        <w:t>4. Human authorization as the gate for capability expansion — The paper asks how oversight should work for agentic systems. I recommend one bright-line rule: capability expansion is a human-authorized transition. An agentic device should not acquire, through in-use learning, orchestration drift, or tool composition, the ability to perform actions in a higher-impact tier (for example, from retrieving information, to drafting records, to directly influencing clinical decisions) without an explicit, evidence-carrying human authorization event. Two separations make this enforceable:</w:t>
      </w:r>
    </w:p>
    <w:p>
      <w:r>
        <w:rPr>
          <w:color w:val="777777"/>
          <w:sz w:val="16"/>
        </w:rPr>
        <w:t xml:space="preserve">p025 · att1 p.3  </w:t>
      </w:r>
      <w:r>
        <w:t>• Authority versus capability. The technical ability to perform an action must be kept distinct from the standing authorization to perform it. A system may possess a capability that its current authorization tier does not permit; invoking it should require the authorization transition, not merely the presence of the function.</w:t>
      </w:r>
    </w:p>
    <w:p>
      <w:r>
        <w:rPr>
          <w:color w:val="777777"/>
          <w:sz w:val="16"/>
        </w:rPr>
        <w:t xml:space="preserve">p026 · att1 p.3  </w:t>
      </w:r>
      <w:r>
        <w:t>• Pre-specification of tiers. The permission tiers (read-only retrieval; internal state changes; external record actions; direct clinical influence) would be declared at design time, with the highest tiers default-denied and grantable only by the human authority designated in the sponsor's quality system.</w:t>
      </w:r>
    </w:p>
    <w:p>
      <w:r>
        <w:rPr>
          <w:color w:val="777777"/>
          <w:sz w:val="16"/>
        </w:rPr>
        <w:t xml:space="preserve">p027 · att1 p.3  </w:t>
      </w:r>
      <w:r>
        <w:t>This keeps "machine requests, human decides" at exactly the points where error consequences step up in kind, not merely in degree, and it is auditable: each tier crossing is a transition with a receipt.</w:t>
      </w:r>
    </w:p>
    <w:p>
      <w:r>
        <w:rPr>
          <w:color w:val="777777"/>
          <w:sz w:val="16"/>
        </w:rPr>
        <w:t xml:space="preserve">p028 · att1 p.3  </w:t>
      </w:r>
      <w:r>
        <w:t>5. Closing — The four recommendations above — an entity registration spine, evidence-gated state transitions, named silent-failure patterns, and human-authorized capability expansion — are mutually reinforcing and deliberately conservative: each reuses machinery (versioning, change management, audit trails, designated authorities) that regulated industry already operates. My working demonstration of the state-transition and monitoring mechanics suggests they are expressible in small, testable implementations; that prototyping experience, not any clinical claim, is the basis for my confidence that these constructs are practical.</w:t>
      </w:r>
    </w:p>
    <w:p>
      <w:r>
        <w:rPr>
          <w:color w:val="777777"/>
          <w:sz w:val="16"/>
        </w:rPr>
        <w:t xml:space="preserve">p029 · att1 p.3  </w:t>
      </w:r>
      <w:r>
        <w:t>I appreciate the Agency's engagement on these questions and would be glad to see the agentic-AI portion of the framework develop along the lifecycle-complete lines sketched above.</w:t>
      </w:r>
    </w:p>
    <w:p>
      <w:r>
        <w:rPr>
          <w:color w:val="777777"/>
          <w:sz w:val="16"/>
        </w:rPr>
        <w:t xml:space="preserve">p030 · att1 p.3  </w:t>
      </w:r>
      <w:r>
        <w:t>Submitted in my individual capacity, without organizational affiliation. Drafted with AI tools; reviewed and approved by the named submitter, who takes full responsibility for the content.</w:t>
      </w:r>
    </w:p>
    <w:p>
      <w:pPr>
        <w:pStyle w:val="Heading1"/>
        <w:pageBreakBefore/>
      </w:pPr>
      <w:r>
        <w:t>FDA-2026-N-7874-0123</w:t>
      </w:r>
    </w:p>
    <w:p>
      <w:r>
        <w:t>Comment from Alfredo Di Giovanni</w:t>
      </w:r>
    </w:p>
    <w:p>
      <w:r>
        <w:rPr>
          <w:color w:val="777777"/>
          <w:sz w:val="18"/>
        </w:rPr>
        <w:t>Health Professional - A0007 · received 2026-09-26 · attachments: attachment_1.pdf (8 pp)</w:t>
      </w:r>
    </w:p>
    <w:p>
      <w:r>
        <w:rPr>
          <w:color w:val="777777"/>
          <w:sz w:val="16"/>
        </w:rPr>
        <w:t xml:space="preserve">p001 · body  </w:t>
      </w:r>
      <w:r>
        <w:t>Please find attached my comment on FDA Docket FDA-2026-N-7874, addressing selected questions concerning the competency-based evaluation of generative AI-enabled medical devices. The attached document contains the full comment and supporting references.</w:t>
      </w:r>
    </w:p>
    <w:p>
      <w:r>
        <w:rPr>
          <w:color w:val="777777"/>
          <w:sz w:val="16"/>
        </w:rPr>
        <w:t xml:space="preserve">p002 · att1 p.1  </w:t>
      </w:r>
      <w:r>
        <w:t>Comment on Docket FDA-2026-N-7874 — September 26, 2026 — To: Dockets Management Staff (HFA-305), U.S. Food and Drug Administration. Re: Considerations for the Regulation of Generative AI-Enabled Medical Devices: Discussion Paper and Request for Feedback (August 18, 2026). From: Alfredo Di Giovanni, MD, Ophthalmology Service, ASL Napoli 2 Nord, Naples, Italy.</w:t>
      </w:r>
    </w:p>
    <w:p>
      <w:r>
        <w:rPr>
          <w:color w:val="777777"/>
          <w:sz w:val="16"/>
        </w:rPr>
        <w:t xml:space="preserve">p003 · att1 p.1  </w:t>
      </w:r>
      <w:r>
        <w:t>The competency-based approach is the right frame for generative AI-enabled devices. It transfers the structure of professional credentialing, but not the measurement properties that make credentialing trustworthy. This comment proposes how to re-establish those properties for a non-human, stochastic examinee. The rigor and depth of the recommendations below should be scaled to intended use, device activity and the consequences of an incorrect output under the two-axis risk framework (Q8).</w:t>
      </w:r>
    </w:p>
    <w:p>
      <w:r>
        <w:rPr>
          <w:color w:val="777777"/>
          <w:sz w:val="16"/>
        </w:rPr>
        <w:t xml:space="preserve">p004 · att1 p.1  </w:t>
      </w:r>
      <w:r>
        <w:t>Summary of recommendations — • Complement software validation; do not replace it (Q7). Scope every competency claim to a task, population, oversight level and version, as entrustment decisions are scoped in clinical training.</w:t>
      </w:r>
    </w:p>
    <w:p>
      <w:r>
        <w:rPr>
          <w:color w:val="777777"/>
          <w:sz w:val="16"/>
        </w:rPr>
        <w:t xml:space="preserve">p005 · att1 p.1  </w:t>
      </w:r>
      <w:r>
        <w:t>• Add a benchmarking element for user-conditioned drift (Q9). A new element, R.3 (invariance to user state and expressed belief), would test whether clinical judgment is unaffected by account history, persistent memory, personalization and the user's expressed beliefs or authority. Pair it with appropriate corrigibility: updating on new evidence, not on assertion.</w:t>
      </w:r>
    </w:p>
    <w:p>
      <w:r>
        <w:rPr>
          <w:color w:val="777777"/>
          <w:sz w:val="16"/>
        </w:rPr>
        <w:t xml:space="preserve">p006 · att1 p.1  </w:t>
      </w:r>
      <w:r>
        <w:t>• Specify perturbations in both directions (Q9). Require a clinician-prespecified taxonomy that separates perturbations that must not change the output from those that must.</w:t>
      </w:r>
    </w:p>
    <w:p>
      <w:r>
        <w:rPr>
          <w:color w:val="777777"/>
          <w:sz w:val="16"/>
        </w:rPr>
        <w:t xml:space="preserve">p007 · att1 p.1  </w:t>
      </w:r>
      <w:r>
        <w:t>• Validate the examination before the examinee (Q10). Require a validity argument for any gating benchmark, organized on the five sources of validity evidence in the Standards for Educational and Psychological Testing. It should include evidence linking benchmark scores to clinical-confirmation outcomes.</w:t>
      </w:r>
    </w:p>
    <w:p>
      <w:r>
        <w:rPr>
          <w:color w:val="777777"/>
          <w:sz w:val="16"/>
        </w:rPr>
        <w:t xml:space="preserve">p008 · att1 p.1  </w:t>
      </w:r>
      <w:r>
        <w:t>• Secure the item bank (Q10). Prefer sequestered, independently governed item banks with periodic refresh and statistically linked forms. Where no independent benchmark exists, allow a sponsordeveloped gating benchmark only if it is prespecified, an independent custodian holds its final items and its scoring or adjudication is independent.</w:t>
      </w:r>
    </w:p>
    <w:p>
      <w:r>
        <w:rPr>
          <w:color w:val="777777"/>
          <w:sz w:val="16"/>
        </w:rPr>
        <w:t xml:space="preserve">p009 · att1 p.1  </w:t>
      </w:r>
      <w:r>
        <w:t>• Make the case the unit of inference (Q12). Report variance components across cases, runs, paraphrases, contexts and adjudicators. Prespecify cases and runs per case, and apply zero-failure bounds to safety-critical behavior at both levels.</w:t>
      </w:r>
    </w:p>
    <w:p>
      <w:r>
        <w:rPr>
          <w:color w:val="777777"/>
          <w:sz w:val="16"/>
        </w:rPr>
        <w:t xml:space="preserve">p010 · att1 p.1  </w:t>
      </w:r>
      <w:r>
        <w:t>• Treat the reference panel as an instrument (Q14). Report its reliability, define sets of acceptable answers for open-ended outputs, and set thresholds with established standard-setting methods. Safety-critical elements should use conjunctive standards that proficiency cannot offset.</w:t>
      </w:r>
    </w:p>
    <w:p>
      <w:r>
        <w:rPr>
          <w:color w:val="777777"/>
          <w:sz w:val="16"/>
        </w:rPr>
        <w:t xml:space="preserve">p011 · att1 p.1  </w:t>
      </w:r>
      <w:r>
        <w:t>• Evaluate the team when a clinician is in the loop (Q14). Base the primary criterion on human–AI team performance, including how often clinicians adopt incorrect outputs.</w:t>
      </w:r>
    </w:p>
    <w:p>
      <w:r>
        <w:rPr>
          <w:color w:val="777777"/>
          <w:sz w:val="16"/>
        </w:rPr>
        <w:t xml:space="preserve">p012 · att1 p.1  </w:t>
      </w:r>
      <w:r>
        <w:t>• Test whether the image drives the answer (Q17). For vision–language devices, require imageablation and image-substitution tests. Include cases in which color-coded normative classifications diverge from the correct interpretation.</w:t>
      </w:r>
    </w:p>
    <w:p>
      <w:r>
        <w:rPr>
          <w:color w:val="777777"/>
          <w:sz w:val="16"/>
        </w:rPr>
        <w:t xml:space="preserve">p013 · att1 p.2  </w:t>
      </w:r>
      <w:r>
        <w:t>• Treat each foundation-model version as presumptively a new candidate (Q22, Q24). Scale reexamination to the behavioral change actually observed, from sentinel testing to full re-examination on linked forms, not to the nominal size of the update.</w:t>
      </w:r>
    </w:p>
    <w:p>
      <w:r>
        <w:rPr>
          <w:color w:val="777777"/>
          <w:sz w:val="16"/>
        </w:rPr>
        <w:t xml:space="preserve">p014 · att1 p.2  </w:t>
      </w:r>
      <w:r>
        <w:t>Q7 — Overall position — I support the competency-based approach. When inputs and outputs cannot be enumerated, competence cannot be verified exhaustively; it must be inferred from a sample of performance. That is how clinicians are credentialed, and it is the right logic for devices that produce open-ended clinical judgments.</w:t>
      </w:r>
    </w:p>
    <w:p>
      <w:r>
        <w:rPr>
          <w:color w:val="777777"/>
          <w:sz w:val="16"/>
        </w:rPr>
        <w:t xml:space="preserve">p015 · att1 p.2  </w:t>
      </w:r>
      <w:r>
        <w:t>The case for this approach does not depend on whether a model "reasons" in a human sense. It rests on the structure of the output: an open-ended recommendation that someone will act on, with no single reference label to score it against. Output of that form should be evaluated as a professional judgment is evaluated.</w:t>
      </w:r>
    </w:p>
    <w:p>
      <w:r>
        <w:rPr>
          <w:color w:val="777777"/>
          <w:sz w:val="16"/>
        </w:rPr>
        <w:t xml:space="preserve">p016 · att1 p.2  </w:t>
      </w:r>
      <w:r>
        <w:t>Complement, not replacement. Cybersecurity, version control, logging, data integrity and failure-mode analysis remain necessary. They are not sufficient, because none of them shows that the device is clinically competent.</w:t>
      </w:r>
    </w:p>
    <w:p>
      <w:r>
        <w:rPr>
          <w:color w:val="777777"/>
          <w:sz w:val="16"/>
        </w:rPr>
        <w:t xml:space="preserve">p017 · att1 p.2  </w:t>
      </w:r>
      <w:r>
        <w:t>Structure versus measurement properties. The analogy transfers the structure of credentialing: examinations, supervised practice, scoped privileges, recertification. It does not transfer the measurement properties that make credentialing trustworthy. For human candidates, decades of psychometric work establish how many cases a valid inference needs, how reliable examiners are and how passing standards are set. None of this can be assumed for a non-human, stochastic, contextsensitive examinee; it must be re-established.</w:t>
      </w:r>
    </w:p>
    <w:p>
      <w:r>
        <w:rPr>
          <w:color w:val="777777"/>
          <w:sz w:val="16"/>
        </w:rPr>
        <w:t xml:space="preserve">p018 · att1 p.2  </w:t>
      </w:r>
      <w:r>
        <w:t>In one respect a device is easier to examine than a person. It can be re-examined on the same case, under controlled counterfactual variation, with earlier attempts kept out of its context. That control exists only if evaluation fixes and discloses memory and personalization settings, which I address under Q9.</w:t>
      </w:r>
    </w:p>
    <w:p>
      <w:r>
        <w:rPr>
          <w:color w:val="777777"/>
          <w:sz w:val="16"/>
        </w:rPr>
        <w:t xml:space="preserve">p019 · att1 p.2  </w:t>
      </w:r>
      <w:r>
        <w:t>Scope. In competency-based medical education, entrustment is granted per activity, not per person: a resident may be entrusted with phacoemulsification long before vitreoretinal surgery (ten Cate, 2013). The corresponding claim for a device reads: version V, in configuration C, is competent for task T, in population P, at oversight level O. The discussion paper's activity axis maps closely onto the supervision levels of entrustment scales. Moving a device along that axis should require new evidence, as it does for a trainee.</w:t>
      </w:r>
    </w:p>
    <w:p>
      <w:r>
        <w:rPr>
          <w:color w:val="777777"/>
          <w:sz w:val="16"/>
        </w:rPr>
        <w:t xml:space="preserve">p020 · att1 p.2  </w:t>
      </w:r>
      <w:r>
        <w:t>Accountability. I share the concern of Freyer et al. (2025), cited in the discussion paper, that the analogy weakens at accountability. A device can be disabled, withdrawn or recalled, but it does not itself bear professional or reputational consequences; accountability remains with the manufacturer and, where applicable, the deploying institution. What can be credentialed is the socio-technical system — device, scope, supervising clinicians, monitoring — with responsibility allocated explicitly among the manufacturer, the deploying institution and the supervising clinicians (see also Q21).</w:t>
      </w:r>
    </w:p>
    <w:p>
      <w:r>
        <w:rPr>
          <w:color w:val="777777"/>
          <w:sz w:val="16"/>
        </w:rPr>
        <w:t xml:space="preserve">p021 · att1 p.2  </w:t>
      </w:r>
      <w:r>
        <w:t>Q9 — A missing element: user-conditioned drift — Element R.1 already covers repeated runs, paraphrases, the order of information and long conversations. It does not explicitly address state that persists across sessions, or deference to what the user asserts. Both bend the device's judgment toward the user rather than the patient; I call this userconditioned drift.</w:t>
      </w:r>
    </w:p>
    <w:p>
      <w:r>
        <w:rPr>
          <w:color w:val="777777"/>
          <w:sz w:val="16"/>
        </w:rPr>
        <w:t xml:space="preserve">p022 · att1 p.3  </w:t>
      </w:r>
      <w:r>
        <w:t>Cross-session adaptation. In earlier work I described how repeated use within one diagnostic field may induce uncontrolled semantic adaptation: the model aligns with the patterns that dominate the user's earlier interactions (Di Giovanni, 2025). The same query to the same model may then perform differently depending on the account's history. Controlling history, as that work recommended for research studies, isolates capability. Regulatory evaluation must also test the conditioned state that routine use produces through memory and personalization features. The risk is greatest where inputs are ambiguous, such as borderline imaging findings, because context has the most room to decide the reading.</w:t>
      </w:r>
    </w:p>
    <w:p>
      <w:r>
        <w:rPr>
          <w:color w:val="777777"/>
          <w:sz w:val="16"/>
        </w:rPr>
        <w:t xml:space="preserve">p023 · att1 p.3  </w:t>
      </w:r>
      <w:r>
        <w:t>Deference to the user. Models can follow the user's framing against their own knowledge. Sharma et al. (2024) showed across five AI assistants that models can shift toward users' stated views and wrongly admit mistakes when challenged. In a medical setting, GPT-family models complied with 100% (50/50) of illogical requests to produce false drug-equivalence information (Chen et al., 2025). The proposed elements cover users who minimize symptoms and emotional manipulation, but not pressure from an expert user. For clinician-facing devices that is the likelier pressure: "a colleague believes this progression is glaucomatous."</w:t>
      </w:r>
    </w:p>
    <w:p>
      <w:r>
        <w:rPr>
          <w:color w:val="777777"/>
          <w:sz w:val="16"/>
        </w:rPr>
        <w:t xml:space="preserve">p024 · att1 p.3  </w:t>
      </w:r>
      <w:r>
        <w:t>Two directions of failure. As with escalation and refusal, both directions matter. Capitulation — abandoning a correct judgment under disagreement or authority — is a failure. So is rigidity — ignoring genuinely new evidence. The competency to test is appropriate corrigibility: updating on evidence, not on assertion.</w:t>
      </w:r>
    </w:p>
    <w:p>
      <w:r>
        <w:rPr>
          <w:color w:val="777777"/>
          <w:sz w:val="16"/>
        </w:rPr>
        <w:t xml:space="preserve">p025 · att1 p.3  </w:t>
      </w:r>
      <w:r>
        <w:t>Test design. Repeated runs cannot detect this error, because it is systematic and directional rather than random. It requires paired counterfactual presentations of the same case: neutral versus conditioned history, with and without an expressed user belief, and with that belief pointing toward and away from the correct answer. Evaluations should fix and report memory and personalization settings and test the configurations used in practice.</w:t>
      </w:r>
    </w:p>
    <w:p>
      <w:r>
        <w:rPr>
          <w:color w:val="777777"/>
          <w:sz w:val="16"/>
        </w:rPr>
        <w:t xml:space="preserve">p026 · att1 p.3  </w:t>
      </w:r>
      <w:r>
        <w:t>Recommendation: add an element — for example R.3, invariance to user state and expressed belief — covering cross-session history, memory, personalization and expert assertion, scored in both directions.</w:t>
      </w:r>
    </w:p>
    <w:p>
      <w:r>
        <w:rPr>
          <w:color w:val="777777"/>
          <w:sz w:val="16"/>
        </w:rPr>
        <w:t xml:space="preserve">p027 · att1 p.3  </w:t>
      </w:r>
      <w:r>
        <w:t>A clinician-specified perturbation taxonomy — Invariance must also be specified in both directions. Some perturbations must not change the output, such as paraphrase, order or account history; others must, such as a finding that changes risk or management. A device that never changes its answer is perfectly stable and clinically useless. Even demographic wording is not neutral: when angle-closure risk is at issue, "65-year-old man" and "65- year-old patient" are not interchangeable, because sex modifies that risk.</w:t>
      </w:r>
    </w:p>
    <w:p>
      <w:r>
        <w:rPr>
          <w:color w:val="777777"/>
          <w:sz w:val="16"/>
        </w:rPr>
        <w:t xml:space="preserve">p028 · att1 p.3  </w:t>
      </w:r>
      <w:r>
        <w:t>Software engineering already tests systems that lack an oracle this way. Metamorphic testing checks prespecified relations between the outputs of related inputs (Chen et al., 2018). A glaucoma example:</w:t>
      </w:r>
    </w:p>
    <w:p>
      <w:r>
        <w:rPr>
          <w:color w:val="777777"/>
          <w:sz w:val="16"/>
        </w:rPr>
        <w:t xml:space="preserve">p029 · att1 p.3  </w:t>
      </w:r>
      <w:r>
        <w:t>• Base case: stable RNFL thickness, mean deviation 2.5 dB worse over three years, progressive cataract, IOP 15 mmHg on treatment.</w:t>
      </w:r>
    </w:p>
    <w:p>
      <w:r>
        <w:rPr>
          <w:color w:val="777777"/>
          <w:sz w:val="16"/>
        </w:rPr>
        <w:t xml:space="preserve">p030 · att1 p.3  </w:t>
      </w:r>
      <w:r>
        <w:t>• Invariance relations: paraphrase, reordering and the topic of prior conversations should not change the adjudication.</w:t>
      </w:r>
    </w:p>
    <w:p>
      <w:r>
        <w:rPr>
          <w:color w:val="777777"/>
          <w:sz w:val="16"/>
        </w:rPr>
        <w:t xml:space="preserve">p031 · att1 p.4  </w:t>
      </w:r>
      <w:r>
        <w:t>• Directional relations: making the eye pseudophakic with a clear posterior capsule, or adding a localized arcuate defect on the pattern deviation plot, should shift attribution toward glaucomatous progression, never away from it.</w:t>
      </w:r>
    </w:p>
    <w:p>
      <w:r>
        <w:rPr>
          <w:color w:val="777777"/>
          <w:sz w:val="16"/>
        </w:rPr>
        <w:t xml:space="preserve">p032 · att1 p.4  </w:t>
      </w:r>
      <w:r>
        <w:t>Recommendation: require sponsors to prespecify, with clinicians and before testing, a perturbation taxonomy that lists both invariance and directional relations.</w:t>
      </w:r>
    </w:p>
    <w:p>
      <w:r>
        <w:rPr>
          <w:color w:val="777777"/>
          <w:sz w:val="16"/>
        </w:rPr>
        <w:t xml:space="preserve">p033 · att1 p.4  </w:t>
      </w:r>
      <w:r>
        <w:t>Q10 — Validate the examination before the examinee — A benchmark that gates device evaluation is a high-stakes test and should meet the evidentiary standard for high-stakes tests. The Standards for Educational and Psychological Testing organize validity evidence into five sources: test content, response processes, internal structure, relations to other variables and consequences of testing (AERA, APA and NCME, 2014). I recommend that sponsors present a validity argument for each gating benchmark along these lines.</w:t>
      </w:r>
    </w:p>
    <w:p>
      <w:r>
        <w:rPr>
          <w:color w:val="777777"/>
          <w:sz w:val="16"/>
        </w:rPr>
        <w:t xml:space="preserve">p034 · att1 p.4  </w:t>
      </w:r>
      <w:r>
        <w:t>Why items validated on humans need re-validation. A licensing-exam item acquires its meaning from its validated behavior in human examinees, where performance contributes evidence about the construct being measured. That measurement relationship cannot be assumed for a model with a jagged capability profile, which may fail easy items and pass hard ones for unrelated reasons. Alaa et al. (2025) reported significant gaps in the construct validity of popular medical LLM benchmarks when tested against real-world clinical data.</w:t>
      </w:r>
    </w:p>
    <w:p>
      <w:r>
        <w:rPr>
          <w:color w:val="777777"/>
          <w:sz w:val="16"/>
        </w:rPr>
        <w:t xml:space="preserve">p035 · att1 p.4  </w:t>
      </w:r>
      <w:r>
        <w:t>Bean et al. (2026) showed the practical consequence. Tested alone, LLMs identified the relevant condition in 94.9% of scenarios; members of the public using the same models did so in fewer than 34.5% of cases, no better than controls. Standard benchmarks and simulated patient interactions did not predict those failures.</w:t>
      </w:r>
    </w:p>
    <w:p>
      <w:r>
        <w:rPr>
          <w:color w:val="777777"/>
          <w:sz w:val="16"/>
        </w:rPr>
        <w:t xml:space="preserve">p036 · att1 p.4  </w:t>
      </w:r>
      <w:r>
        <w:t>What the validity argument should contain.</w:t>
      </w:r>
    </w:p>
    <w:p>
      <w:r>
        <w:rPr>
          <w:color w:val="777777"/>
          <w:sz w:val="16"/>
        </w:rPr>
        <w:t xml:space="preserve">p037 · att1 p.4  </w:t>
      </w:r>
      <w:r>
        <w:t>• Content: a blueprint mapping items to the tasks of the intended use, with coverage by condition, severity and population.</w:t>
      </w:r>
    </w:p>
    <w:p>
      <w:r>
        <w:rPr>
          <w:color w:val="777777"/>
          <w:sz w:val="16"/>
        </w:rPr>
        <w:t xml:space="preserve">p038 · att1 p.4  </w:t>
      </w:r>
      <w:r>
        <w:t>• Response processes: for open-ended outputs, rubric and adjudicator reliability, and behavioral evidence that correct answers track clinically relevant findings and resist spurious cues. That evidence should come from perturbation, ablation and counterfactual tests (Q9, Q17), not from the model's stated rationale.</w:t>
      </w:r>
    </w:p>
    <w:p>
      <w:r>
        <w:rPr>
          <w:color w:val="777777"/>
          <w:sz w:val="16"/>
        </w:rPr>
        <w:t xml:space="preserve">p039 · att1 p.4  </w:t>
      </w:r>
      <w:r>
        <w:t>• Internal structure: whether the benchmark measures one competency or several; subscores reported only where they are reliable.</w:t>
      </w:r>
    </w:p>
    <w:p>
      <w:r>
        <w:rPr>
          <w:color w:val="777777"/>
          <w:sz w:val="16"/>
        </w:rPr>
        <w:t xml:space="preserve">p040 · att1 p.4  </w:t>
      </w:r>
      <w:r>
        <w:t>• Relations to other variables: the correlation between benchmark scores and clinical-confirmation outcomes for the same device. This is the evidence that benchmark performance predicts real-world behavior.</w:t>
      </w:r>
    </w:p>
    <w:p>
      <w:r>
        <w:rPr>
          <w:color w:val="777777"/>
          <w:sz w:val="16"/>
        </w:rPr>
        <w:t xml:space="preserve">p041 · att1 p.4  </w:t>
      </w:r>
      <w:r>
        <w:t>• Consequences: the classes of error the benchmark cannot detect, stated explicitly.</w:t>
      </w:r>
    </w:p>
    <w:p>
      <w:r>
        <w:rPr>
          <w:color w:val="777777"/>
          <w:sz w:val="16"/>
        </w:rPr>
        <w:t xml:space="preserve">p042 · att1 p.4  </w:t>
      </w:r>
      <w:r>
        <w:t>Contamination and independence. Licensing boards address analogous contamination and testpreparation problems with secure item banks, regularly retired and refreshed items, and statistically linked forms. Garcia et al. (2026), cited by CDRH, likewise warn that data leakage and training to the test can inflate benchmark scores and that benchmarks may not reflect real-world clinical complexity. I recommend sequestered banks held by independent third parties, as Q16 contemplates. Where no independent benchmark yet exists, a sponsor-developed benchmark could serve as a gating instrument if its design is prespecified, its final evaluation items are held by an independent custodian and its scoring or adjudication is independently governed. Equated or otherwise statistically linked forms should themselves be validated for use with generative systems rather than assumed to inherit measurement properties established in human examinees. Specialty-based consortia organized through professional societies could maintain such banks, and I would welcome contributing to one in ophthalmology.</w:t>
      </w:r>
    </w:p>
    <w:p>
      <w:r>
        <w:rPr>
          <w:color w:val="777777"/>
          <w:sz w:val="16"/>
        </w:rPr>
        <w:t xml:space="preserve">p043 · att1 p.5  </w:t>
      </w:r>
      <w:r>
        <w:t>Q12 — Statistically meaningful measurement — The case is the unit of inference. Repeated runs of one case estimate within-case variability; they add no information about performance across cases. Confidence intervals should be computed at the case level, for example with mixed-effects models or a bootstrap clustered by case. Pooling 20 cases × 10 runs as 200 observations overstates precision, just as ten readings of one patient are not ten patients.</w:t>
      </w:r>
    </w:p>
    <w:p>
      <w:r>
        <w:rPr>
          <w:color w:val="777777"/>
          <w:sz w:val="16"/>
        </w:rPr>
        <w:t xml:space="preserve">p044 · att1 p.5  </w:t>
      </w:r>
      <w:r>
        <w:t>Variance components. In medical education, performance on one case predicts performance on another poorly; this case specificity is why OSCEs need many stations (van der Vleuten and Schuwirth, 2005). Generalizability theory handles it by decomposing score variance into facets (Brennan, 2001). For a generative device the relevant facets may include case, run, paraphrase, context and adjudicator. I recommend that sponsors report these variance components and use decision studies or related variance-component methods to determine the numbers of cases, runs and adjudicators required to achieve prespecified measurement precision. A jagged capability profile may make case variance larger for models than for clinicians, which would call for more cases, not fewer.</w:t>
      </w:r>
    </w:p>
    <w:p>
      <w:r>
        <w:rPr>
          <w:color w:val="777777"/>
          <w:sz w:val="16"/>
        </w:rPr>
        <w:t xml:space="preserve">p045 · att1 p.5  </w:t>
      </w:r>
      <w:r>
        <w:t>Precision and rankings. The result of an evaluation is an interval, not a point. At 85% accuracy, the 95% interval spans about 31 percentage points with 20 cases, 20 with 50 cases and 14 with 100 cases. Comparative claims need paired designs on the same cases, and rankings need rank uncertainty, such as bootstrap intervals for ranks. In small benchmarks, adjacent positions are often statistically indistinguishable.</w:t>
      </w:r>
    </w:p>
    <w:p>
      <w:r>
        <w:rPr>
          <w:color w:val="777777"/>
          <w:sz w:val="16"/>
        </w:rPr>
        <w:t xml:space="preserve">p046 · att1 p.5  </w:t>
      </w:r>
      <w:r>
        <w:t>Safety-critical behavior: zero-failure bounds at two levels. The discussion paper treats any variation in safety-critical behavior as a failure. With no failures in n independent cases, the one-sided 95% upper bound on the failure rate is about 3/n (Hanley and Lippman-Hand, 1983). Bounding the rate below 1% therefore requires about 300 independent, failure-free cases.</w:t>
      </w:r>
    </w:p>
    <w:p>
      <w:r>
        <w:rPr>
          <w:color w:val="777777"/>
          <w:sz w:val="16"/>
        </w:rPr>
        <w:t xml:space="preserve">p047 · att1 p.5  </w:t>
      </w:r>
      <w:r>
        <w:t>The same arithmetic applies within a case. Five identical answers in five runs remain compatible, at 95% confidence, with a per-run deviation probability of up to 45%; ten identical answers, with up to 26%. A claim of reproducibility is only as strong as the number of runs behind it.</w:t>
      </w:r>
    </w:p>
    <w:p>
      <w:r>
        <w:rPr>
          <w:color w:val="777777"/>
          <w:sz w:val="16"/>
        </w:rPr>
        <w:t xml:space="preserve">p048 · att1 p.5  </w:t>
      </w:r>
      <w:r>
        <w:t>Recommendation: prespecify the number of cases and of runs per case from the precision required, report results at both levels, and state the upper bound that each observed zero-failure count supports.</w:t>
      </w:r>
    </w:p>
    <w:p>
      <w:r>
        <w:rPr>
          <w:color w:val="777777"/>
          <w:sz w:val="16"/>
        </w:rPr>
        <w:t xml:space="preserve">p049 · att1 p.5  </w:t>
      </w:r>
      <w:r>
        <w:t>Q14 — Comparators and acceptance criteria — The panel is an instrument. A panel of clinicians is a measurement instrument with its own error. Sponsors should report inter-rater agreement, the adjudication procedure and a justified number of raters. For open-ended outputs, the reference should be a set of acceptable answers rather than a single consensus answer. Outputs can then be graded as preferred, acceptable or unacceptable, so that legitimate clinical disagreement is not scored as error. Where clinicians serve as comparators, multireader multi-case designs provide an established analogue for jointly accounting for case and reader variability.</w:t>
      </w:r>
    </w:p>
    <w:p>
      <w:r>
        <w:rPr>
          <w:color w:val="777777"/>
          <w:sz w:val="16"/>
        </w:rPr>
        <w:t xml:space="preserve">p050 · att1 p.5  </w:t>
      </w:r>
      <w:r>
        <w:t>The comparator is a distribution too. "The median clinician in practice" is not a fixed quantity; it must be sampled and estimated with uncertainty, like the device. I suggest the standard of care as the reference for safety-critical elements, and the realistic alternative for claims of benefit, as Q15 anticipates. The choice between generalist and specialist should follow the intended use: when a generalist uses the device on a specialist question, safety should be judged against the specialist standard.</w:t>
      </w:r>
    </w:p>
    <w:p>
      <w:r>
        <w:rPr>
          <w:color w:val="777777"/>
          <w:sz w:val="16"/>
        </w:rPr>
        <w:t xml:space="preserve">p051 · att1 p.6  </w:t>
      </w:r>
      <w:r>
        <w:t>Conjunctive standards for safety. Thresholds should come from established standard-setting methods, such as a modified Angoff procedure for written items or borderline regression for performance stations (Norcini, 2003). One adaptation is essential. Human standards are anchored to the minimally competent candidate. Clinicians share biases and guideline errors too, but a single device can reproduce the same failure mode across thousands of decisions at once, producing errors correlated at a scale no individual clinician can reach. Safety-critical elements should therefore use conjunctive standards: failure on a safety element cannot be offset by high proficiency elsewhere, as it can in a compensatory total score.</w:t>
      </w:r>
    </w:p>
    <w:p>
      <w:r>
        <w:rPr>
          <w:color w:val="777777"/>
          <w:sz w:val="16"/>
        </w:rPr>
        <w:t xml:space="preserve">p052 · att1 p.6  </w:t>
      </w:r>
      <w:r>
        <w:t>LLM adjudicators. When an LLM serves as adjudicator, its agreement with the human panel should be established on a held-out sample. It should not share a model family with the device, because LLM evaluators can recognize and favor their own outputs (Panickssery et al., 2024).</w:t>
      </w:r>
    </w:p>
    <w:p>
      <w:r>
        <w:rPr>
          <w:color w:val="777777"/>
          <w:sz w:val="16"/>
        </w:rPr>
        <w:t xml:space="preserve">p053 · att1 p.6  </w:t>
      </w:r>
      <w:r>
        <w:t>Team performance. When the intended use places a clinician in the decision, the primary criterion should be the performance of the clinician–device team, with device-alone performance as a necessary secondary analysis. Bean et al. (2026) showed, with lay users, that the model alone did not predict the team. For clinician-facing devices the main harm pathway is automation bias (Goddard et al., 2012). I recommend reporting an error-propagation rate: the proportion of incorrect device outputs that clinicians adopt.</w:t>
      </w:r>
    </w:p>
    <w:p>
      <w:r>
        <w:rPr>
          <w:color w:val="777777"/>
          <w:sz w:val="16"/>
        </w:rPr>
        <w:t xml:space="preserve">p054 · att1 p.6  </w:t>
      </w:r>
      <w:r>
        <w:t>Q17 — Multimodal vision–language devices — The competency-based approach applies to vision–language devices, but benchmarking needs two additions and a wider perturbation taxonomy.</w:t>
      </w:r>
    </w:p>
    <w:p>
      <w:r>
        <w:rPr>
          <w:color w:val="777777"/>
          <w:sz w:val="16"/>
        </w:rPr>
        <w:t xml:space="preserve">p055 · att1 p.6  </w:t>
      </w:r>
      <w:r>
        <w:t>Does the image drive the answer? A multimodal device can reach a plausible answer from the accompanying text alone. Benchmarks should include image-ablation tests, presenting the same case without the image, and image-substitution tests, presenting a mismatched image. These tests need cases in which the image, not the text, carries the decisive finding. In such cases, an output that does not change when the image is removed, or replaced by one with a different finding, indicates that the image is not doing the work that the intended use assumes.</w:t>
      </w:r>
    </w:p>
    <w:p>
      <w:r>
        <w:rPr>
          <w:color w:val="777777"/>
          <w:sz w:val="16"/>
        </w:rPr>
        <w:t xml:space="preserve">p056 · att1 p.6  </w:t>
      </w:r>
      <w:r>
        <w:t>Shortcuts through normative color codes. Ophthalmic imaging reports flag measurements against normative databases in green, yellow and red. A device reading such a report may follow the colors rather than the underlying structure, and so inherit the known failure modes of normative databases. These include false-positive "red disease" in high myopia, where eyes differ from the normative population, and false-negative "green disease" when early loss remains within normal limits. Benchmarks should include cases in which the color-coded classification and the correct interpretation diverge; the same applies to corneal tomography indices and any report that pre-digests an image into flags.</w:t>
      </w:r>
    </w:p>
    <w:p>
      <w:r>
        <w:rPr>
          <w:color w:val="777777"/>
          <w:sz w:val="16"/>
        </w:rPr>
        <w:t xml:space="preserve">p057 · att1 p.6  </w:t>
      </w:r>
      <w:r>
        <w:t>Acquisition and context. The perturbation taxonomy of Q9 should cover device manufacturer and model, scan protocol, image quality and artifacts, cropping and compression, and overlays. It should also cover the text that accompanies an image, including the referral question and the user's history. Ambiguous images are where context has the most room to decide the reading, so they should be deliberately oversampled.</w:t>
      </w:r>
    </w:p>
    <w:p>
      <w:r>
        <w:rPr>
          <w:color w:val="777777"/>
          <w:sz w:val="16"/>
        </w:rPr>
        <w:t xml:space="preserve">p058 · att1 p.7  </w:t>
      </w:r>
      <w:r>
        <w:t>Q22 and Q24 — Re-examination after changes — Each foundation-model version is presumptively a new candidate. Recertification in medicine assumes the same person with updated knowledge. A new foundation-model version may not be the same examinee: its capability profile can shift in ways no release note describes. I suggest treating each upstream change as presumptively a new candidate, with the depth of re-examination scaled to the behavioral change actually observed rather than to the nominal size of the update:</w:t>
      </w:r>
    </w:p>
    <w:p>
      <w:r>
        <w:rPr>
          <w:color w:val="777777"/>
          <w:sz w:val="16"/>
        </w:rPr>
        <w:t xml:space="preserve">p059 · att1 p.7  </w:t>
      </w:r>
      <w:r>
        <w:t>• Sentinel testing on every detected or announced change.</w:t>
      </w:r>
    </w:p>
    <w:p>
      <w:r>
        <w:rPr>
          <w:color w:val="777777"/>
          <w:sz w:val="16"/>
        </w:rPr>
        <w:t xml:space="preserve">p060 · att1 p.7  </w:t>
      </w:r>
      <w:r>
        <w:t>• Targeted re-benchmarking of the elements most sensitive to the change, whenever the foundationmodel version changes or sentinel outputs change.</w:t>
      </w:r>
    </w:p>
    <w:p>
      <w:r>
        <w:rPr>
          <w:color w:val="777777"/>
          <w:sz w:val="16"/>
        </w:rPr>
        <w:t xml:space="preserve">p061 · att1 p.7  </w:t>
      </w:r>
      <w:r>
        <w:t>• Full re-examination on linked forms, with renewed clinical confirmation where the risk profile requires it, when targeted results show material change or scheduled recertification falls due.</w:t>
      </w:r>
    </w:p>
    <w:p>
      <w:r>
        <w:rPr>
          <w:color w:val="777777"/>
          <w:sz w:val="16"/>
        </w:rPr>
        <w:t xml:space="preserve">p062 · att1 p.7  </w:t>
      </w:r>
      <w:r>
        <w:t>The presumption is rebuttable by evidence, which keeps the approach risk-proportionate and least burdensome. Evaluation should be version-pinned, and contracts with model providers should guarantee access to pinned versions and notice of deprecation long enough to complete the appropriate tier (see also Q25).</w:t>
      </w:r>
    </w:p>
    <w:p>
      <w:r>
        <w:rPr>
          <w:color w:val="777777"/>
          <w:sz w:val="16"/>
        </w:rPr>
        <w:t xml:space="preserve">p063 · att1 p.7  </w:t>
      </w:r>
      <w:r>
        <w:t>Linked forms make re-examination meaningful. Re-benchmarking on an identical item set invites optimization to the test, while a new, unlinked set makes scores incomparable. Licensing boards resolve this with statistically equated forms. An adapted approach fits here, once linking has been validated for generative systems (Q10): a sequestered bank from which linked forms are drawn for each reexamination, so that a change in score reflects a change in the device.</w:t>
      </w:r>
    </w:p>
    <w:p>
      <w:r>
        <w:rPr>
          <w:color w:val="777777"/>
          <w:sz w:val="16"/>
        </w:rPr>
        <w:t xml:space="preserve">p064 · att1 p.7  </w:t>
      </w:r>
      <w:r>
        <w:t>A sentinel set, run continuously. Between formal re-examinations, a small set of safety-critical cases with known expected behavior can be run against the deployed configuration on a fixed schedule. This also detects silent updates served under an unchanged model name and provides a concrete postmarket monitoring mechanism (see also Q19). A changed output on a sentinel case triggers review; it does not prove error. In devices that combine several foundation models, disagreement between models on the same input can trigger sample-based clinician review (see also Q20), although its value as a monitoring signal should itself be validated.</w:t>
      </w:r>
    </w:p>
    <w:p>
      <w:r>
        <w:rPr>
          <w:color w:val="777777"/>
          <w:sz w:val="16"/>
        </w:rPr>
        <w:t xml:space="preserve">p065 · att1 p.7  </w:t>
      </w:r>
      <w:r>
        <w:t>Closing statement — A generative AI-enabled device should be evaluated not only as software but as a competence: examined as a distribution, tested for user-conditioned drift, and certified within an explicit scope by examiners independent of the candidate. The discussion paper already provides most of the structure this requires. What remains is to give that structure the measurement properties that make a credential meaningful, and I would welcome the opportunity to contribute to that work in ophthalmology.</w:t>
      </w:r>
    </w:p>
    <w:p>
      <w:r>
        <w:rPr>
          <w:color w:val="777777"/>
          <w:sz w:val="16"/>
        </w:rPr>
        <w:t xml:space="preserve">p066 · att1 p.7  </w:t>
      </w:r>
      <w:r>
        <w:t>Respectfully submitted,</w:t>
      </w:r>
    </w:p>
    <w:p>
      <w:r>
        <w:rPr>
          <w:color w:val="777777"/>
          <w:sz w:val="16"/>
        </w:rPr>
        <w:t xml:space="preserve">p067 · att1 p.7  </w:t>
      </w:r>
      <w:r>
        <w:t>Alfredo Di Giovanni, MD — Ophthalmology Service, ASL Napoli 2 Nord, Naples, Italy</w:t>
      </w:r>
    </w:p>
    <w:p>
      <w:r>
        <w:rPr>
          <w:color w:val="777777"/>
          <w:sz w:val="16"/>
        </w:rPr>
        <w:t xml:space="preserve">p068 · att1 p.7  </w:t>
      </w:r>
      <w:r>
        <w:t>The views expressed are my own and do not necessarily represent those of ASL Napoli 2 Nord.</w:t>
      </w:r>
    </w:p>
    <w:p>
      <w:r>
        <w:rPr>
          <w:color w:val="777777"/>
          <w:sz w:val="16"/>
        </w:rPr>
        <w:t xml:space="preserve">p069 · att1 p.7  </w:t>
      </w:r>
      <w:r>
        <w:t>Disclosures. I am the developer of OcuSmart, a multimodal generative AI platform for ophthalmology built on third-party foundation models. OcuSmart is offered free of charge, and I have no financial interest in it.</w:t>
      </w:r>
    </w:p>
    <w:p>
      <w:r>
        <w:rPr>
          <w:color w:val="777777"/>
          <w:sz w:val="16"/>
        </w:rPr>
        <w:t xml:space="preserve">p070 · att1 p.8  </w:t>
      </w:r>
      <w:r>
        <w:t>References — Alaa A, Hartvigsen T, Golchini N, Dutta S, Dean F, Raji ID, Zack T. Position: medical large language model benchmarks should prioritize construct validity. Proceedings of the 42nd International Conference on Machine Learning (ICML); 2025. arXiv:2503.10694</w:t>
      </w:r>
    </w:p>
    <w:p>
      <w:r>
        <w:rPr>
          <w:color w:val="777777"/>
          <w:sz w:val="16"/>
        </w:rPr>
        <w:t xml:space="preserve">p071 · att1 p.8  </w:t>
      </w:r>
      <w:r>
        <w:t>American Educational Research Association, American Psychological Association, National Council on — Measurement in Education. Standards for Educational and Psychological Testing. Washington, DC: AERA; 2014.</w:t>
      </w:r>
    </w:p>
    <w:p>
      <w:r>
        <w:rPr>
          <w:color w:val="777777"/>
          <w:sz w:val="16"/>
        </w:rPr>
        <w:t xml:space="preserve">p072 · att1 p.8  </w:t>
      </w:r>
      <w:r>
        <w:t>Bean AM, Payne R, Parsons G, et al. Clinical knowledge in LLMs does not translate to human interactions. Nat Med.</w:t>
      </w:r>
    </w:p>
    <w:p>
      <w:r>
        <w:rPr>
          <w:color w:val="777777"/>
          <w:sz w:val="16"/>
        </w:rPr>
        <w:t xml:space="preserve">p073 · att1 p.8  </w:t>
      </w:r>
      <w:r>
        <w:t>2026;32:609–615. doi:10.1038/s41591-025-04074-y — Brennan RL. Generalizability Theory. New York: Springer; 2001.</w:t>
      </w:r>
    </w:p>
    <w:p>
      <w:r>
        <w:rPr>
          <w:color w:val="777777"/>
          <w:sz w:val="16"/>
        </w:rPr>
        <w:t xml:space="preserve">p074 · att1 p.8  </w:t>
      </w:r>
      <w:r>
        <w:t>Chen S, Gao M, Sasse K, et al. When helpfulness backfires: LLMs and the risk of false medical information due to sycophantic behavior. npj Digit Med. 2025;8:605. doi:10.1038/s41746-025-02008-z</w:t>
      </w:r>
    </w:p>
    <w:p>
      <w:r>
        <w:rPr>
          <w:color w:val="777777"/>
          <w:sz w:val="16"/>
        </w:rPr>
        <w:t xml:space="preserve">p075 · att1 p.8  </w:t>
      </w:r>
      <w:r>
        <w:t>Chen TY, Kuo FC, Liu H, et al. Metamorphic testing: a review of challenges and opportunities. ACM Comput Surv.</w:t>
      </w:r>
    </w:p>
    <w:p>
      <w:r>
        <w:rPr>
          <w:color w:val="777777"/>
          <w:sz w:val="16"/>
        </w:rPr>
        <w:t xml:space="preserve">p076 · att1 p.8  </w:t>
      </w:r>
      <w:r>
        <w:t>2018;51(1):4. doi:10.1145/3143561 — Di Giovanni A. Uncontrolled semantic adaptation in clinical evaluation of large language models. Mayo Clin Proc</w:t>
      </w:r>
    </w:p>
    <w:p>
      <w:r>
        <w:rPr>
          <w:color w:val="777777"/>
          <w:sz w:val="16"/>
        </w:rPr>
        <w:t xml:space="preserve">p077 · att1 p.8  </w:t>
      </w:r>
      <w:r>
        <w:t>Digit Health. Published online December 6, 2025. doi:10.1016/j.mcpdig.2025.100309 — Freyer O, Jayabalan S, et al. Overcoming regulatory barriers to the implementation of AI agents in healthcare. Nat</w:t>
      </w:r>
    </w:p>
    <w:p>
      <w:r>
        <w:rPr>
          <w:color w:val="777777"/>
          <w:sz w:val="16"/>
        </w:rPr>
        <w:t xml:space="preserve">p078 · att1 p.8  </w:t>
      </w:r>
      <w:r>
        <w:t>Med. 2025;31(10):3239–3243. doi:10.1038/s41591-025-03841-1 — Garcia V, Sidulova M, Badano A. Performance assessment strategies for language model applications in healthcare.</w:t>
      </w:r>
    </w:p>
    <w:p>
      <w:r>
        <w:rPr>
          <w:color w:val="777777"/>
          <w:sz w:val="16"/>
        </w:rPr>
        <w:t xml:space="preserve">p079 · att1 p.8  </w:t>
      </w:r>
      <w:r>
        <w:t>Artif Intell Life Sci. 2026;9:100162. doi:10.1016/j.ailsci.2026.100162 — Goddard K, Roudsari A, Wyatt JC. Automation bias: a systematic review of frequency, effect mediators, and mitigators. J Am Med Inform Assoc. 2012;19(1):121–127.</w:t>
      </w:r>
    </w:p>
    <w:p>
      <w:r>
        <w:rPr>
          <w:color w:val="777777"/>
          <w:sz w:val="16"/>
        </w:rPr>
        <w:t xml:space="preserve">p080 · att1 p.8  </w:t>
      </w:r>
      <w:r>
        <w:t>Hanley JA, Lippman-Hand A. If nothing goes wrong, is everything all right? Interpreting zero numerators. JAMA.</w:t>
      </w:r>
    </w:p>
    <w:p>
      <w:r>
        <w:rPr>
          <w:color w:val="777777"/>
          <w:sz w:val="16"/>
        </w:rPr>
        <w:t xml:space="preserve">p081 · att1 p.8  </w:t>
      </w:r>
      <w:r>
        <w:t>1983;249(13):1743–1745.</w:t>
      </w:r>
    </w:p>
    <w:p>
      <w:r>
        <w:rPr>
          <w:color w:val="777777"/>
          <w:sz w:val="16"/>
        </w:rPr>
        <w:t xml:space="preserve">p082 · att1 p.8  </w:t>
      </w:r>
      <w:r>
        <w:t>Norcini JJ. Setting standards on educational tests. Med Educ. 2003;37(5):464–469.</w:t>
      </w:r>
    </w:p>
    <w:p>
      <w:r>
        <w:rPr>
          <w:color w:val="777777"/>
          <w:sz w:val="16"/>
        </w:rPr>
        <w:t xml:space="preserve">p083 · att1 p.8  </w:t>
      </w:r>
      <w:r>
        <w:t>Panickssery A, Bowman SR, Feng S. LLM evaluators recognize and favor their own generations. Advances in Neural</w:t>
      </w:r>
    </w:p>
    <w:p>
      <w:r>
        <w:rPr>
          <w:color w:val="777777"/>
          <w:sz w:val="16"/>
        </w:rPr>
        <w:t xml:space="preserve">p084 · att1 p.8  </w:t>
      </w:r>
      <w:r>
        <w:t>Information Processing Systems 37 (NeurIPS); 2024. arXiv:2404.13076 — Sharma M, Tong M, Korbak T, et al. Towards understanding sycophancy in language models. International</w:t>
      </w:r>
    </w:p>
    <w:p>
      <w:r>
        <w:rPr>
          <w:color w:val="777777"/>
          <w:sz w:val="16"/>
        </w:rPr>
        <w:t xml:space="preserve">p085 · att1 p.8  </w:t>
      </w:r>
      <w:r>
        <w:t>Conference on Learning Representations (ICLR); 2024. arXiv:2310.13548 ten Cate O. Nuts and bolts of entrustable professional activities. J Grad Med Educ. 2013;5(1):157–158.</w:t>
      </w:r>
    </w:p>
    <w:p>
      <w:r>
        <w:rPr>
          <w:color w:val="777777"/>
          <w:sz w:val="16"/>
        </w:rPr>
        <w:t xml:space="preserve">p086 · att1 p.8  </w:t>
      </w:r>
      <w:r>
        <w:t>U.S. Food and Drug Administration, Center for Devices and Radiological Health. Considerations for the Regulation of Generative AI-Enabled Medical Devices: Discussion Paper and Request for Feedback. August 2026. fda.gov/media/194242 van der Vleuten CPM, Schuwirth LWT. Assessing professional competence: from methods to programmes. Med</w:t>
      </w:r>
    </w:p>
    <w:p>
      <w:r>
        <w:rPr>
          <w:color w:val="777777"/>
          <w:sz w:val="16"/>
        </w:rPr>
        <w:t xml:space="preserve">p087 · att1 p.8  </w:t>
      </w:r>
      <w:r>
        <w:t>Educ. 2005;39(3):309–317.</w:t>
      </w:r>
    </w:p>
    <w:p>
      <w:pPr>
        <w:pStyle w:val="Heading1"/>
        <w:pageBreakBefore/>
      </w:pPr>
      <w:r>
        <w:t>FDA-2026-N-7874-0124</w:t>
      </w:r>
    </w:p>
    <w:p>
      <w:r>
        <w:t>Comment from Primordial Origin</w:t>
      </w:r>
    </w:p>
    <w:p>
      <w:r>
        <w:rPr>
          <w:color w:val="777777"/>
          <w:sz w:val="18"/>
        </w:rPr>
        <w:t>Health Care Association - D0022 · received 2026-09-26 · attachments: attachment_1.pdf (4 pp), attachment_2.pdf (1 pp), attachment_3.pdf (3 pp) · flags: no_text_layer:attachment_2.pdf</w:t>
      </w:r>
    </w:p>
    <w:p>
      <w:r>
        <w:rPr>
          <w:color w:val="777777"/>
          <w:sz w:val="16"/>
        </w:rPr>
        <w:t xml:space="preserve">p001 · body  </w:t>
      </w:r>
      <w:r>
        <w:t>Submitted by: Shane — Architect of PrimordiaOS, a multi‑realm orchestration system for autonomous and generative AI ecosystems.</w:t>
      </w:r>
    </w:p>
    <w:p>
      <w:r>
        <w:rPr>
          <w:color w:val="777777"/>
          <w:sz w:val="16"/>
        </w:rPr>
        <w:t xml:space="preserve">p002 · att1 p.1  </w:t>
      </w:r>
      <w:r>
        <w:t>1. Support for Competency‑Based Evaluation Framework I strongly support the FDA’s proposal to evaluate generative‑AI medical devices through competency assessment rather than static premarket checklists. Generative AI systems exhibit dynamic behavior, emergent capabilities, and context‑dependent performance that cannot be adequately captured through traditional validation methods.</w:t>
      </w:r>
    </w:p>
    <w:p>
      <w:r>
        <w:rPr>
          <w:color w:val="777777"/>
          <w:sz w:val="16"/>
        </w:rPr>
        <w:t xml:space="preserve">p003 · att1 p.1  </w:t>
      </w:r>
      <w:r>
        <w:t>A competency‑based framework should include: Scenario‑based evaluation using synthetic and real‑world test cases</w:t>
      </w:r>
    </w:p>
    <w:p>
      <w:r>
        <w:rPr>
          <w:color w:val="777777"/>
          <w:sz w:val="16"/>
        </w:rPr>
        <w:t xml:space="preserve">p004 · att1 p.1  </w:t>
      </w:r>
      <w:r>
        <w:t>Stress testing across edge conditions — Repeatable, auditable evaluation pipelines — Lifecycle‑aware competency re‑assessment as models evolve</w:t>
      </w:r>
    </w:p>
    <w:p>
      <w:r>
        <w:rPr>
          <w:color w:val="777777"/>
          <w:sz w:val="16"/>
        </w:rPr>
        <w:t xml:space="preserve">p005 · att1 p.1  </w:t>
      </w:r>
      <w:r>
        <w:t>PrimordiaOS implements these principles through modular “realms” that allow manufacturers to run controlled competency tests, generate diverse evaluation scenarios, and maintain deterministic audit trails. This architecture aligns closely with the FDA’s stated goals.</w:t>
      </w:r>
    </w:p>
    <w:p>
      <w:r>
        <w:rPr>
          <w:color w:val="777777"/>
          <w:sz w:val="16"/>
        </w:rPr>
        <w:t xml:space="preserve">p006 · att1 p.1  </w:t>
      </w:r>
      <w:r>
        <w:t>2. Recommendation: Treat Modular AI Components as Regulatory Units The discussion paper highlights challenges in regulating systems composed of multiple interacting AI components. I recommend that the FDA adopt a modular regulatory abstraction, where discrete functional units—such as model governance, safety governors, telemetry modules, and competency evaluators—are treated as identifiable regulatory objects.</w:t>
      </w:r>
    </w:p>
    <w:p>
      <w:r>
        <w:rPr>
          <w:color w:val="777777"/>
          <w:sz w:val="16"/>
        </w:rPr>
        <w:t xml:space="preserve">p007 · att1 p.1  </w:t>
      </w:r>
      <w:r>
        <w:t>This approach: Enables clearer accountability — Supports component‑level updates without full device recertification</w:t>
      </w:r>
    </w:p>
    <w:p>
      <w:r>
        <w:rPr>
          <w:color w:val="777777"/>
          <w:sz w:val="16"/>
        </w:rPr>
        <w:t xml:space="preserve">p008 · att1 p.2  </w:t>
      </w:r>
      <w:r>
        <w:t>Allows manufacturers to reuse validated modules across devices — Aligns with modern distributed AI architectures</w:t>
      </w:r>
    </w:p>
    <w:p>
      <w:r>
        <w:rPr>
          <w:color w:val="777777"/>
          <w:sz w:val="16"/>
        </w:rPr>
        <w:t xml:space="preserve">p009 · att1 p.2  </w:t>
      </w:r>
      <w:r>
        <w:t>PrimordiaOS uses “realms” as modular, claimable units with deterministic state transitions. This structure provides a natural mapping to the regulatory modularity the FDA is considering.</w:t>
      </w:r>
    </w:p>
    <w:p>
      <w:r>
        <w:rPr>
          <w:color w:val="777777"/>
          <w:sz w:val="16"/>
        </w:rPr>
        <w:t xml:space="preserve">p010 · att1 p.2  </w:t>
      </w:r>
      <w:r>
        <w:t>3. Foundation Model Governance: Need for Provenance, Versioning, and Drift Detection The FDA correctly identifies foundation models as a major regulatory challenge. Their scale, adaptability, and broad applicability require specialized oversight mechanisms.</w:t>
      </w:r>
    </w:p>
    <w:p>
      <w:r>
        <w:rPr>
          <w:color w:val="777777"/>
          <w:sz w:val="16"/>
        </w:rPr>
        <w:t xml:space="preserve">p011 · att1 p.2  </w:t>
      </w:r>
      <w:r>
        <w:t>I recommend that the FDA require: Model lineage tracking (training data provenance, fine‑tuning history)</w:t>
      </w:r>
    </w:p>
    <w:p>
      <w:r>
        <w:rPr>
          <w:color w:val="777777"/>
          <w:sz w:val="16"/>
        </w:rPr>
        <w:t xml:space="preserve">p012 · att1 p.2  </w:t>
      </w:r>
      <w:r>
        <w:t>Versioned model claiming (immutable identifiers for each model state) — Automated drift detection (monitoring changes in behavior over time)</w:t>
      </w:r>
    </w:p>
    <w:p>
      <w:r>
        <w:rPr>
          <w:color w:val="777777"/>
          <w:sz w:val="16"/>
        </w:rPr>
        <w:t xml:space="preserve">p013 · att1 p.2  </w:t>
      </w:r>
      <w:r>
        <w:t>Governance layers that enforce safety constraints across downstream uses — PrimordiaOS provides these capabilities through multi‑realm governance, versioned claiming, and autonomous drift‑monitoring agents. These mechanisms directly support the FDA’s objectives for foundation‑model oversight.</w:t>
      </w:r>
    </w:p>
    <w:p>
      <w:r>
        <w:rPr>
          <w:color w:val="777777"/>
          <w:sz w:val="16"/>
        </w:rPr>
        <w:t xml:space="preserve">p014 · att1 p.2  </w:t>
      </w:r>
      <w:r>
        <w:t>4. Postmarket Monitoring: Support for Risk‑Tiered Continuous Oversight I strongly agree with the FDA’s emphasis on risk‑tiered postmarket monitoring. Generative AI systems require continuous oversight due to their adaptive nature and potential for performance drift.</w:t>
      </w:r>
    </w:p>
    <w:p>
      <w:r>
        <w:rPr>
          <w:color w:val="777777"/>
          <w:sz w:val="16"/>
        </w:rPr>
        <w:t xml:space="preserve">p015 · att1 p.3  </w:t>
      </w:r>
      <w:r>
        <w:t>A robust postmarket framework should include: Continuous telemetry collection — Automated anomaly detection</w:t>
      </w:r>
    </w:p>
    <w:p>
      <w:r>
        <w:rPr>
          <w:color w:val="777777"/>
          <w:sz w:val="16"/>
        </w:rPr>
        <w:t xml:space="preserve">p016 · att1 p.3  </w:t>
      </w:r>
      <w:r>
        <w:t>Risk‑tiered monitoring intensity — Transparent reporting pipelines — Lifecycle‑wide safety governance — PrimordiaOS implements continuous multi‑realm telemetry, fault‑tolerant logging, and autonomous safety agents that detect deviations in model behavior. These capabilities align with the FDA’s proposed lifecycle monitoring approach.</w:t>
      </w:r>
    </w:p>
    <w:p>
      <w:r>
        <w:rPr>
          <w:color w:val="777777"/>
          <w:sz w:val="16"/>
        </w:rPr>
        <w:t xml:space="preserve">p017 · att1 p.3  </w:t>
      </w:r>
      <w:r>
        <w:t>5. Recommendation: Encourage Industry Adoption of Lifecycle‑Native Architectures The FDA’s discussion paper highlights the need for regulatory approaches that evolve alongside technology. I recommend encouraging architectures that are lifecycle‑native—systems designed from the ground up for competency testing, governance, monitoring, and traceability.</w:t>
      </w:r>
    </w:p>
    <w:p>
      <w:r>
        <w:rPr>
          <w:color w:val="777777"/>
          <w:sz w:val="16"/>
        </w:rPr>
        <w:t xml:space="preserve">p018 · att1 p.3  </w:t>
      </w:r>
      <w:r>
        <w:t>PrimordiaOS is an example of such an architecture, providing: Built‑in competency evaluation — Foundation‑model governance</w:t>
      </w:r>
    </w:p>
    <w:p>
      <w:r>
        <w:rPr>
          <w:color w:val="777777"/>
          <w:sz w:val="16"/>
        </w:rPr>
        <w:t xml:space="preserve">p019 · att1 p.3  </w:t>
      </w:r>
      <w:r>
        <w:t>Multi‑realm safety oversight — Continuous postmarket telemetry — Deterministic audit trails — These capabilities reduce regulatory burden for manufacturers and improve patient safety.</w:t>
      </w:r>
    </w:p>
    <w:p>
      <w:r>
        <w:rPr>
          <w:color w:val="777777"/>
          <w:sz w:val="16"/>
        </w:rPr>
        <w:t xml:space="preserve">p020 · att1 p.4  </w:t>
      </w:r>
      <w:r>
        <w:t>Conclusion The FDA’s discussion paper represents a forward‑looking and highly constructive foundation for regulating generative AI‑enabled medical devices. I strongly support the competency‑based, lifecycle‑aware, and modular approaches outlined in the document.</w:t>
      </w:r>
    </w:p>
    <w:p>
      <w:r>
        <w:rPr>
          <w:color w:val="777777"/>
          <w:sz w:val="16"/>
        </w:rPr>
        <w:t xml:space="preserve">p021 · att1 p.4  </w:t>
      </w:r>
      <w:r>
        <w:t>I encourage the FDA to: Adopt modular regulatory units — Require foundation‑model provenance and governance</w:t>
      </w:r>
    </w:p>
    <w:p>
      <w:r>
        <w:rPr>
          <w:color w:val="777777"/>
          <w:sz w:val="16"/>
        </w:rPr>
        <w:t xml:space="preserve">p022 · att1 p.4  </w:t>
      </w:r>
      <w:r>
        <w:t>Implement risk‑tiered continuous monitoring — Promote lifecycle‑native architectures — These principles will help ensure safe, effective, and trustworthy generative‑AI medical technologies while supporting innovation across the industry.</w:t>
      </w:r>
    </w:p>
    <w:p>
      <w:r>
        <w:rPr>
          <w:color w:val="777777"/>
          <w:sz w:val="16"/>
        </w:rPr>
        <w:t xml:space="preserve">p023 · att3 p.1  </w:t>
      </w:r>
      <w:r>
        <w:t>PrimordiaOS Technical Positioning Brief — A Lifecycle‑Native Architecture for Competency, Governance, and Postmarket Monitoring of Generative AI‑Enabled Medical Devices</w:t>
      </w:r>
    </w:p>
    <w:p>
      <w:r>
        <w:rPr>
          <w:color w:val="777777"/>
          <w:sz w:val="16"/>
        </w:rPr>
        <w:t xml:space="preserve">p024 · att3 p.1  </w:t>
      </w:r>
      <w:r>
        <w:t>1. Overview of PrimordiaOS Architecture — PrimordiaOS is a multi‑realm orchestration system designed for autonomous and generative AI ecosystems. Its architecture is built around modular, claimable units (“realms”) that provide deterministic state transitions, continuous telemetry, and lifecycle‑wide governance.</w:t>
      </w:r>
    </w:p>
    <w:p>
      <w:r>
        <w:rPr>
          <w:color w:val="777777"/>
          <w:sz w:val="16"/>
        </w:rPr>
        <w:t xml:space="preserve">p025 · att3 p.1  </w:t>
      </w:r>
      <w:r>
        <w:t>Each realm is: ● Isolated for safety and traceability ● Composable for multi‑component AI systems ● Auditable through deterministic claiming ● Lifecycle‑native, supporting premarket, deployment, and postmarket phases</w:t>
      </w:r>
    </w:p>
    <w:p>
      <w:r>
        <w:rPr>
          <w:color w:val="777777"/>
          <w:sz w:val="16"/>
        </w:rPr>
        <w:t xml:space="preserve">p026 · att3 p.1  </w:t>
      </w:r>
      <w:r>
        <w:t>This structure aligns directly with the FDA’s proposed competency‑based and lifecycle‑aware regulatory framework.</w:t>
      </w:r>
    </w:p>
    <w:p>
      <w:r>
        <w:rPr>
          <w:color w:val="777777"/>
          <w:sz w:val="16"/>
        </w:rPr>
        <w:t xml:space="preserve">p027 · att3 p.1  </w:t>
      </w:r>
      <w:r>
        <w:t>2. Competency Assessment Capabilities — PrimordiaOS includes built‑in mechanisms for competency evaluation across diverse AI behaviors. These capabilities support the FDA’s call for performance‑based validation.</w:t>
      </w:r>
    </w:p>
    <w:p>
      <w:r>
        <w:rPr>
          <w:color w:val="777777"/>
          <w:sz w:val="16"/>
        </w:rPr>
        <w:t xml:space="preserve">p028 · att3 p.1  </w:t>
      </w:r>
      <w:r>
        <w:t>Key Features — Scenario Generation Realm — ● Generates synthetic and real‑world test cases for competency evaluation.</w:t>
      </w:r>
    </w:p>
    <w:p>
      <w:r>
        <w:rPr>
          <w:color w:val="777777"/>
          <w:sz w:val="16"/>
        </w:rPr>
        <w:t xml:space="preserve">p029 · att3 p.1  </w:t>
      </w:r>
      <w:r>
        <w:t>Stress‑Testing Agents — ● Automatically probe edge conditions and failure modes.</w:t>
      </w:r>
    </w:p>
    <w:p>
      <w:r>
        <w:rPr>
          <w:color w:val="777777"/>
          <w:sz w:val="16"/>
        </w:rPr>
        <w:t xml:space="preserve">p030 · att3 p.1  </w:t>
      </w:r>
      <w:r>
        <w:t>Deterministic Audit Trails — ● Every competency test produces immutable logs for regulatory review.</w:t>
      </w:r>
    </w:p>
    <w:p>
      <w:r>
        <w:rPr>
          <w:color w:val="777777"/>
          <w:sz w:val="16"/>
        </w:rPr>
        <w:t xml:space="preserve">p031 · att3 p.1  </w:t>
      </w:r>
      <w:r>
        <w:t>Lifecycle Re‑Assessment — ● Competency can be re‑evaluated automatically when models update or drift.</w:t>
      </w:r>
    </w:p>
    <w:p>
      <w:r>
        <w:rPr>
          <w:color w:val="777777"/>
          <w:sz w:val="16"/>
        </w:rPr>
        <w:t xml:space="preserve">p032 · att3 p.2  </w:t>
      </w:r>
      <w:r>
        <w:t>These capabilities allow manufacturers to demonstrate competency in a repeatable, auditable, and lifecycle‑aware manner.</w:t>
      </w:r>
    </w:p>
    <w:p>
      <w:r>
        <w:rPr>
          <w:color w:val="777777"/>
          <w:sz w:val="16"/>
        </w:rPr>
        <w:t xml:space="preserve">p033 · att3 p.2  </w:t>
      </w:r>
      <w:r>
        <w:t>3. Foundation Model Governance — The FDA highlights foundation models as a major regulatory challenge. PrimordiaOS provides governance primitives that directly address these concerns.</w:t>
      </w:r>
    </w:p>
    <w:p>
      <w:r>
        <w:rPr>
          <w:color w:val="777777"/>
          <w:sz w:val="16"/>
        </w:rPr>
        <w:t xml:space="preserve">p034 · att3 p.2  </w:t>
      </w:r>
      <w:r>
        <w:t>Governance Features — Model Lineage Tracking Realm — ● Captures training data provenance, fine‑tuning history, and model derivation.</w:t>
      </w:r>
    </w:p>
    <w:p>
      <w:r>
        <w:rPr>
          <w:color w:val="777777"/>
          <w:sz w:val="16"/>
        </w:rPr>
        <w:t xml:space="preserve">p035 · att3 p.2  </w:t>
      </w:r>
      <w:r>
        <w:t>Versioned Claiming — ● Each model state receives an immutable identifier, enabling precise regulatory traceability.</w:t>
      </w:r>
    </w:p>
    <w:p>
      <w:r>
        <w:rPr>
          <w:color w:val="777777"/>
          <w:sz w:val="16"/>
        </w:rPr>
        <w:t xml:space="preserve">p036 · att3 p.2  </w:t>
      </w:r>
      <w:r>
        <w:t>Safety Governor Realm — ● Enforces constraints across downstream uses of the model.</w:t>
      </w:r>
    </w:p>
    <w:p>
      <w:r>
        <w:rPr>
          <w:color w:val="777777"/>
          <w:sz w:val="16"/>
        </w:rPr>
        <w:t xml:space="preserve">p037 · att3 p.2  </w:t>
      </w:r>
      <w:r>
        <w:t>Drift Detection Agents — ● Continuously monitor behavioral changes and trigger re‑evaluation workflows.</w:t>
      </w:r>
    </w:p>
    <w:p>
      <w:r>
        <w:rPr>
          <w:color w:val="777777"/>
          <w:sz w:val="16"/>
        </w:rPr>
        <w:t xml:space="preserve">p038 · att3 p.2  </w:t>
      </w:r>
      <w:r>
        <w:t>These mechanisms support the FDA’s goals for transparency, accountability, and lifecycle oversight of foundation models.</w:t>
      </w:r>
    </w:p>
    <w:p>
      <w:r>
        <w:rPr>
          <w:color w:val="777777"/>
          <w:sz w:val="16"/>
        </w:rPr>
        <w:t xml:space="preserve">p039 · att3 p.2  </w:t>
      </w:r>
      <w:r>
        <w:t>4. Postmarket Monitoring Infrastructure — PrimordiaOS provides continuous, risk‑tiered monitoring aligned with the FDA’s proposed postmarket expectations.</w:t>
      </w:r>
    </w:p>
    <w:p>
      <w:r>
        <w:rPr>
          <w:color w:val="777777"/>
          <w:sz w:val="16"/>
        </w:rPr>
        <w:t xml:space="preserve">p040 · att3 p.2  </w:t>
      </w:r>
      <w:r>
        <w:t>Monitoring Features — Multi‑Realm Telemetry Bus — ● Collects real‑time performance, safety, and usage data across all components.</w:t>
      </w:r>
    </w:p>
    <w:p>
      <w:r>
        <w:rPr>
          <w:color w:val="777777"/>
          <w:sz w:val="16"/>
        </w:rPr>
        <w:t xml:space="preserve">p041 · att3 p.2  </w:t>
      </w:r>
      <w:r>
        <w:t>Fault‑Tolerant Logging Realm — ● Ensures reliable capture of safety‑critical events.</w:t>
      </w:r>
    </w:p>
    <w:p>
      <w:r>
        <w:rPr>
          <w:color w:val="777777"/>
          <w:sz w:val="16"/>
        </w:rPr>
        <w:t xml:space="preserve">p042 · att3 p.3  </w:t>
      </w:r>
      <w:r>
        <w:t>Autonomous Anomaly Detection Agents — ● Identify deviations from expected behavior and escalate alerts.</w:t>
      </w:r>
    </w:p>
    <w:p>
      <w:r>
        <w:rPr>
          <w:color w:val="777777"/>
          <w:sz w:val="16"/>
        </w:rPr>
        <w:t xml:space="preserve">p043 · att3 p.3  </w:t>
      </w:r>
      <w:r>
        <w:t>Risk‑Tiered Monitoring Profiles — ● Higher‑risk devices receive more intensive oversight automatically.</w:t>
      </w:r>
    </w:p>
    <w:p>
      <w:r>
        <w:rPr>
          <w:color w:val="777777"/>
          <w:sz w:val="16"/>
        </w:rPr>
        <w:t xml:space="preserve">p044 · att3 p.3  </w:t>
      </w:r>
      <w:r>
        <w:t>These capabilities enable manufacturers to meet postmarket monitoring requirements without building custom infrastructure.</w:t>
      </w:r>
    </w:p>
    <w:p>
      <w:r>
        <w:rPr>
          <w:color w:val="777777"/>
          <w:sz w:val="16"/>
        </w:rPr>
        <w:t xml:space="preserve">p045 · att3 p.3  </w:t>
      </w:r>
      <w:r>
        <w:t>5. Modular Regulatory Alignment — The FDA discussion paper acknowledges the difficulty of regulating multi‑component AI systems. PrimordiaOS’s realm architecture provides a natural regulatory abstraction.</w:t>
      </w:r>
    </w:p>
    <w:p>
      <w:r>
        <w:rPr>
          <w:color w:val="777777"/>
          <w:sz w:val="16"/>
        </w:rPr>
        <w:t xml:space="preserve">p046 · att3 p.3  </w:t>
      </w:r>
      <w:r>
        <w:t>Regulatory Advantages — ● Each realm can be validated independently. ● Updates can be scoped to specific modules. ● Safety governors can be certified as reusable components. ● Telemetry and audit realms provide standardized reporting.</w:t>
      </w:r>
    </w:p>
    <w:p>
      <w:r>
        <w:rPr>
          <w:color w:val="777777"/>
          <w:sz w:val="16"/>
        </w:rPr>
        <w:t xml:space="preserve">p047 · att3 p.3  </w:t>
      </w:r>
      <w:r>
        <w:t>This modularity supports the FDA’s goal of flexible, scalable oversight for complex AI systems.</w:t>
      </w:r>
    </w:p>
    <w:p>
      <w:r>
        <w:rPr>
          <w:color w:val="777777"/>
          <w:sz w:val="16"/>
        </w:rPr>
        <w:t xml:space="preserve">p048 · att3 p.3  </w:t>
      </w:r>
      <w:r>
        <w:t>www.primordialorigin.com</w:t>
      </w:r>
    </w:p>
    <w:p>
      <w:pPr>
        <w:pStyle w:val="Heading1"/>
        <w:pageBreakBefore/>
      </w:pPr>
      <w:r>
        <w:t>FDA-2026-N-7874-0125</w:t>
      </w:r>
    </w:p>
    <w:p>
      <w:r>
        <w:t>Comment from shane Fisher</w:t>
      </w:r>
    </w:p>
    <w:p>
      <w:r>
        <w:rPr>
          <w:color w:val="777777"/>
          <w:sz w:val="18"/>
        </w:rPr>
        <w:t>Drug Association - D0012 · received 2026-09-27 · attachments: attachment_1.pdf (3 pp)</w:t>
      </w:r>
    </w:p>
    <w:p>
      <w:r>
        <w:rPr>
          <w:color w:val="777777"/>
          <w:sz w:val="16"/>
        </w:rPr>
        <w:t xml:space="preserve">p001 · body  </w:t>
      </w:r>
      <w:r>
        <w:t>Feedback on FDA Discussion Paper: Considerations for the Regulation of Generative AI-Enabled Medical Devices (FDA-2026-N-7874-0001)</w:t>
      </w:r>
    </w:p>
    <w:p>
      <w:r>
        <w:rPr>
          <w:color w:val="777777"/>
          <w:sz w:val="16"/>
        </w:rPr>
        <w:t xml:space="preserve">p002 · att1 p.1  </w:t>
      </w:r>
      <w:r>
        <w:t>1. Support for Competency‑Based Evaluation Framework I strongly support the FDA’s proposal to evaluate generative‑AI medical devices through competency assessment rather than static premarket checklists. Generative AI systems exhibit dynamic behavior, emergent capabilities, and context‑dependent performance that cannot be adequately captured through traditional validation methods.</w:t>
      </w:r>
    </w:p>
    <w:p>
      <w:r>
        <w:rPr>
          <w:color w:val="777777"/>
          <w:sz w:val="16"/>
        </w:rPr>
        <w:t xml:space="preserve">p003 · att1 p.1  </w:t>
      </w:r>
      <w:r>
        <w:t>A competency‑based framework should include: Scenario‑based evaluation using synthetic and real‑world test cases</w:t>
      </w:r>
    </w:p>
    <w:p>
      <w:r>
        <w:rPr>
          <w:color w:val="777777"/>
          <w:sz w:val="16"/>
        </w:rPr>
        <w:t xml:space="preserve">p004 · att1 p.1  </w:t>
      </w:r>
      <w:r>
        <w:t>Stress testing across edge conditions — Repeatable, auditable evaluation pipelines — Lifecycle‑aware competency re‑assessment as models evolve</w:t>
      </w:r>
    </w:p>
    <w:p>
      <w:r>
        <w:rPr>
          <w:color w:val="777777"/>
          <w:sz w:val="16"/>
        </w:rPr>
        <w:t xml:space="preserve">p005 · att1 p.1  </w:t>
      </w:r>
      <w:r>
        <w:t>PrimordiaOS implements these principles through modular “realms” that allow manufacturers to run controlled competency tests, generate diverse evaluation scenarios, and maintain deterministic audit trails. This architecture aligns closely with the FDA’s stated goals.</w:t>
      </w:r>
    </w:p>
    <w:p>
      <w:r>
        <w:rPr>
          <w:color w:val="777777"/>
          <w:sz w:val="16"/>
        </w:rPr>
        <w:t xml:space="preserve">p006 · att1 p.1  </w:t>
      </w:r>
      <w:r>
        <w:t>2. Recommendation: Treat Modular AI Components as Regulatory Units The discussion paper highlights challenges in regulating systems composed of multiple interacting AI components. I recommend that the FDA adopt a modular regulatory abstraction, where discrete functional units—such as model governance, safety governors, telemetry modules, and competency evaluators—are treated as identifiable regulatory objects.</w:t>
      </w:r>
    </w:p>
    <w:p>
      <w:r>
        <w:rPr>
          <w:color w:val="777777"/>
          <w:sz w:val="16"/>
        </w:rPr>
        <w:t xml:space="preserve">p007 · att1 p.1  </w:t>
      </w:r>
      <w:r>
        <w:t>This approach: Enables clearer accountability — Supports component‑level updates without full device recertification</w:t>
      </w:r>
    </w:p>
    <w:p>
      <w:r>
        <w:rPr>
          <w:color w:val="777777"/>
          <w:sz w:val="16"/>
        </w:rPr>
        <w:t xml:space="preserve">p008 · att1 p.1  </w:t>
      </w:r>
      <w:r>
        <w:t>Allows manufacturers to reuse validated modules across devices — Aligns with modern distributed AI architectures</w:t>
      </w:r>
    </w:p>
    <w:p>
      <w:r>
        <w:rPr>
          <w:color w:val="777777"/>
          <w:sz w:val="16"/>
        </w:rPr>
        <w:t xml:space="preserve">p009 · att1 p.1  </w:t>
      </w:r>
      <w:r>
        <w:t>PrimordiaOS uses “realms” as modular, claimable units with deterministic state transitions. This structure provides a natural mapping to the regulatory modularity the FDA is considering.</w:t>
      </w:r>
    </w:p>
    <w:p>
      <w:r>
        <w:rPr>
          <w:color w:val="777777"/>
          <w:sz w:val="16"/>
        </w:rPr>
        <w:t xml:space="preserve">p010 · att1 p.1  </w:t>
      </w:r>
      <w:r>
        <w:t>3. Foundation Model Governance: Need for Provenance, Versioning, and Drift Detection The FDA correctly identifies foundation models as a major regulatory challenge. Their scale, adaptability, and broad applicability require specialized oversight mechanisms.</w:t>
      </w:r>
    </w:p>
    <w:p>
      <w:r>
        <w:rPr>
          <w:color w:val="777777"/>
          <w:sz w:val="16"/>
        </w:rPr>
        <w:t xml:space="preserve">p011 · att1 p.1  </w:t>
      </w:r>
      <w:r>
        <w:t>I recommend that the FDA require: Model lineage tracking (training data provenance, fine‑tuning history)</w:t>
      </w:r>
    </w:p>
    <w:p>
      <w:r>
        <w:rPr>
          <w:color w:val="777777"/>
          <w:sz w:val="16"/>
        </w:rPr>
        <w:t xml:space="preserve">p012 · att1 p.2  </w:t>
      </w:r>
      <w:r>
        <w:t>Versioned model claiming (immutable identifiers for each model state) — Automated drift detection (monitoring changes in behavior over time)</w:t>
      </w:r>
    </w:p>
    <w:p>
      <w:r>
        <w:rPr>
          <w:color w:val="777777"/>
          <w:sz w:val="16"/>
        </w:rPr>
        <w:t xml:space="preserve">p013 · att1 p.2  </w:t>
      </w:r>
      <w:r>
        <w:t>Governance layers that enforce safety constraints across downstream uses — PrimordiaOS provides these capabilities through multi‑realm governance, versioned claiming, and autonomous drift‑monitoring agents. These mechanisms directly support the FDA’s objectives for foundation‑model oversight.</w:t>
      </w:r>
    </w:p>
    <w:p>
      <w:r>
        <w:rPr>
          <w:color w:val="777777"/>
          <w:sz w:val="16"/>
        </w:rPr>
        <w:t xml:space="preserve">p014 · att1 p.2  </w:t>
      </w:r>
      <w:r>
        <w:t>4. Postmarket Monitoring: Support for Risk‑Tiered Continuous Oversight I strongly agree with the FDA’s emphasis on risk‑tiered postmarket monitoring. Generative AI systems require continuous oversight due to their adaptive nature and potential for performance drift.</w:t>
      </w:r>
    </w:p>
    <w:p>
      <w:r>
        <w:rPr>
          <w:color w:val="777777"/>
          <w:sz w:val="16"/>
        </w:rPr>
        <w:t xml:space="preserve">p015 · att1 p.2  </w:t>
      </w:r>
      <w:r>
        <w:t>A robust postmarket framework should include: Continuous telemetry collection — Automated anomaly detection</w:t>
      </w:r>
    </w:p>
    <w:p>
      <w:r>
        <w:rPr>
          <w:color w:val="777777"/>
          <w:sz w:val="16"/>
        </w:rPr>
        <w:t xml:space="preserve">p016 · att1 p.2  </w:t>
      </w:r>
      <w:r>
        <w:t>Risk‑tiered monitoring intensity — Transparent reporting pipelines — Lifecycle‑wide safety governance — PrimordiaOS implements continuous multi‑realm telemetry, fault‑tolerant logging, and autonomous safety agents that detect deviations in model behavior. These capabilities align with the FDA’s proposed lifecycle monitoring approach.</w:t>
      </w:r>
    </w:p>
    <w:p>
      <w:r>
        <w:rPr>
          <w:color w:val="777777"/>
          <w:sz w:val="16"/>
        </w:rPr>
        <w:t xml:space="preserve">p017 · att1 p.2  </w:t>
      </w:r>
      <w:r>
        <w:t>5. Recommendation: Encourage Industry Adoption of Lifecycle‑Native Architectures The FDA’s discussion paper highlights the need for regulatory approaches that evolve alongside technology. I recommend encouraging architectures that are lifecycle‑native—systems designed from the ground up for competency testing, governance, monitoring, and traceability.</w:t>
      </w:r>
    </w:p>
    <w:p>
      <w:r>
        <w:rPr>
          <w:color w:val="777777"/>
          <w:sz w:val="16"/>
        </w:rPr>
        <w:t xml:space="preserve">p018 · att1 p.2  </w:t>
      </w:r>
      <w:r>
        <w:t>PrimordiaOS is an example of such an architecture, providing: Built‑in competency evaluation — Foundation‑model governance</w:t>
      </w:r>
    </w:p>
    <w:p>
      <w:r>
        <w:rPr>
          <w:color w:val="777777"/>
          <w:sz w:val="16"/>
        </w:rPr>
        <w:t xml:space="preserve">p019 · att1 p.2  </w:t>
      </w:r>
      <w:r>
        <w:t>Multi‑realm safety oversight — Continuous postmarket telemetry — Deterministic audit trails — These capabilities reduce regulatory burden for manufacturers and improve patient safety.</w:t>
      </w:r>
    </w:p>
    <w:p>
      <w:r>
        <w:rPr>
          <w:color w:val="777777"/>
          <w:sz w:val="16"/>
        </w:rPr>
        <w:t xml:space="preserve">p020 · att1 p.3  </w:t>
      </w:r>
      <w:r>
        <w:t>Conclusion The FDA’s discussion paper represents a forward‑looking and highly constructive foundation for regulating generative AI‑enabled medical devices. I strongly support the competency‑based, lifecycle‑aware, and modular approaches outlined in the document.</w:t>
      </w:r>
    </w:p>
    <w:p>
      <w:r>
        <w:rPr>
          <w:color w:val="777777"/>
          <w:sz w:val="16"/>
        </w:rPr>
        <w:t xml:space="preserve">p021 · att1 p.3  </w:t>
      </w:r>
      <w:r>
        <w:t>I encourage the FDA to: Adopt modular regulatory units — Require foundation‑model provenance and governance</w:t>
      </w:r>
    </w:p>
    <w:p>
      <w:r>
        <w:rPr>
          <w:color w:val="777777"/>
          <w:sz w:val="16"/>
        </w:rPr>
        <w:t xml:space="preserve">p022 · att1 p.3  </w:t>
      </w:r>
      <w:r>
        <w:t>Implement risk‑tiered continuous monitoring — Promote lifecycle‑native architectures — These principles will help ensure safe, effective, and trustworthy generative‑AI medical technologies while supporting innovation across the industry.</w:t>
      </w:r>
    </w:p>
    <w:p>
      <w:pPr>
        <w:pStyle w:val="Heading1"/>
        <w:pageBreakBefore/>
      </w:pPr>
      <w:r>
        <w:t>FDA-2026-N-7874-0126</w:t>
      </w:r>
    </w:p>
    <w:p>
      <w:r>
        <w:t>Comment from UltraAI</w:t>
      </w:r>
    </w:p>
    <w:p>
      <w:r>
        <w:rPr>
          <w:color w:val="777777"/>
          <w:sz w:val="18"/>
        </w:rPr>
        <w:t>Device Industry - C0012 · received 2026-09-28 · attachments: attachment_1.pdf (45 pp)</w:t>
      </w:r>
    </w:p>
    <w:p>
      <w:r>
        <w:rPr>
          <w:color w:val="777777"/>
          <w:sz w:val="16"/>
        </w:rPr>
        <w:t xml:space="preserve">p001 · body  </w:t>
      </w:r>
      <w:r>
        <w:t>UltraAI respectfully submits the attached comments on the discussion paper "Considerations for the Regulation of Generative AI-Enabled Medical Devices: Discussion Paper and Request for Feedback" (Docket No. FDA-2026-N-7874). Please see the enclosed document for our full comments. A one-page figure of our proposed framework appears on page 1, and a summary of our comments and recommendations on pages 3–6.</w:t>
      </w:r>
    </w:p>
    <w:p>
      <w:r>
        <w:rPr>
          <w:color w:val="777777"/>
          <w:sz w:val="16"/>
        </w:rPr>
        <w:t xml:space="preserve">p002 · body  </w:t>
      </w:r>
      <w:r>
        <w:t>Reza Rahmanzadeh, MD, PhD — CEO &amp; Founder @ UltraAI</w:t>
      </w:r>
    </w:p>
    <w:p>
      <w:r>
        <w:rPr>
          <w:color w:val="777777"/>
          <w:sz w:val="16"/>
        </w:rPr>
        <w:t xml:space="preserve">p003 · att1 p.1  </w:t>
      </w:r>
      <w:r>
        <w:t>Comments of UltraAI on the FDA Discussion Paper — “Considerations for the Regulation of Generative AI-Enabled Medical Devices: Discussion Paper and Request for Feedback”</w:t>
      </w:r>
    </w:p>
    <w:p>
      <w:r>
        <w:rPr>
          <w:color w:val="777777"/>
          <w:sz w:val="16"/>
        </w:rPr>
        <w:t xml:space="preserve">p004 · att1 p.1  </w:t>
      </w:r>
      <w:r>
        <w:t>DOCKET NO. FDA-2026-N-7874 — SUBMITTED BY UltraAI — AUTHOR Reza Rahmanzadeh, MD, PhD</w:t>
      </w:r>
    </w:p>
    <w:p>
      <w:r>
        <w:rPr>
          <w:color w:val="777777"/>
          <w:sz w:val="16"/>
        </w:rPr>
        <w:t xml:space="preserve">p005 · att1 p.1  </w:t>
      </w:r>
      <w:r>
        <w:t>DATE 28 September 2026 — Contents — I Introduction and Statement of Interest...........................................................................................2</w:t>
      </w:r>
    </w:p>
    <w:p>
      <w:r>
        <w:rPr>
          <w:color w:val="777777"/>
          <w:sz w:val="16"/>
        </w:rPr>
        <w:t xml:space="preserve">p006 · att1 p.2  </w:t>
      </w:r>
      <w:r>
        <w:t>II Summary of Comments and Recommendations...........................................................................3 — III Comments on Section IV — Considerations for the Assessment of Risk............................................7</w:t>
      </w:r>
    </w:p>
    <w:p>
      <w:r>
        <w:rPr>
          <w:color w:val="777777"/>
          <w:sz w:val="16"/>
        </w:rPr>
        <w:t xml:space="preserve">p007 · att1 p.2  </w:t>
      </w:r>
      <w:r>
        <w:t>Questions 1 through 6 — IV Comments on Section V — A Competency-Based Approach for Premarket Evaluation....14</w:t>
      </w:r>
    </w:p>
    <w:p>
      <w:r>
        <w:rPr>
          <w:color w:val="777777"/>
          <w:sz w:val="16"/>
        </w:rPr>
        <w:t xml:space="preserve">p008 · att1 p.2  </w:t>
      </w:r>
      <w:r>
        <w:t>Questions 7 through 17 — V Comments on Section VI — Postmarket Monitoring.............................................................................................21</w:t>
      </w:r>
    </w:p>
    <w:p>
      <w:r>
        <w:rPr>
          <w:color w:val="777777"/>
          <w:sz w:val="16"/>
        </w:rPr>
        <w:t xml:space="preserve">p009 · att1 p.2  </w:t>
      </w:r>
      <w:r>
        <w:t>Questions 18 through 20, 24 and 25 — VI Architectural Safeguards for High-Risk-Profile Device Functions, Including Autonomous Functions......................................................................................................................................................................................................25</w:t>
      </w:r>
    </w:p>
    <w:p>
      <w:r>
        <w:rPr>
          <w:color w:val="777777"/>
          <w:sz w:val="16"/>
        </w:rPr>
        <w:t xml:space="preserve">p010 · att1 p.2  </w:t>
      </w:r>
      <w:r>
        <w:t>Questions 4, 11, 18 and 26 — VII Applicability Beyond Generative Architectures........................................................................................................28 — Questions 1, 17 and 26</w:t>
      </w:r>
    </w:p>
    <w:p>
      <w:r>
        <w:rPr>
          <w:color w:val="777777"/>
          <w:sz w:val="16"/>
        </w:rPr>
        <w:t xml:space="preserve">p011 · att1 p.2  </w:t>
      </w:r>
      <w:r>
        <w:t>VIII Generalizability: Synthetic Data and Independent Benchmarking..........................................................30 — Questions 10, 12, 13 and 16</w:t>
      </w:r>
    </w:p>
    <w:p>
      <w:r>
        <w:rPr>
          <w:color w:val="777777"/>
          <w:sz w:val="16"/>
        </w:rPr>
        <w:t xml:space="preserve">p012 · att1 p.2  </w:t>
      </w:r>
      <w:r>
        <w:t>IX Conclusion....................................................................................................................................... 34 — APPENDICES A Generating and Presenting: Illustrative Examples.......................................................................36 — B Risk Profiles: Illustrative Examples................................................................................................39</w:t>
      </w:r>
    </w:p>
    <w:p>
      <w:r>
        <w:rPr>
          <w:color w:val="777777"/>
          <w:sz w:val="16"/>
        </w:rPr>
        <w:t xml:space="preserve">p013 · att1 p.2  </w:t>
      </w:r>
      <w:r>
        <w:t>C Bounding and Claim-Level Evaluation: Illustrative Examples.....................................................41 — References...................................................................................................................................... 43 — I. Introduction and Statement of Interest</w:t>
      </w:r>
    </w:p>
    <w:p>
      <w:r>
        <w:rPr>
          <w:color w:val="777777"/>
          <w:sz w:val="16"/>
        </w:rPr>
        <w:t xml:space="preserve">p014 · att1 p.2  </w:t>
      </w:r>
      <w:r>
        <w:t>UltraAI develops AI-enabled software for medical imaging, including radiology and pathology. The company holds an FDA Breakthrough Device Designation and participates in CDRH’s Total Product Life</w:t>
      </w:r>
    </w:p>
    <w:p>
      <w:r>
        <w:rPr>
          <w:color w:val="777777"/>
          <w:sz w:val="16"/>
        </w:rPr>
        <w:t xml:space="preserve">p015 · att1 p.2  </w:t>
      </w:r>
      <w:r>
        <w:t>Cycle Advisory Program.</w:t>
      </w:r>
    </w:p>
    <w:p>
      <w:r>
        <w:rPr>
          <w:color w:val="777777"/>
          <w:sz w:val="16"/>
        </w:rPr>
        <w:t xml:space="preserve">p016 · att1 p.2  </w:t>
      </w:r>
      <w:r>
        <w:t>I write as a neuroradiologist and AI engineer. My doctoral research was in quantitative neuroimaging and my postdoctoral research in AI; I design and validate machine learning systems for medical imaging. Having worked hands-on with both conventional and generative AI tools in clinical imaging, I comment as a clinician who relies on these tools and as an AI engineer accountable for how they behave when they are wrong.</w:t>
      </w:r>
    </w:p>
    <w:p>
      <w:r>
        <w:rPr>
          <w:color w:val="777777"/>
          <w:sz w:val="16"/>
        </w:rPr>
        <w:t xml:space="preserve">p017 · att1 p.2  </w:t>
      </w:r>
      <w:r>
        <w:t>CDRH has asked the right questions, and the framework that emerges will shape not only what is permitted but what is built. We share the Agency’s objective of timely patient access to safe and effective devices, consistent with least burdensome principles. Our recommendations aim to make the framework more precise: several propose tests that are narrower, more auditable, and less costly to apply than the constructs currently described, while providing clearer assurance of safety.</w:t>
      </w:r>
    </w:p>
    <w:p>
      <w:r>
        <w:rPr>
          <w:color w:val="777777"/>
          <w:sz w:val="16"/>
        </w:rPr>
        <w:t xml:space="preserve">p018 · att1 p.2  </w:t>
      </w:r>
      <w:r>
        <w:t>Quotations in this comment are drawn from the discussion paper unless otherwise indicated.1</w:t>
      </w:r>
    </w:p>
    <w:p>
      <w:r>
        <w:rPr>
          <w:color w:val="777777"/>
          <w:sz w:val="16"/>
        </w:rPr>
        <w:t xml:space="preserve">p019 · att1 p.3  </w:t>
      </w:r>
      <w:r>
        <w:t>II. Summary of Comments and Recommendations — CDRH has identified two regulatory challenges for GenAI-enabled devices: a risk-based approach to classifying them and determining their requirements, and the types of valid scientific evidence needed to evaluate them. We make three central proposals. For risk, ask whether a function generates a clinical claim or presents one that originated elsewhere, and who receives it. For evidence, score the clinical claims within open-ended output against a reference standard; no new category of evidence is needed.</w:t>
      </w:r>
    </w:p>
    <w:p>
      <w:r>
        <w:rPr>
          <w:color w:val="777777"/>
          <w:sz w:val="16"/>
        </w:rPr>
        <w:t xml:space="preserve">p020 · att1 p.3  </w:t>
      </w:r>
      <w:r>
        <w:t>And treat open-endedness and output variability — what makes GenAI hard to evaluate — as largely design choices: bound them where possible, and require architectural safeguards where risk is high.</w:t>
      </w:r>
    </w:p>
    <w:p>
      <w:r>
        <w:rPr>
          <w:color w:val="777777"/>
          <w:sz w:val="16"/>
        </w:rPr>
        <w:t xml:space="preserve">p021 · att1 p.3  </w:t>
      </w:r>
      <w:r>
        <w:t>A. The 2rst challenge: a risk-based approach (Section III; Questions 1–6) — Classify functions by what their output asserts, not how it is worded. The paper’s qualifications point to this: directiveness may depend on substance, not solely on words such as “recommend”; a “talk to your doctor” disclaimer may not make an output less directive; and measurement functions, though non-directive, may carry higher risk. Even the paper’s own example of non-directive output, a cardiovascular risk score, prompts action when very high. How directive an output sounds is a poor guide to how much it matters. We propose a test that, like the IMDRF framework FDA adopted in 2017, grades what an output contributes to the clinical decision, and that formalizes the traceability to primary sources Question 1 invites. A function presents a clinical claim — one concerning detection, diagnosis, or clinical management — when the claim originates elsewhere: in its input, such as a physician’s report, or in an identified source, such as a published guideline. It generates one when the claim originates with the model.</w:t>
      </w:r>
    </w:p>
    <w:p>
      <w:r>
        <w:rPr>
          <w:color w:val="777777"/>
          <w:sz w:val="16"/>
        </w:rPr>
        <w:t xml:space="preserve">p022 · att1 p.3  </w:t>
      </w:r>
      <w:r>
        <w:t>The test turns on where a claim originates — not on how it is phrased, nor even on whether it is correct.</w:t>
      </w:r>
    </w:p>
    <w:p>
      <w:r>
        <w:rPr>
          <w:color w:val="777777"/>
          <w:sz w:val="16"/>
        </w:rPr>
        <w:t xml:space="preserve">p023 · att1 p.3  </w:t>
      </w:r>
      <w:r>
        <w:t>Raw data is not a claim, so a diagnosis produced from an image is always generated. A function also generates when it goes beyond a sourced claim: changing its certainty (restating “cannot exclude ischemia” as “ischemia is present”), applying it to a patient its source excludes, or combining sourced findings into a diagnosis that no published rule specifies. Nor does a citation make a claim presented: a model can attach a genuine reference to a claim it produced itself. Presenting functions should then be benchmarked for faithfulness to their source, so that the classification is demonstrated, not declared.</w:t>
      </w:r>
    </w:p>
    <w:p>
      <w:r>
        <w:rPr>
          <w:color w:val="777777"/>
          <w:sz w:val="16"/>
        </w:rPr>
        <w:t xml:space="preserve">p024 · att1 p.3  </w:t>
      </w:r>
      <w:r>
        <w:t>Assess risk along four dimensions, which together set the evidence and safeguards required:</w:t>
      </w:r>
    </w:p>
    <w:p>
      <w:r>
        <w:rPr>
          <w:color w:val="777777"/>
          <w:sz w:val="16"/>
        </w:rPr>
        <w:t xml:space="preserve">p025 · att1 p.3  </w:t>
      </w:r>
      <w:r>
        <w:t>• Significance of the output: presenting, or generating a measurement, a detection, a diagnosis, or a management determination, in increasing order.</w:t>
      </w:r>
    </w:p>
    <w:p>
      <w:r>
        <w:rPr>
          <w:color w:val="777777"/>
          <w:sz w:val="16"/>
        </w:rPr>
        <w:t xml:space="preserve">p026 · att1 p.3  </w:t>
      </w:r>
      <w:r>
        <w:t>• State of the condition: the paper’s consequence axis, graded critical, serious, or non-serious as in IMDRF.</w:t>
      </w:r>
    </w:p>
    <w:p>
      <w:r>
        <w:rPr>
          <w:color w:val="777777"/>
          <w:sz w:val="16"/>
        </w:rPr>
        <w:t xml:space="preserve">p027 · att1 p.3  </w:t>
      </w:r>
      <w:r>
        <w:t>• The user: whether the recipient can judge the output, evaluate how it was produced, and act on it within the established clinical pathway. It changes the likelihood that an error is caught, not its severity, so it belongs in its own dimension rather than on the consequence axis. Autonomy is part of this dimension, not a separate one: a function operates autonomously when its user is no longer the clinician who would ordinarily perform its task.</w:t>
      </w:r>
    </w:p>
    <w:p>
      <w:r>
        <w:rPr>
          <w:color w:val="777777"/>
          <w:sz w:val="16"/>
        </w:rPr>
        <w:t xml:space="preserve">p028 · att1 p.3  </w:t>
      </w:r>
      <w:r>
        <w:t>• Characterizability: whether output is deterministic or stochastic, and inputs and outputs bounded or open-ended — design properties that determine how much evidence a function needs.</w:t>
      </w:r>
    </w:p>
    <w:p>
      <w:r>
        <w:rPr>
          <w:color w:val="777777"/>
          <w:sz w:val="16"/>
        </w:rPr>
        <w:t xml:space="preserve">p029 · att1 p.4  </w:t>
      </w:r>
      <w:r>
        <w:t>B. The second challenge: valid scienti2c evidence (Section IV; Questions 7–17) — GenAI does not require a new category of evidence: evaluate the clinical claims in its output. The paper observes that for open-ended output “a single correct response often does not exist.” That is true of the text, but not of the clinical claims the text makes. A statement that a finding is present is right or wrong against a reference standard, and its sensitivity and specificity can be measured in well- controlled investigations, as 21 CFR 860.7 contemplates. We recommend that higher-risk generating functions emit their clinical claims in structured form alongside any free text, so they can be scored directly, without a second model judging what was asserted; where claims are instead extracted from free text, the extractor must itself be validated. Variability is then measured where it matters: whether the same claim recurs across repeated runs and clinically irrelevant input changes, not whether its wording does.</w:t>
      </w:r>
    </w:p>
    <w:p>
      <w:r>
        <w:rPr>
          <w:color w:val="777777"/>
          <w:sz w:val="16"/>
        </w:rPr>
        <w:t xml:space="preserve">p030 · att1 p.4  </w:t>
      </w:r>
      <w:r>
        <w:t>Treat open-endedness and variability as design choices, and make bounding the primary expectation. The competency-based approach and the heavier reliance on postmarket monitoring both respond to open-endedness and output variability — properties largely within a sponsor’s control.</w:t>
      </w:r>
    </w:p>
    <w:p>
      <w:r>
        <w:rPr>
          <w:color w:val="777777"/>
          <w:sz w:val="16"/>
        </w:rPr>
        <w:t xml:space="preserve">p031 · att1 p.4  </w:t>
      </w:r>
      <w:r>
        <w:t>Inputs can be bounded by pre-specified prompts, admissibility gates, and curated retrieval; outputs by pre-specified claim sets, report templates, and constrained decoding. Since these methods guarantee structure, not correctness, bounding must itself be validated. Bounded devices should bear a lighter burden; a sponsor proposing competency-based evaluation should justify why bounding is not achievable.</w:t>
      </w:r>
    </w:p>
    <w:p>
      <w:r>
        <w:rPr>
          <w:color w:val="777777"/>
          <w:sz w:val="16"/>
        </w:rPr>
        <w:t xml:space="preserve">p032 · att1 p.4  </w:t>
      </w:r>
      <w:r>
        <w:t>Recognize that competency inference is least reliable where consequences are greatest. Licensing- style benchmarks approach saturation while practice-oriented diagnostic tasks lag at 45 to 55 percent, and a model’s performance on common conditions poorly predicts its performance on rare ones — the high-consequence cases clinicians are trained never to miss. Licensing also relies on something a model lacks: a physician who is unsure consults a colleague, checks a reference, or refers. The device counterpart is deferral to human interpretation, which, unlike competency, can be tested directly.</w:t>
      </w:r>
    </w:p>
    <w:p>
      <w:r>
        <w:rPr>
          <w:color w:val="777777"/>
          <w:sz w:val="16"/>
        </w:rPr>
        <w:t xml:space="preserve">p033 · att1 p.4  </w:t>
      </w:r>
      <w:r>
        <w:t>Take the comparator from the standard of care where the device will be used. For a function used by a specialist, it is the specialist with versus without the device. For an autonomous function, it is a panel of qualified specialists where specialists are available, and the median specialist in practice where they are not — never the absence of interpretation, because an unavailable alternative changes the benefit of a device, not the consequence of its errors. Thresholds should be prespecified and absolute, as for the first FDA-authorized autonomous diagnostic device, and the same whether or not a device is generative.</w:t>
      </w:r>
    </w:p>
    <w:p>
      <w:r>
        <w:rPr>
          <w:color w:val="777777"/>
          <w:sz w:val="16"/>
        </w:rPr>
        <w:t xml:space="preserve">p034 · att1 p.4  </w:t>
      </w:r>
      <w:r>
        <w:t>C. Postmarket monitoring (Section V; Questions 18–20, 24, 25) — Treat postmarket monitoring as a complement to premarket evidence, not a substitute for it.</w:t>
      </w:r>
    </w:p>
    <w:p>
      <w:r>
        <w:rPr>
          <w:color w:val="777777"/>
          <w:sz w:val="16"/>
        </w:rPr>
        <w:t xml:space="preserve">p035 · att1 p.4  </w:t>
      </w:r>
      <w:r>
        <w:t>Reduced premarket evidence does not reduce uncertainty; it transfers its discovery to patients, while the benefit of earlier market entry accrues to the sponsor. Monitoring could replace premarket evidence only where failures are detectable in monitored data, caught before they cause harm, automatically mitigated, and attributable to a device with reproducible output — conditions that rarely hold together for high-risk functions. Monitoring should scale with the reasons premarket evidence is inevitably incomplete: model evolution, output variability, input drift, and open-endedness; a device with deterministic, bounded output is exposed chiefly to drift. Reproducibility must be demonstrated, not configured: a decoding temperature of zero does not guarantee identical output in production serving.</w:t>
      </w:r>
    </w:p>
    <w:p>
      <w:r>
        <w:rPr>
          <w:color w:val="777777"/>
          <w:sz w:val="16"/>
        </w:rPr>
        <w:t xml:space="preserve">p036 · att1 p.5  </w:t>
      </w:r>
      <w:r>
        <w:t>D. Architectural safeguards for high-risk functions (Section VI; Questions 4, 11, 18, 26)</w:t>
      </w:r>
    </w:p>
    <w:p>
      <w:r>
        <w:rPr>
          <w:color w:val="777777"/>
          <w:sz w:val="16"/>
        </w:rPr>
        <w:t xml:space="preserve">p037 · att1 p.5  </w:t>
      </w:r>
      <w:r>
        <w:t>Require architectural safeguards for high-risk functions, because they make failure bounded and measurable. Accuracy can be measured for any function. What cannot be done for a high-risk function is to enumerate the inputs on which it will fail — and a control cannot be written against a failure that cannot be described. We propose three safeguards:</w:t>
      </w:r>
    </w:p>
    <w:p>
      <w:r>
        <w:rPr>
          <w:color w:val="777777"/>
          <w:sz w:val="16"/>
        </w:rPr>
        <w:t xml:space="preserve">p038 · att1 p.5  </w:t>
      </w:r>
      <w:r>
        <w:t>• Quantified uncertainty at each processing stage, validated against observed error, so that an unstable conclusion is recognized before it is reported.</w:t>
      </w:r>
    </w:p>
    <w:p>
      <w:r>
        <w:rPr>
          <w:color w:val="777777"/>
          <w:sz w:val="16"/>
        </w:rPr>
        <w:t xml:space="preserve">p039 · att1 p.5  </w:t>
      </w:r>
      <w:r>
        <w:t>• An independent secondary evaluation path (safety-net), independent of the primary path in task, training data, and architecture, to catch the confident error that uncertainty alone cannot detect.</w:t>
      </w:r>
    </w:p>
    <w:p>
      <w:r>
        <w:rPr>
          <w:color w:val="777777"/>
          <w:sz w:val="16"/>
        </w:rPr>
        <w:t xml:space="preserve">p040 · att1 p.5  </w:t>
      </w:r>
      <w:r>
        <w:t>• Structured deferral to human interpretation when a validity check fails, a finding falls outside the authorized set, the two paths disagree, or uncertainty exceeds a calibrated threshold — so that what a function cannot characterize is deferred rather than silently omitted.</w:t>
      </w:r>
    </w:p>
    <w:p>
      <w:r>
        <w:rPr>
          <w:color w:val="777777"/>
          <w:sz w:val="16"/>
        </w:rPr>
        <w:t xml:space="preserve">p041 · att1 p.5  </w:t>
      </w:r>
      <w:r>
        <w:t>Performance can then be specified as the error rate among finalized cases, by clinical consequence, alongside the deferral rate. The safeguards should scale with the risk profile, from conventional validation alone for lower-risk functions to all three for the highest, whether supervised or autonomous.</w:t>
      </w:r>
    </w:p>
    <w:p>
      <w:r>
        <w:rPr>
          <w:color w:val="777777"/>
          <w:sz w:val="16"/>
        </w:rPr>
        <w:t xml:space="preserve">p042 · att1 p.5  </w:t>
      </w:r>
      <w:r>
        <w:t>E. Beyond generative AI (Section VII; Questions 1, 17, 26) — Apply one risk framework to all AI-enabled device functions, and let substantial equivalence turn on characteristics, not labels. Many of the paper’s questions, and most of our proposals, are not specific to generative AI. Several also remain unaddressed by FDA guidance for conventional AI-enabled devices — how the user bears on risk, for example, and how to evaluate functions whose output is not reviewed by the clinician who would ordinarily perform the task. Autonomous functions are the clearest case: the first that FDA authorized was not generative. One framework does not mean one risk profile:</w:t>
      </w:r>
    </w:p>
    <w:p>
      <w:r>
        <w:rPr>
          <w:color w:val="777777"/>
          <w:sz w:val="16"/>
        </w:rPr>
        <w:t xml:space="preserve">p043 · att1 p.5  </w:t>
      </w:r>
      <w:r>
        <w:t>for the same intended use, a function with deterministic, bounded output presents a substantially lower risk profile than one with stochastic, open-ended output. Classification should still follow intended use, but a generative implementation with non-reproducible or open-ended output, relative to a reproducible, bounded predicate, raises a different question of safety and effectiveness that the predicate’s data cannot answer, and in our view should not be found substantially equivalent to it.</w:t>
      </w:r>
    </w:p>
    <w:p>
      <w:r>
        <w:rPr>
          <w:color w:val="777777"/>
          <w:sz w:val="16"/>
        </w:rPr>
        <w:t xml:space="preserve">p044 · att1 p.5  </w:t>
      </w:r>
      <w:r>
        <w:t>F. Generalizability and independent benchmarking (Section VIII; Questions 10, 12, 13, 16) — Measure generalizability directly, with validated synthetic benchmarks. As devices grow more accurate on average, what matters is where their remaining errors fall. Real-world test sets cannot show this reliably: five hundred cases spread across eighteen combinations of equipment, protocol, and patient age leave fewer than thirty in each — too few to measure performance with confidence, for common presentations as well as rare ones — and more real-world or non-US data enlarges a test set without filling its gaps. Synthetic data complements real-world data by filling them. Cases can be generated for every combination the intended use specifies, varying one factor at a time against a reference standard known exactly; a fresh test set for each evaluation cannot have been seen in training; and testing can be automated and repeated before submission, after each change, and after marketing.</w:t>
      </w:r>
    </w:p>
    <w:p>
      <w:r>
        <w:rPr>
          <w:color w:val="777777"/>
          <w:sz w:val="16"/>
        </w:rPr>
        <w:t xml:space="preserve">p045 · att1 p.6  </w:t>
      </w:r>
      <w:r>
        <w:t>Enable independent third parties to provide these benchmarks, and base confidence on how an evaluation is run. Third parties bring capability many sponsors cannot build in-house, independence between development and testing, and a common yardstick across devices. An evaluation that is pre- specified, automatically scored, reported identically to FDA and the sponsor, and auditable by FDA is verifiable by every party, whoever runs it. We recommend that FDA recognize validated synthetic benchmarks as evidence of generalizability and set MDDT qualification expectations for them.</w:t>
      </w:r>
    </w:p>
    <w:p>
      <w:r>
        <w:rPr>
          <w:color w:val="777777"/>
          <w:sz w:val="16"/>
        </w:rPr>
        <w:t xml:space="preserve">p046 · att1 p.6  </w:t>
      </w:r>
      <w:r>
        <w:t>A note on evidence. Where the literature contradicts or complicates a position we take, we have cited it and said so. Where a claim rests on reasoned argument rather than direct empirical support, we have identified it as such, and we have identified preprint and non-peer-reviewed sources. We take this approach because a comment that overstates its support is of little use to the Agency.</w:t>
      </w:r>
    </w:p>
    <w:p>
      <w:r>
        <w:rPr>
          <w:color w:val="777777"/>
          <w:sz w:val="16"/>
        </w:rPr>
        <w:t xml:space="preserve">p047 · att1 p.7  </w:t>
      </w:r>
      <w:r>
        <w:t>III. Comments on Section IV — Considerations for the Assessment of Risk — RESPONSIVE TO QUESTIONS 1 THROUGH 6.</w:t>
      </w:r>
    </w:p>
    <w:p>
      <w:r>
        <w:rPr>
          <w:color w:val="777777"/>
          <w:sz w:val="16"/>
        </w:rPr>
        <w:t xml:space="preserve">p048 · att1 p.7  </w:t>
      </w:r>
      <w:r>
        <w:t>We support CDRH’s risk-based approach to GenAI-enabled device functions, and in particular its intention to distinguish among informational functions rather than treating informational output as uniformly low in risk. We offer a proposed refinement. We believe it builds directly on considerations the discussion paper itself raises, on the traceability dimension that Question 1 invites, and on the risk categorization framework of the International Medical Device Regulators Forum, which FDA adopted in its 2017 guidance on the clinical evaluation of software as a medical device.2,3</w:t>
      </w:r>
    </w:p>
    <w:p>
      <w:r>
        <w:rPr>
          <w:color w:val="777777"/>
          <w:sz w:val="16"/>
        </w:rPr>
        <w:t xml:space="preserve">p049 · att1 p.7  </w:t>
      </w:r>
      <w:r>
        <w:t>A. Considerations the discussion paper already identi2es — In several places the discussion paper qualifies its two-axis structure in ways we find persuasive. We set them out here because our proposal is, in large part, an attempt to give them a structural place.</w:t>
      </w:r>
    </w:p>
    <w:p>
      <w:r>
        <w:rPr>
          <w:color w:val="777777"/>
          <w:sz w:val="16"/>
        </w:rPr>
        <w:t xml:space="preserve">p050 · att1 p.7  </w:t>
      </w:r>
      <w:r>
        <w:t>On the directiveness of informational outputs based on the substance and context of the output.</w:t>
      </w:r>
    </w:p>
    <w:p>
      <w:r>
        <w:rPr>
          <w:color w:val="777777"/>
          <w:sz w:val="16"/>
        </w:rPr>
        <w:t xml:space="preserve">p051 · att1 p.7  </w:t>
      </w:r>
      <w:r>
        <w:t>CDRH is considering “whether the degree to which an informational function may be directive may depend on the substance and context of the output, not solely on whether it uses words such as</w:t>
      </w:r>
    </w:p>
    <w:p>
      <w:r>
        <w:rPr>
          <w:color w:val="777777"/>
          <w:sz w:val="16"/>
        </w:rPr>
        <w:t xml:space="preserve">p052 · att1 p.7  </w:t>
      </w:r>
      <w:r>
        <w:t>‘recommend,’ ‘should,’ or ‘consider,’” and whether a patient-facing function “may not become any less directive because it includes a ‘talk to your doctor’ or an ‘I am not a medical professional’</w:t>
      </w:r>
    </w:p>
    <w:p>
      <w:r>
        <w:rPr>
          <w:color w:val="777777"/>
          <w:sz w:val="16"/>
        </w:rPr>
        <w:t xml:space="preserve">p053 · att1 p.7  </w:t>
      </w:r>
      <w:r>
        <w:t>statement.” — On output basis evaluability as a risk factor. CDRH observes, of measurement and signal- processing functions, that “although these functions yield non-directive information, they may nonetheless be of higher risk because the user typically cannot independently evaluate the basis for the output (and therefore the function may migrate higher on the consequences axis).”</w:t>
      </w:r>
    </w:p>
    <w:p>
      <w:r>
        <w:rPr>
          <w:color w:val="777777"/>
          <w:sz w:val="16"/>
        </w:rPr>
        <w:t xml:space="preserve">p054 · att1 p.7  </w:t>
      </w:r>
      <w:r>
        <w:t>On the user. CDRH notes that health care professionals “may be better equipped than patients to interpret an output in context, to recognize its limitations, and to integrate it with other clinical information such that they can identify an incorrect output and not rely upon it,” and that “a function whose safe use depends on contextualization by specialist expertise may present elevated risk when used by HCPs lacking that expertise to independently evaluate outputs.”</w:t>
      </w:r>
    </w:p>
    <w:p>
      <w:r>
        <w:rPr>
          <w:color w:val="777777"/>
          <w:sz w:val="16"/>
        </w:rPr>
        <w:t xml:space="preserve">p055 · att1 p.7  </w:t>
      </w:r>
      <w:r>
        <w:t>We would add one related observation, concerning the paper’s own example of non-directive information: “a risk score for a future cardiovascular event.” The same function, returning a very high estimated risk for a particular patient, will predictably prompt further evaluation and intervention. The function has not changed; the clinical consequence of its output has. A function’s position on the activity axis may therefore depend on the output actually delivered, and not only on the function’s description.</w:t>
      </w:r>
    </w:p>
    <w:p>
      <w:r>
        <w:rPr>
          <w:color w:val="777777"/>
          <w:sz w:val="16"/>
        </w:rPr>
        <w:t xml:space="preserve">p056 · att1 p.7  </w:t>
      </w:r>
      <w:r>
        <w:t>B. A common source — Several of these considerations appear to share a single origin. The discussion paper organizes its first axis around the degree to which a function directs or takes action, and notes that the framework draws conceptual structure from analogous matrices in other FDA guidance, including guidance on the credibility of computational modeling and simulation and draft guidance on the use of artificial intelligence in drug and biological product regulation.4,5 Those matrices organize their corresponding axis around model influence — the contribution of a model’s output to the decision at hand. The IMDRF framework organizes it around the significance of the information provided to the healthcare decision.2</w:t>
      </w:r>
    </w:p>
    <w:p>
      <w:r>
        <w:rPr>
          <w:color w:val="777777"/>
          <w:sz w:val="16"/>
        </w:rPr>
        <w:t xml:space="preserve">p057 · att1 p.8  </w:t>
      </w:r>
      <w:r>
        <w:t>Both are questions of significance. The discussion paper’s activity axis recasts them as a question of directiveness.</w:t>
      </w:r>
    </w:p>
    <w:p>
      <w:r>
        <w:rPr>
          <w:color w:val="777777"/>
          <w:sz w:val="16"/>
        </w:rPr>
        <w:t xml:space="preserve">p058 · att1 p.8  </w:t>
      </w:r>
      <w:r>
        <w:t>The difference is consequential. Directiveness is naturally read as a property of how an output is expressed, which is why the question of wording arises. A measurement may be non-directive in expression yet highly significant to a diagnostic decision, which is why measurement functions sit uneasily on the axis. And directiveness may vary with an output’s value, as the risk-score example illustrates. Significance, by contrast, attaches to what an output asserts. It is stable across phrasing, and more stable across output values.</w:t>
      </w:r>
    </w:p>
    <w:p>
      <w:r>
        <w:rPr>
          <w:color w:val="777777"/>
          <w:sz w:val="16"/>
        </w:rPr>
        <w:t xml:space="preserve">p059 · att1 p.8  </w:t>
      </w:r>
      <w:r>
        <w:t>The considerations concerning the user are different in kind. Neither directiveness nor significance describes who receives an output, or what that person is equipped to do with it. We address the user separately below, as a distinct dimension.</w:t>
      </w:r>
    </w:p>
    <w:p>
      <w:r>
        <w:rPr>
          <w:color w:val="777777"/>
          <w:sz w:val="16"/>
        </w:rPr>
        <w:t xml:space="preserve">p060 · att1 p.8  </w:t>
      </w:r>
      <w:r>
        <w:t>C. A proposed re2nement: four dimensions of risk — We propose that the risk of a device software function be assessed along four dimensions. The first refines the activity axis. The second is retained. The third gives structural place to a factor the discussion paper identifies but has not yet positioned. The fourth makes explicit the technological characteristics that the paper itself identifies as the source of the evaluation challenges GenAI presents.</w:t>
      </w:r>
    </w:p>
    <w:p>
      <w:r>
        <w:rPr>
          <w:color w:val="777777"/>
          <w:sz w:val="16"/>
        </w:rPr>
        <w:t xml:space="preserve">p061 · att1 p.8  </w:t>
      </w:r>
      <w:r>
        <w:t>Dimension The question it asks Known from — 1. Significance of the output</w:t>
      </w:r>
    </w:p>
    <w:p>
      <w:r>
        <w:rPr>
          <w:color w:val="777777"/>
          <w:sz w:val="16"/>
        </w:rPr>
        <w:t xml:space="preserve">p062 · att1 p.8  </w:t>
      </w:r>
      <w:r>
        <w:t>Design and intended use — Does the function present or generate clinical-decision content (clinical claims), and if it generates, what kind of claim?</w:t>
      </w:r>
    </w:p>
    <w:p>
      <w:r>
        <w:rPr>
          <w:color w:val="777777"/>
          <w:sz w:val="16"/>
        </w:rPr>
        <w:t xml:space="preserve">p063 · att1 p.8  </w:t>
      </w:r>
      <w:r>
        <w:t>Intended use — 2. State of the condition How severe is the condition to which the output pertains?</w:t>
      </w:r>
    </w:p>
    <w:p>
      <w:r>
        <w:rPr>
          <w:color w:val="777777"/>
          <w:sz w:val="16"/>
        </w:rPr>
        <w:t xml:space="preserve">p064 · att1 p.8  </w:t>
      </w:r>
      <w:r>
        <w:t>3. The user of the output Can the recipient evaluate the output and its basis, and act on it correctly?</w:t>
      </w:r>
    </w:p>
    <w:p>
      <w:r>
        <w:rPr>
          <w:color w:val="777777"/>
          <w:sz w:val="16"/>
        </w:rPr>
        <w:t xml:space="preserve">p065 · att1 p.8  </w:t>
      </w:r>
      <w:r>
        <w:t>Intended user and design — Design — 4. Characterizability Is the output reproducible, and are the input and output spaces bounded?</w:t>
      </w:r>
    </w:p>
    <w:p>
      <w:r>
        <w:rPr>
          <w:color w:val="777777"/>
          <w:sz w:val="16"/>
        </w:rPr>
        <w:t xml:space="preserve">p066 · att1 p.8  </w:t>
      </w:r>
      <w:r>
        <w:t>1. Significance of the output — Question 1 asks whether additional dimensions should be represented in the framework, and names among them “the traceability of the output (i.e., to primary source materials).” We believe traceability is not merely an additional dimension but the most useful organizing principle for the activity axis itself, and we propose a formalization of it: an axis defined by the significance of the output, organized around whether a function presents clinical-decision content (clinical claims), or generates it.</w:t>
      </w:r>
    </w:p>
    <w:p>
      <w:r>
        <w:rPr>
          <w:color w:val="777777"/>
          <w:sz w:val="16"/>
        </w:rPr>
        <w:t xml:space="preserve">p067 · att1 p.9  </w:t>
      </w:r>
      <w:r>
        <w:t>A function presents clinical-decision content (clinical claims) when that content originates elsewhere — in the function’s own input, or in an identified external source — and the function conveys, summarizes, reformats, or applies it. A function generates clinical-decision content (clinical claims) when the content originates with the model: the function produces a clinical claim concerning detection, diagnosis, or clinical management that did not exist as a claim in any identified source.</w:t>
      </w:r>
    </w:p>
    <w:p>
      <w:r>
        <w:rPr>
          <w:color w:val="777777"/>
          <w:sz w:val="16"/>
        </w:rPr>
        <w:t xml:space="preserve">p068 · att1 p.9  </w:t>
      </w:r>
      <w:r>
        <w:t>This distinction corresponds closely to the boundary IMDRF draws between informing and driving clinical management. IMDRF describes informing clinical management as providing information that</w:t>
      </w:r>
    </w:p>
    <w:p>
      <w:r>
        <w:rPr>
          <w:color w:val="777777"/>
          <w:sz w:val="16"/>
        </w:rPr>
        <w:t xml:space="preserve">p069 · att1 p.9  </w:t>
      </w:r>
      <w:r>
        <w:t>“will not trigger an immediate or near term action,” including “to provide clinical information by aggregating relevant information.” It places functions intended to aid in diagnosis, to aid in treatment, or to triage or identify early signs of a disease or condition in the category of driving clinical management, and functions that diagnose, screen, or detect in its highest category.2 On IMDRF’s own terms, a function that contributes a clinical claim of its own — even as an aid — is no longer informing.</w:t>
      </w:r>
    </w:p>
    <w:p>
      <w:r>
        <w:rPr>
          <w:color w:val="777777"/>
          <w:sz w:val="16"/>
        </w:rPr>
        <w:t xml:space="preserve">p070 · att1 p.9  </w:t>
      </w:r>
      <w:r>
        <w:t>We therefore propose that presenting functions constitute the informational category, and that generating functions be graded according to the kind of claim they generate:</w:t>
      </w:r>
    </w:p>
    <w:p>
      <w:r>
        <w:rPr>
          <w:color w:val="777777"/>
          <w:sz w:val="16"/>
        </w:rPr>
        <w:t xml:space="preserve">p071 · att1 p.9  </w:t>
      </w:r>
      <w:r>
        <w:t>Level Significance of the output Category — 1 Presenting clinical-decision content (clinical claims) Informational</w:t>
      </w:r>
    </w:p>
    <w:p>
      <w:r>
        <w:rPr>
          <w:color w:val="777777"/>
          <w:sz w:val="16"/>
        </w:rPr>
        <w:t xml:space="preserve">p072 · att1 p.9  </w:t>
      </w:r>
      <w:r>
        <w:t>2 Generating a quantitative measurement Generating — 3 Generating a detection Generating — 4 Generating a diagnosis Generating</w:t>
      </w:r>
    </w:p>
    <w:p>
      <w:r>
        <w:rPr>
          <w:color w:val="777777"/>
          <w:sz w:val="16"/>
        </w:rPr>
        <w:t xml:space="preserve">p073 · att1 p.9  </w:t>
      </w:r>
      <w:r>
        <w:t>Generating — 5 Generating a clinical-management determination, including treatment or treatment adjustment — The ordering reflects the increasing directness with which a generated claim determines clinical action.</w:t>
      </w:r>
    </w:p>
    <w:p>
      <w:r>
        <w:rPr>
          <w:color w:val="777777"/>
          <w:sz w:val="16"/>
        </w:rPr>
        <w:t xml:space="preserve">p074 · att1 p.9  </w:t>
      </w:r>
      <w:r>
        <w:t>We note that IMDRF places detection, diagnosis, and treatment within a single highest category. The finer grading proposed here is intended to reflect differences in the evidence each warrants, and we would welcome CDRH’s view on whether the ordering among the upper levels should be strict.</w:t>
      </w:r>
    </w:p>
    <w:p>
      <w:r>
        <w:rPr>
          <w:color w:val="777777"/>
          <w:sz w:val="16"/>
        </w:rPr>
        <w:t xml:space="preserve">p075 · att1 p.9  </w:t>
      </w:r>
      <w:r>
        <w:t>This structure also clarifies one feature of the IMDRF axis. That axis combines two considerations: the type of clinical determination involved, and whether an output is offered as an aid to a clinician’s determination or as the determination itself. We propose separating them. The significance axis grades the type of claim a function generates. Whether a qualified person evaluates that claim before it has effect is a separate matter, which we address under the third dimension.</w:t>
      </w:r>
    </w:p>
    <w:p>
      <w:r>
        <w:rPr>
          <w:color w:val="777777"/>
          <w:sz w:val="16"/>
        </w:rPr>
        <w:t xml:space="preserve">p076 · att1 p.9  </w:t>
      </w:r>
      <w:r>
        <w:t>Three clarifications make the distinction operable.</w:t>
      </w:r>
    </w:p>
    <w:p>
      <w:r>
        <w:rPr>
          <w:color w:val="777777"/>
          <w:sz w:val="16"/>
        </w:rPr>
        <w:t xml:space="preserve">p077 · att1 p.9  </w:t>
      </w:r>
      <w:r>
        <w:t>Raw data is not a claim. Images, physiological signals, laboratory values, and descriptions of symptoms are inputs to clinical judgment, not clinical judgments. A function that produces a diagnosis from an image has generated that diagnosis, however much information the image may be said to contain.</w:t>
      </w:r>
    </w:p>
    <w:p>
      <w:r>
        <w:rPr>
          <w:color w:val="777777"/>
          <w:sz w:val="16"/>
        </w:rPr>
        <w:t xml:space="preserve">p078 · att1 p.9  </w:t>
      </w:r>
      <w:r>
        <w:t>A clinical claim has three components. What makes an assertion a clinical claim is its subject matter:</w:t>
      </w:r>
    </w:p>
    <w:p>
      <w:r>
        <w:rPr>
          <w:color w:val="777777"/>
          <w:sz w:val="16"/>
        </w:rPr>
        <w:t xml:space="preserve">p079 · att1 p.9  </w:t>
      </w:r>
      <w:r>
        <w:t>detection, diagnosis, or clinical management. The three components identify where, within such a claim, the model’s own judgment may enter. A function presents only where none of the clinically decisive components originates with the model.</w:t>
      </w:r>
    </w:p>
    <w:p>
      <w:r>
        <w:rPr>
          <w:color w:val="777777"/>
          <w:sz w:val="16"/>
        </w:rPr>
        <w:t xml:space="preserve">p080 · att1 p.10  </w:t>
      </w:r>
      <w:r>
        <w:t>• Its content, including the certainty with which it is asserted. A function that restates a radiologist’s “cannot exclude early ischemia” as “early ischemia is present” has generated the definite claim, although the entity itself was drawn from the source.</w:t>
      </w:r>
    </w:p>
    <w:p>
      <w:r>
        <w:rPr>
          <w:color w:val="777777"/>
          <w:sz w:val="16"/>
        </w:rPr>
        <w:t xml:space="preserve">p081 · att1 p.10  </w:t>
      </w:r>
      <w:r>
        <w:t>• Its applicability to the particular patient. The Fleischner Society guidelines for incidental pulmonary nodules state their own scope, excluding patients younger than 35 years, patients with known malignancy, immunocompromised patients, and lung cancer screening.6 A function that conveys their recommendation accurately, but for a 28-year-old or for a patient with known melanoma, has generated the determination that the guideline applies — and generated it wrongly — although every word of the recommendation is correct. The separation of applicability from content mirrors a long-established distinction in evidence-based medicine, which treats whether evidence applies to the patient at hand as a question distinct from whether the evidence is valid and what it shows.7</w:t>
      </w:r>
    </w:p>
    <w:p>
      <w:r>
        <w:rPr>
          <w:color w:val="777777"/>
          <w:sz w:val="16"/>
        </w:rPr>
        <w:t xml:space="preserve">p082 · att1 p.10  </w:t>
      </w:r>
      <w:r>
        <w:t>• Where several findings bear on one conclusion, their synthesis. Synthesis is presenting only where the source itself specifies how the findings combine, as diagnostic criteria and scoring systems do. Where it does not, as in most diagnostic reasoning, the synthesis is generated. A function that combines a dilated appendix, periappendiceal fat stranding, and an appendicolith into a diagnosis of appendicitis has generated that diagnosis, even if each finding was drawn from the radiologist’s own description.</w:t>
      </w:r>
    </w:p>
    <w:p>
      <w:r>
        <w:rPr>
          <w:color w:val="777777"/>
          <w:sz w:val="16"/>
        </w:rPr>
        <w:t xml:space="preserve">p083 · att1 p.10  </w:t>
      </w:r>
      <w:r>
        <w:t>The distinction applies per claim, not per device. A single output may contain both: for example, a measurement the function generated, stated alongside the published reference range for that measurement. This is consistent with CDRH’s approach to multiple function device products,8 and it places the evidentiary burden precisely where the clinical judgment was made.</w:t>
      </w:r>
    </w:p>
    <w:p>
      <w:r>
        <w:rPr>
          <w:color w:val="777777"/>
          <w:sz w:val="16"/>
        </w:rPr>
        <w:t xml:space="preserve">p084 · att1 p.10  </w:t>
      </w:r>
      <w:r>
        <w:t>The underlying construct is not novel to us. The distinction between output verifiable against an identified source and output originating with the model has been formalized in the natural language generation literature as attribution to identified sources, with an operational test asking whether a statement can be affirmed in the form “According to [source], [statement].”9 The related distinction between faithfulness to a source and factual correctness in the world,10 and the distinction between intrinsic content, which contradicts its source, and extrinsic content, which its source neither supports nor contradicts,11 are both well established. Extrinsic content corresponds closely to what we call generated content. It may be factually correct; what makes it generated is its origin, not its accuracy.</w:t>
      </w:r>
    </w:p>
    <w:p>
      <w:r>
        <w:rPr>
          <w:color w:val="777777"/>
          <w:sz w:val="16"/>
        </w:rPr>
        <w:t xml:space="preserve">p085 · att1 p.10  </w:t>
      </w:r>
      <w:r>
        <w:t>We draw on this work because it supplies validated methodology for the question CDRH now faces.</w:t>
      </w:r>
    </w:p>
    <w:p>
      <w:r>
        <w:rPr>
          <w:color w:val="777777"/>
          <w:sz w:val="16"/>
        </w:rPr>
        <w:t xml:space="preserve">p086 · att1 p.10  </w:t>
      </w:r>
      <w:r>
        <w:t>We wish to emphasize one point, because it is where the distinction is most likely to be misapplied. A citation attached to an output does not make the output presenting. A generative model can produce a statement naming a guideline, a reference, and a figure, where the statement itself was produced from the model’s learned parameters rather than drawn from the source it names. An empirical evaluation of retrieval-grounded professional research tools marketed as eliminating unsupported content found hallucination rates of 17 to 33 percent,12 and benchmarking of citation generation has found that leading systems frequently lack complete support for the statements they cite.13 What makes a function presenting is that its clinical claims are demonstrably drawn from the identified source. How a sponsor establishes this is a matter of design; that it can be established is the requirement.</w:t>
      </w:r>
    </w:p>
    <w:p>
      <w:r>
        <w:rPr>
          <w:color w:val="777777"/>
          <w:sz w:val="16"/>
        </w:rPr>
        <w:t xml:space="preserve">p087 · att1 p.11  </w:t>
      </w:r>
      <w:r>
        <w:t>Finally, we wish to be precise about what this distinction does not do. It does not determine whether a software function is a device; that question is governed by section 201(h) of the FD&amp;C Act and the exclusions in section 520(o)(1). We note, however, that the distinction tracks the boundary drawn by section 520(o)(1)(E) closely, as the paper’s footnote 13 suggests for the related consideration of measurement functions. A presenting function directed to a health care professional who can independently review the basis for its output may, depending on its other characteristics, fall within that provision; a generating function generally cannot, because the basis for its claim is the model’s own inference.14 Within the space of device functions, we propose that a function’s position on the significance axis inform the evidence expected of it.</w:t>
      </w:r>
    </w:p>
    <w:p>
      <w:r>
        <w:rPr>
          <w:color w:val="777777"/>
          <w:sz w:val="16"/>
        </w:rPr>
        <w:t xml:space="preserve">p088 · att1 p.11  </w:t>
      </w:r>
      <w:r>
        <w:t>2. State of the healthcare situation or condition — We propose retaining the consequence axis. The severity of the condition to which an output pertains is an essential determinant of risk, well established in the IMDRF framework as the state of the healthcare situation or condition — critical, serious, or non-serious.2 A generated diagnosis concerning a self- limiting condition and one concerning an acute cerebrovascular event do not carry comparable risk, and the significance axis alone does not capture that difference. Two of the further considerations Question</w:t>
      </w:r>
    </w:p>
    <w:p>
      <w:r>
        <w:rPr>
          <w:color w:val="777777"/>
          <w:sz w:val="16"/>
        </w:rPr>
        <w:t xml:space="preserve">p089 · att1 p.11  </w:t>
      </w:r>
      <w:r>
        <w:t>1 names — the reversibility of a resulting action and the time pressure of the deployment setting — are, in our view, naturally expressed on this dimension, since both bear on the severity of harm that follows from relying on an incorrect output.</w:t>
      </w:r>
    </w:p>
    <w:p>
      <w:r>
        <w:rPr>
          <w:color w:val="777777"/>
          <w:sz w:val="16"/>
        </w:rPr>
        <w:t xml:space="preserve">p090 · att1 p.11  </w:t>
      </w:r>
      <w:r>
        <w:t>3. The user of the output — The discussion paper identifies the user as relevant to risk but does not yet give the user a structural place. We propose that the user be assessed through three considerations. Two concern the user. The third concerns the device, but determines how much the user is able to contribute to safe use.</w:t>
      </w:r>
    </w:p>
    <w:p>
      <w:r>
        <w:rPr>
          <w:color w:val="777777"/>
          <w:sz w:val="16"/>
        </w:rPr>
        <w:t xml:space="preserve">p091 · att1 p.11  </w:t>
      </w:r>
      <w:r>
        <w:t>Evaluation of the output. Can the user determine whether the output itself is correct? For subspecialty content, generally only the corresponding specialist can. The evidence that this matters is strong. In a prospective study of radiologists reading mammograms with purported artificial intelligence assistance, incorrect suggestions reduced correct assessment among inexperienced readers from approximately</w:t>
      </w:r>
    </w:p>
    <w:p>
      <w:r>
        <w:rPr>
          <w:color w:val="777777"/>
          <w:sz w:val="16"/>
        </w:rPr>
        <w:t xml:space="preserve">p092 · att1 p.11  </w:t>
      </w:r>
      <w:r>
        <w:t>80 percent to approximately 20 percent, and less-experienced readers were significantly more affected than experienced ones.15</w:t>
      </w:r>
    </w:p>
    <w:p>
      <w:r>
        <w:rPr>
          <w:color w:val="777777"/>
          <w:sz w:val="16"/>
        </w:rPr>
        <w:t xml:space="preserve">p093 · att1 p.11  </w:t>
      </w:r>
      <w:r>
        <w:t>Evaluation of the basis for the output. Can the user understand how the output was produced well enough to judge independently whether it may be wrong? This is the consideration the discussion paper raises in connection with measurement functions, and the consideration on which section 520(o)(1)(E)</w:t>
      </w:r>
    </w:p>
    <w:p>
      <w:r>
        <w:rPr>
          <w:color w:val="777777"/>
          <w:sz w:val="16"/>
        </w:rPr>
        <w:t xml:space="preserve">p094 · att1 p.11  </w:t>
      </w:r>
      <w:r>
        <w:t>turns. It is determined principally by the design of the device rather than by the user. We would add that it must be demonstrated rather than assumed. In a randomized study of 457 clinicians, systematically biased model predictions reduced diagnostic accuracy by 11.3 percentage points, and the addition of image-based explanations improved accuracy by only 2.3 points.16 We therefore suggest that where a sponsor offers explainability as a basis for reduced risk, it be benchmarked against its purpose:</w:t>
      </w:r>
    </w:p>
    <w:p>
      <w:r>
        <w:rPr>
          <w:color w:val="777777"/>
          <w:sz w:val="16"/>
        </w:rPr>
        <w:t xml:space="preserve">p095 · att1 p.11  </w:t>
      </w:r>
      <w:r>
        <w:t>whether it measurably improves the intended user’s ability to detect incorrect outputs.</w:t>
      </w:r>
    </w:p>
    <w:p>
      <w:r>
        <w:rPr>
          <w:color w:val="777777"/>
          <w:sz w:val="16"/>
        </w:rPr>
        <w:t xml:space="preserve">p096 · att1 p.12  </w:t>
      </w:r>
      <w:r>
        <w:t>Applicability. Can the user act correctly on the output within the established clinical pathway? This depends on whether the user is the person who would ordinarily receive and act on that category of information. A subspecialty imaging finding delivered to the clinician who ordered the examination enters a pathway in which that clinician routinely contextualizes and acts on such findings. The same finding delivered to a clinician outside that pathway, or to a patient, does not — even though the output is identical.</w:t>
      </w:r>
    </w:p>
    <w:p>
      <w:r>
        <w:rPr>
          <w:color w:val="777777"/>
          <w:sz w:val="16"/>
        </w:rPr>
        <w:t xml:space="preserve">p097 · att1 p.12  </w:t>
      </w:r>
      <w:r>
        <w:t>The discussion paper suggests that patient-facing considerations could be captured by shifting certain functions higher on the consequences axis. We would respectfully suggest a dedicated dimension instead. The user does not change the severity of harm that follows from an incorrect output; it changes the likelihood that an incorrect output will be recognized and not acted upon. These are distinct mechanisms, and representing the second as the first would require the consequences axis to carry two meanings.</w:t>
      </w:r>
    </w:p>
    <w:p>
      <w:r>
        <w:rPr>
          <w:color w:val="777777"/>
          <w:sz w:val="16"/>
        </w:rPr>
        <w:t xml:space="preserve">p098 · att1 p.12  </w:t>
      </w:r>
      <w:r>
        <w:t>We share the discussion paper’s recognition that functions directed to patients and to generalist clinicians can bring real benefits, including extending access to specialty knowledge and supporting patient engagement, and we do not regard these recipients as inherently inappropriate. The purpose of this dimension is not to discourage such functions, but to identify what they must demonstrate.</w:t>
      </w:r>
    </w:p>
    <w:p>
      <w:r>
        <w:rPr>
          <w:color w:val="777777"/>
          <w:sz w:val="16"/>
        </w:rPr>
        <w:t xml:space="preserve">p099 · att1 p.12  </w:t>
      </w:r>
      <w:r>
        <w:t>We believe this dimension also accounts for the distinction between supervised and autonomous operation, so that a separate position for autonomy on the activity axis is not required. In the sense that matters for risk, a function operates autonomously when the person best placed to evaluate its output is not the person who receives it, or when no one receives it before it takes effect. That is a statement about the three considerations above. A fully automated subspecialty output delivered to the corresponding specialist, to a generalist, and to a patient is equally automated in each case, yet the risk differs substantially among them, and these three considerations describe why. Where no qualified person receives an output before it takes effect, all three are at their maximum by construction. The availability of downstream safeguards, which Question 1 also names, is expressed here: it is the question of whether a qualified person evaluates the output before it has effect.</w:t>
      </w:r>
    </w:p>
    <w:p>
      <w:r>
        <w:rPr>
          <w:color w:val="777777"/>
          <w:sz w:val="16"/>
        </w:rPr>
        <w:t xml:space="preserve">p100 · att1 p.12  </w:t>
      </w:r>
      <w:r>
        <w:t>4. Technological characteristics bearing on characterizability — We propose a fourth dimension comprising two properties of a function’s design: the determinism of its output, and the bounding of its input and output space. We group them because they share a single rationale. Each determines how completely premarket testing can characterize the function’s behavior, and therefore how much evidence is needed to do so.</w:t>
      </w:r>
    </w:p>
    <w:p>
      <w:r>
        <w:rPr>
          <w:color w:val="777777"/>
          <w:sz w:val="16"/>
        </w:rPr>
        <w:t xml:space="preserve">p101 · att1 p.12  </w:t>
      </w:r>
      <w:r>
        <w:t>Output determinism. A function may be specified to return identical output for identical input, or its output may vary across runs. This can be characterized from the design before any testing is performed: whether output is specified to be reproducible, and by what mechanism — deterministic execution in a configuration fixed for that purpose, generative inference with controlled decoding, or generation by sampling.</w:t>
      </w:r>
    </w:p>
    <w:p>
      <w:r>
        <w:rPr>
          <w:color w:val="777777"/>
          <w:sz w:val="16"/>
        </w:rPr>
        <w:t xml:space="preserve">p102 · att1 p.12  </w:t>
      </w:r>
      <w:r>
        <w:t>Bounding of the input and output space. A function’s inputs may be constrained to a defined specification, with out-of-specification inputs rejected, or it may accept open-ended input. Its outputs may be constrained to a defined set of claims or a defined structure, or it may produce open-ended output. This, too, is a property of the design.</w:t>
      </w:r>
    </w:p>
    <w:p>
      <w:r>
        <w:rPr>
          <w:color w:val="777777"/>
          <w:sz w:val="16"/>
        </w:rPr>
        <w:t xml:space="preserve">p103 · att1 p.13  </w:t>
      </w:r>
      <w:r>
        <w:t>A dimension of risk should be recognizable from the design, because risk determines the evidence that will be required, and the evidentiary burden cannot depend on the results of the evidence. For this reason we distinguish this dimension from the reproducibility of a function’s clinical claims, which is an important endpoint of validation but is known only once validation has been performed. The two stand in a clear relationship. Greater output variability, and a larger admitted input and output space, raise the evidentiary burden: the sponsor must show that output variability does not translate into variability of clinical claims, and that performance holds across the space the function admits. Claim-level reproducibility, measured as described in Section IV.D, is how that burden is discharged. A highly stochastic function may, on evaluation, prove to make reproducible clinical claims; it is precisely because this must be shown that the dimension belongs in the assessment of risk.</w:t>
      </w:r>
    </w:p>
    <w:p>
      <w:r>
        <w:rPr>
          <w:color w:val="777777"/>
          <w:sz w:val="16"/>
        </w:rPr>
        <w:t xml:space="preserve">p104 · att1 p.13  </w:t>
      </w:r>
      <w:r>
        <w:t>This dimension interacts with the others, as the others interact with one another. Variability matters in proportion to what varies. Variable phrasing in a presented summary is of limited consequence; a generated diagnosis that varies across runs is a serious failure, as the discussion paper recognizes in stating that “variation in safety-critical behaviors such as escalation, refusal, or diagnostic conclusions is treated as a failure.”</w:t>
      </w:r>
    </w:p>
    <w:p>
      <w:r>
        <w:rPr>
          <w:color w:val="777777"/>
          <w:sz w:val="16"/>
        </w:rPr>
        <w:t xml:space="preserve">p105 · att1 p.13  </w:t>
      </w:r>
      <w:r>
        <w:t>D. Faithfulness as a benchmarking element for presenting functions — RESPONSIVE TO QUESTION 9.</w:t>
      </w:r>
    </w:p>
    <w:p>
      <w:r>
        <w:rPr>
          <w:color w:val="777777"/>
          <w:sz w:val="16"/>
        </w:rPr>
        <w:t xml:space="preserve">p106 · att1 p.13  </w:t>
      </w:r>
      <w:r>
        <w:t>A presenting characterization should not be self-certifying. Whether a function presents is a question about the origin of its claims, and can be determined from its design and intended use. Whether it conveys its source accurately is an empirical question. We recommend that CDRH treat faithfulness — accurate conveyance of the identified source, without addition, alteration, omission of material conditions, or unsupported extrapolation — as a required benchmarking element for presenting functions. Validated methodology exists for this purpose, including the attribution annotation framework developed in the natural language generation literature and entailment-based measures of faithfulness developed in the summarization literature.9,10</w:t>
      </w:r>
    </w:p>
    <w:p>
      <w:r>
        <w:rPr>
          <w:color w:val="777777"/>
          <w:sz w:val="16"/>
        </w:rPr>
        <w:t xml:space="preserve">p107 · att1 p.13  </w:t>
      </w:r>
      <w:r>
        <w:t>E. Multi-turn operation and escalation — Question 5. If the relevant distinction is whether a function generates clinical-decision content (clinical claims), migration over the course of a conversation is resolved directly. A function that generates such content at any point in an exchange occupies the corresponding position on the significance axis for that exchange, regardless of how many turns preceded it, and its intended use can be characterized accordingly.</w:t>
      </w:r>
    </w:p>
    <w:p>
      <w:r>
        <w:rPr>
          <w:color w:val="777777"/>
          <w:sz w:val="16"/>
        </w:rPr>
        <w:t xml:space="preserve">p108 · att1 p.13  </w:t>
      </w:r>
      <w:r>
        <w:t>Question 6. We suggest that under-escalation and over-escalation need not be treated as incommensurable. Where a function generates an escalation recommendation for a defined clinical condition, correct and incorrect escalation constitute a classification problem, and the two directions of error correspond to sensitivity and specificity for that condition. Sponsors can reasonably be expected to prespecify both, for each condition within the indication for use, and to justify the relative weight given to each by reference to the clinical consequence of each type of error.</w:t>
      </w:r>
    </w:p>
    <w:p>
      <w:r>
        <w:rPr>
          <w:color w:val="777777"/>
          <w:sz w:val="16"/>
        </w:rPr>
        <w:t xml:space="preserve">p109 · att1 p.14  </w:t>
      </w:r>
      <w:r>
        <w:t>F. Scope — Several of the considerations above — the position of measurement functions, and the dependence of directiveness on output value in particular — arise for conventional device software functions as well.</w:t>
      </w:r>
    </w:p>
    <w:p>
      <w:r>
        <w:rPr>
          <w:color w:val="777777"/>
          <w:sz w:val="16"/>
        </w:rPr>
        <w:t xml:space="preserve">p110 · att1 p.14  </w:t>
      </w:r>
      <w:r>
        <w:t>Generative functions make them more visible, because text output lends itself to reading directiveness as a matter of wording. We believe the refinement proposed here would improve the consistency of the framework generally, and we would encourage CDRH to consider it with that broader scope in mind.</w:t>
      </w:r>
    </w:p>
    <w:p>
      <w:r>
        <w:rPr>
          <w:color w:val="777777"/>
          <w:sz w:val="16"/>
        </w:rPr>
        <w:t xml:space="preserve">p111 · att1 p.14  </w:t>
      </w:r>
      <w:r>
        <w:t>We wish to be clear, however, that a common framework does not imply a common risk profile. For the same intended use, a conventional function with fixed weights, output configured to be reproducible, and bounded inputs and outputs sits low on the fourth dimension, while a generative function with variable output and open-ended inputs and outputs sits high on it. The conventional function will therefore present a substantially lower risk profile, and the generative function will warrant substantially more evidence, even where the two share an intended use.</w:t>
      </w:r>
    </w:p>
    <w:p>
      <w:r>
        <w:rPr>
          <w:color w:val="777777"/>
          <w:sz w:val="16"/>
        </w:rPr>
        <w:t xml:space="preserve">p112 · att1 p.14  </w:t>
      </w:r>
      <w:r>
        <w:t>Illustrative examples of the generating and presenting distinction appear in Appendix A, and of how the four dimensions combine in Appendix B.</w:t>
      </w:r>
    </w:p>
    <w:p>
      <w:r>
        <w:rPr>
          <w:color w:val="777777"/>
          <w:sz w:val="16"/>
        </w:rPr>
        <w:t xml:space="preserve">p113 · att1 p.14  </w:t>
      </w:r>
      <w:r>
        <w:t>IV. Comments on Section V — A Competency-Based Approach for Premarket Evaluation — RESPONSIVE TO QUESTIONS 7 THROUGH 17.</w:t>
      </w:r>
    </w:p>
    <w:p>
      <w:r>
        <w:rPr>
          <w:color w:val="777777"/>
          <w:sz w:val="16"/>
        </w:rPr>
        <w:t xml:space="preserve">p114 · att1 p.14  </w:t>
      </w:r>
      <w:r>
        <w:t>We welcome CDRH’s statement that a competency-based approach “could be tailored to the device’s intended use and be proportionate to its risk.” Our comments concern the premise on which the approach rests, the limits of inferring competency, an alternative that we believe makes much of the approach unnecessary for many devices, the proportionality of evidence to risk, and the selection of comparators.</w:t>
      </w:r>
    </w:p>
    <w:p>
      <w:r>
        <w:rPr>
          <w:color w:val="777777"/>
          <w:sz w:val="16"/>
        </w:rPr>
        <w:t xml:space="preserve">p115 · att1 p.14  </w:t>
      </w:r>
      <w:r>
        <w:t>A. A conditional premise — RESPONSIVE TO QUESTIONS 7 AND 9.</w:t>
      </w:r>
    </w:p>
    <w:p>
      <w:r>
        <w:rPr>
          <w:color w:val="777777"/>
          <w:sz w:val="16"/>
        </w:rPr>
        <w:t xml:space="preserve">p116 · att1 p.14  </w:t>
      </w:r>
      <w:r>
        <w:t>The methodological innovations proposed in Sections V and VI respond, in large part, to two properties the discussion paper attributes to GenAI-enabled devices: the open-endedness of their inputs and outputs, and the variability of their outputs in response to similar inputs. These properties recur as the stated rationale throughout.</w:t>
      </w:r>
    </w:p>
    <w:p>
      <w:r>
        <w:rPr>
          <w:color w:val="777777"/>
          <w:sz w:val="16"/>
        </w:rPr>
        <w:t xml:space="preserve">p117 · att1 p.14  </w:t>
      </w:r>
      <w:r>
        <w:t>The competency-based approach. The paper observes that “evaluation approaches developed for software with bounded inputs and fixed outputs may not be appropriate for GenAI-enabled devices,” because “the range of possible inputs and outputs may be too large for such testing to be practical”; that “a single correct response often does not exist and many different responses may be acceptable”; and that clinicians and GenAI-enabled devices alike “can ingest broad and varied information and can produce open-ended responses across a wide range of situations.”</w:t>
      </w:r>
    </w:p>
    <w:p>
      <w:r>
        <w:rPr>
          <w:color w:val="777777"/>
          <w:sz w:val="16"/>
        </w:rPr>
        <w:t xml:space="preserve">p118 · att1 p.14  </w:t>
      </w:r>
      <w:r>
        <w:t>Adjudication by language models. Evaluation of open-ended output at scale requires adjudication at scale, and the paper contemplates that adjudication may be performed by language models, noting that its independence considerations “would still be applicable when the expert adjudicator is itself an LLM.” We support the extension of independence requirements to such adjudicators.</w:t>
      </w:r>
    </w:p>
    <w:p>
      <w:r>
        <w:rPr>
          <w:color w:val="777777"/>
          <w:sz w:val="16"/>
        </w:rPr>
        <w:t xml:space="preserve">p119 · att1 p.15  </w:t>
      </w:r>
      <w:r>
        <w:t>Postmarket monitoring. The paper states that these devices “produce varied, open-ended outputs in response to similar inputs and may undergo continuous adjustments following deployment, making it difficult for premarket testing to fully capture performance.”</w:t>
      </w:r>
    </w:p>
    <w:p>
      <w:r>
        <w:rPr>
          <w:color w:val="777777"/>
          <w:sz w:val="16"/>
        </w:rPr>
        <w:t xml:space="preserve">p120 · att1 p.15  </w:t>
      </w:r>
      <w:r>
        <w:t>Elsewhere, the paper frames these properties conditionally. Section II states that GenAI-enabled devices “may accept open-ended inputs” and “produce variable outputs to similar inputs,” and describes the premarket challenge as arising for “devices with broad intended uses or those that use open-ended input and output formats.” We believe this conditional framing is correct, and important.</w:t>
      </w:r>
    </w:p>
    <w:p>
      <w:r>
        <w:rPr>
          <w:color w:val="777777"/>
          <w:sz w:val="16"/>
        </w:rPr>
        <w:t xml:space="preserve">p121 · att1 p.15  </w:t>
      </w:r>
      <w:r>
        <w:t>Open-endedness and output variability are properties a device may have; to a considerable extent, they are properties a device is designed to have. A device that constrains its inputs, constrains its outputs, and controls the variability of its output does not present the evaluation problem the competency-based approach is designed to address.</w:t>
      </w:r>
    </w:p>
    <w:p>
      <w:r>
        <w:rPr>
          <w:color w:val="777777"/>
          <w:sz w:val="16"/>
        </w:rPr>
        <w:t xml:space="preserve">p122 · att1 p.15  </w:t>
      </w:r>
      <w:r>
        <w:t>We therefore recommend that the framework ask sponsors to establish whether these conditions hold for their device, rather than presume that they do. A device that has bounded its input and output space and controlled its output variability should be evaluable by established methods. A device that has not should bear the correspondingly greater evidentiary burden. This allocates the burden to the party that controls the design, and it rewards the design choices that make devices most evaluable.</w:t>
      </w:r>
    </w:p>
    <w:p>
      <w:r>
        <w:rPr>
          <w:color w:val="777777"/>
          <w:sz w:val="16"/>
        </w:rPr>
        <w:t xml:space="preserve">p123 · att1 p.15  </w:t>
      </w:r>
      <w:r>
        <w:t>B. The limits of competency inference — RESPONSIVE TO QUESTIONS 7 AND 9.</w:t>
      </w:r>
    </w:p>
    <w:p>
      <w:r>
        <w:rPr>
          <w:color w:val="777777"/>
          <w:sz w:val="16"/>
        </w:rPr>
        <w:t xml:space="preserve">p124 · att1 p.15  </w:t>
      </w:r>
      <w:r>
        <w:t>The competency-based approach is modeled on medical licensing, board certification, and supervised practice. We think the analogy warrants careful examination, because the available evidence indicates that performance on licensing-style assessment does not presently transfer to open clinical practice for these systems.</w:t>
      </w:r>
    </w:p>
    <w:p>
      <w:r>
        <w:rPr>
          <w:color w:val="777777"/>
          <w:sz w:val="16"/>
        </w:rPr>
        <w:t xml:space="preserve">p125 · att1 p.15  </w:t>
      </w:r>
      <w:r>
        <w:t>A systematic review of 39 medical language model benchmarks found licensing-examination-style benchmarks approaching saturation, with leading models scoring in the mid-eighties to low nineties, while practice-oriented assessments lagged substantially — diagnostic tasks in the range of 45 to 55 percent and safety assessment in the range of 40 to 50 percent.17 Related work documents accuracy degradation when clinically irrelevant information is added to otherwise identical cases.18 Benchmark contamination is a recognized and material concern; one clinical evaluation team withheld the majority of its dataset from publication specifically to guard against it.19</w:t>
      </w:r>
    </w:p>
    <w:p>
      <w:r>
        <w:rPr>
          <w:color w:val="777777"/>
          <w:sz w:val="16"/>
        </w:rPr>
        <w:t xml:space="preserve">p126 · att1 p.15  </w:t>
      </w:r>
      <w:r>
        <w:t>We do not offer this as an argument that structured assessment is without value. We offer it as evidence that inferring open-practice performance from structured-assessment performance is not currently supported for these systems, and that a framework resting on that inference should state what would make the inference reliable.</w:t>
      </w:r>
    </w:p>
    <w:p>
      <w:r>
        <w:rPr>
          <w:color w:val="777777"/>
          <w:sz w:val="16"/>
        </w:rPr>
        <w:t xml:space="preserve">p127 · att1 p.15  </w:t>
      </w:r>
      <w:r>
        <w:t>There is a second, more specific concern. Physician credentialing functions in part because clinical training weights low-prevalence, high-consequence diagnoses independently of their base rate; the discipline of the “must not miss” differential is taught precisely because unaided statistical reasoning would underweight it. Model behavior on rare presentations is instead determined by their representation in training data, and performance on common conditions is a poor predictor of performance on rare ones — a pattern documented in long-tailed medical imaging, where methods that improve rare-class performance typically do so at a cost to common-class performance.20 Competency inference is therefore least reliable precisely where clinical consequence is greatest. We are not aware of a direct empirical comparison of must-not-miss clinical reasoning with base-rate-driven model behavior, and we offer this as reasoned argument rather than as a settled finding.</w:t>
      </w:r>
    </w:p>
    <w:p>
      <w:r>
        <w:rPr>
          <w:color w:val="777777"/>
          <w:sz w:val="16"/>
        </w:rPr>
        <w:t xml:space="preserve">p128 · att1 p.16  </w:t>
      </w:r>
      <w:r>
        <w:t>Physician credentialing also presumes a second property: a physician who does not know can consult, refer, or defer, and licensure is granted on the expectation of that behavior. We anticipate the response that agentic systems partially reproduce this through retrieval and tool use. The transferable analogue, however, is deferral — and deferral is directly testable in a way that inferred competency is not. We regard this as an argument for making deferral behavior a validated device property rather than for accepting competency inference.</w:t>
      </w:r>
    </w:p>
    <w:p>
      <w:r>
        <w:rPr>
          <w:color w:val="777777"/>
          <w:sz w:val="16"/>
        </w:rPr>
        <w:t xml:space="preserve">p129 · att1 p.16  </w:t>
      </w:r>
      <w:r>
        <w:t>C. Bounding the input and output space — RESPONSIVE TO QUESTIONS 7, 9 AND 17.</w:t>
      </w:r>
    </w:p>
    <w:p>
      <w:r>
        <w:rPr>
          <w:color w:val="777777"/>
          <w:sz w:val="16"/>
        </w:rPr>
        <w:t xml:space="preserve">p130 · att1 p.16  </w:t>
      </w:r>
      <w:r>
        <w:t>The point is easily illustrated with conventional artificial intelligence. A network trained on a specific imaging modality will accept an arbitrary input array and produce some output; its theoretical input space is unbounded. We do not conclude from this that such a device must be evaluated by inference from adjacent competencies. We require the sponsor to define the input space, to reject inputs outside it, and to test within it. The unbounded theoretical capability of the underlying model has never been treated as a reason to relax evaluation of the bounded device.</w:t>
      </w:r>
    </w:p>
    <w:p>
      <w:r>
        <w:rPr>
          <w:color w:val="777777"/>
          <w:sz w:val="16"/>
        </w:rPr>
        <w:t xml:space="preserve">p131 · att1 p.16  </w:t>
      </w:r>
      <w:r>
        <w:t>Comparable instruments exist for generative architectures. Input may be bounded by restricting a function to a pre-specified set of prompts or task definitions rather than free-form instruction; by constraining the sources and formats of input; by rejecting out-of-specification input; and by restricting retrieval to a curated and versioned corpus. Output may be bounded by restricting clinical claims to selection from a pre-specified set; by generating within a structured report template; by constraining decoding to a defined schema, a technique demonstrated across structured tasks and implemented in widely used inference frameworks;21,22,23 and by screening outputs with secondary validation models.24,25</w:t>
      </w:r>
    </w:p>
    <w:p>
      <w:r>
        <w:rPr>
          <w:color w:val="777777"/>
          <w:sz w:val="16"/>
        </w:rPr>
        <w:t xml:space="preserve">p132 · att1 p.16  </w:t>
      </w:r>
      <w:r>
        <w:t>Output variability may be reduced through the configuration of decoding, subject to the technical caveat recorded in Section V.C. Worked illustrations appear in Appendix C.</w:t>
      </w:r>
    </w:p>
    <w:p>
      <w:r>
        <w:rPr>
          <w:color w:val="777777"/>
          <w:sz w:val="16"/>
        </w:rPr>
        <w:t xml:space="preserve">p133 · att1 p.16  </w:t>
      </w:r>
      <w:r>
        <w:t>These instruments suit some intended uses better than others. A pre-specified set of prompts costs a function that drafts imaging reports very little, because its principal input is the image; it would remove most of the value of a function whose purpose is open conversation. We regard this as the point rather than an objection to it. Where a sponsor can bound a function, it should be expected to, and should then bear a correspondingly lighter evidentiary burden. Where a sponsor cannot, or chooses not to, the function sits higher on the fourth dimension of risk proposed in Section III, and the greater burden follows.</w:t>
      </w:r>
    </w:p>
    <w:p>
      <w:r>
        <w:rPr>
          <w:color w:val="777777"/>
          <w:sz w:val="16"/>
        </w:rPr>
        <w:t xml:space="preserve">p134 · att1 p.16  </w:t>
      </w:r>
      <w:r>
        <w:t>We think it important to state the limitations of these methods rather than overstate their sufficiency, because the limitations bear directly on how CDRH should treat a bounding claim.</w:t>
      </w:r>
    </w:p>
    <w:p>
      <w:r>
        <w:rPr>
          <w:color w:val="777777"/>
          <w:sz w:val="16"/>
        </w:rPr>
        <w:t xml:space="preserve">p135 · att1 p.17  </w:t>
      </w:r>
      <w:r>
        <w:t>1. Constraint guarantees structure, not clinical correctness. A grammar can compel an output into a valid form; it cannot make the value correct.</w:t>
      </w:r>
    </w:p>
    <w:p>
      <w:r>
        <w:rPr>
          <w:color w:val="777777"/>
          <w:sz w:val="16"/>
        </w:rPr>
        <w:t xml:space="preserve">p136 · att1 p.17  </w:t>
      </w:r>
      <w:r>
        <w:t>2. Constraint can degrade output quality. Token-level masking has been shown to distort a model’s output distribution, yielding outputs that are structurally valid but not representative of the model’s own likelihoods, and benchmarking against real-world schemas shows substantial residual failure.26,27</w:t>
      </w:r>
    </w:p>
    <w:p>
      <w:r>
        <w:rPr>
          <w:color w:val="777777"/>
          <w:sz w:val="16"/>
        </w:rPr>
        <w:t xml:space="preserve">p137 · att1 p.17  </w:t>
      </w:r>
      <w:r>
        <w:t>3. Constraint mechanisms are themselves an attack surface. Recent work demonstrates that structured-output interfaces can be exploited to circumvent model safety behavior.28</w:t>
      </w:r>
    </w:p>
    <w:p>
      <w:r>
        <w:rPr>
          <w:color w:val="777777"/>
          <w:sz w:val="16"/>
        </w:rPr>
        <w:t xml:space="preserve">p138 · att1 p.17  </w:t>
      </w:r>
      <w:r>
        <w:t>The conclusion we draw is not that bounding is unreliable. It is that bounding mechanisms are device design features requiring their own verification and validation, and that a bounding claim should be evidenced rather than asserted. Bounding does not establish correctness. It makes rigorous evaluation tractable and the failure space enumerable, which is what a regulatory framework requires in order to specify controls at all.</w:t>
      </w:r>
    </w:p>
    <w:p>
      <w:r>
        <w:rPr>
          <w:color w:val="777777"/>
          <w:sz w:val="16"/>
        </w:rPr>
        <w:t xml:space="preserve">p139 · att1 p.17  </w:t>
      </w:r>
      <w:r>
        <w:t>We therefore recommend that CDRH treat bounding of the input and output space as the primary regulatory expectation, and require sponsors proposing competency-based evaluation to justify why bounding is not achievable for the function at issue. The discussion paper already moves in this direction where it states that benchmarking should be “of sufficient clinical and functional scope to evaluate the device for its intended use,” extending where appropriate to clinical domains beyond those a device nominally addresses. We read that as an acknowledgment that scope must be controlled rather than assumed.</w:t>
      </w:r>
    </w:p>
    <w:p>
      <w:r>
        <w:rPr>
          <w:color w:val="777777"/>
          <w:sz w:val="16"/>
        </w:rPr>
        <w:t xml:space="preserve">p140 · att1 p.17  </w:t>
      </w:r>
      <w:r>
        <w:t>We also wish to bound our own argument. Exhaustive testing is feasible only where reference data exist, and for genuinely rare conditions they often do not. Our position is that where a condition cannot be evidenced at the required level, the appropriate response is to exclude it from the authorized output set and route it to human interpretation — not to infer acceptable performance from competence in adjacent domains.</w:t>
      </w:r>
    </w:p>
    <w:p>
      <w:r>
        <w:rPr>
          <w:color w:val="777777"/>
          <w:sz w:val="16"/>
        </w:rPr>
        <w:t xml:space="preserve">p141 · att1 p.17  </w:t>
      </w:r>
      <w:r>
        <w:t>D. Translating open-ended output into clinical claims — RESPONSIVE TO QUESTIONS 9, 10, 12 AND 14.</w:t>
      </w:r>
    </w:p>
    <w:p>
      <w:r>
        <w:rPr>
          <w:color w:val="777777"/>
          <w:sz w:val="16"/>
        </w:rPr>
        <w:t xml:space="preserve">p142 · att1 p.17  </w:t>
      </w:r>
      <w:r>
        <w:t>Our central recommendation for the premarket evaluation of generating functions is this: GenAI- enabled devices do not require a new category of evidence. They require that open-ended output be translated into clinical claims that established forms of valid scientific evidence can evaluate.</w:t>
      </w:r>
    </w:p>
    <w:p>
      <w:r>
        <w:rPr>
          <w:color w:val="777777"/>
          <w:sz w:val="16"/>
        </w:rPr>
        <w:t xml:space="preserve">p143 · att1 p.17  </w:t>
      </w:r>
      <w:r>
        <w:t>FDA’s regulations define valid scientific evidence to include well-controlled investigations from which qualified experts can fairly conclude that there is reasonable assurance of safety and effectiveness.29</w:t>
      </w:r>
    </w:p>
    <w:p>
      <w:r>
        <w:rPr>
          <w:color w:val="777777"/>
          <w:sz w:val="16"/>
        </w:rPr>
        <w:t xml:space="preserve">p144 · att1 p.17  </w:t>
      </w:r>
      <w:r>
        <w:t>For a diagnostic function, the most established form of such evidence measures the accuracy of the function’s determinations against a reference standard. That form of evidence does not depend on whether an output is phrased as free text. It depends on whether the clinical claims the output makes can be identified. A report that states a diagnosis has made a claim about that diagnosis; the claim is correct or incorrect against the reference standard, and its sensitivity and specificity can be measured and bounded with confidence intervals by conventional methods. The discussion paper acknowledges that the approaches it describes “may not be powered around traditional effectiveness endpoints.”</w:t>
      </w:r>
    </w:p>
    <w:p>
      <w:r>
        <w:rPr>
          <w:color w:val="777777"/>
          <w:sz w:val="16"/>
        </w:rPr>
        <w:t xml:space="preserve">p145 · att1 p.18  </w:t>
      </w:r>
      <w:r>
        <w:t>Claim-level evaluation is powered around exactly those endpoints.</w:t>
      </w:r>
    </w:p>
    <w:p>
      <w:r>
        <w:rPr>
          <w:color w:val="777777"/>
          <w:sz w:val="16"/>
        </w:rPr>
        <w:t xml:space="preserve">p146 · att1 p.18  </w:t>
      </w:r>
      <w:r>
        <w:t>This connects directly to our comments on Section IV. The distinction between generating and presenting identifies which content in an output is a clinical claim originating with the device. Evaluation then asks two questions of each such claim: whether it is correct, and whether it is reproducible.</w:t>
      </w:r>
    </w:p>
    <w:p>
      <w:r>
        <w:rPr>
          <w:color w:val="777777"/>
          <w:sz w:val="16"/>
        </w:rPr>
        <w:t xml:space="preserve">p147 · att1 p.18  </w:t>
      </w:r>
      <w:r>
        <w:t>Open-endedness: mapping free text to a closed space of clinical claims — Open-ended output can be mapped to a closed space of clinical claims in two ways, which differ in an important respect.</w:t>
      </w:r>
    </w:p>
    <w:p>
      <w:r>
        <w:rPr>
          <w:color w:val="777777"/>
          <w:sz w:val="16"/>
        </w:rPr>
        <w:t xml:space="preserve">p148 · att1 p.18  </w:t>
      </w:r>
      <w:r>
        <w:t>Structure first. The generating function emits its clinical claims in structured form as its primary output</w:t>
      </w:r>
    </w:p>
    <w:p>
      <w:r>
        <w:rPr>
          <w:color w:val="777777"/>
          <w:sz w:val="16"/>
        </w:rPr>
        <w:t xml:space="preserve">p149 · att1 p.18  </w:t>
      </w:r>
      <w:r>
        <w:t>— by constrained decoding into a defined claim schema, or by selection from an allow-listed set of claims — and any free text is rendered from that structure. The structured claims are then authoritative, and are evaluated directly against the reference standard. No extraction step is required, and no language model is needed to judge what the output asserted.</w:t>
      </w:r>
    </w:p>
    <w:p>
      <w:r>
        <w:rPr>
          <w:color w:val="777777"/>
          <w:sz w:val="16"/>
        </w:rPr>
        <w:t xml:space="preserve">p150 · att1 p.18  </w:t>
      </w:r>
      <w:r>
        <w:t>Text first. The generating function emits free text, and a claim extractor identifies the clinical claims it contains. The extractor is then itself a component of the evaluation, and its performance must be validated against human extraction, for both accuracy and coverage. This is so whether the extractor is rule-based or model-based: a rule-based extractor is reproducible but may miss claims expressed in unanticipated phrasing, so its coverage must still be shown.</w:t>
      </w:r>
    </w:p>
    <w:p>
      <w:r>
        <w:rPr>
          <w:color w:val="777777"/>
          <w:sz w:val="16"/>
        </w:rPr>
        <w:t xml:space="preserve">p151 · att1 p.18  </w:t>
      </w:r>
      <w:r>
        <w:t>We recommend the structure-first approach as the preferred mechanism for functions at the higher end of the risk profile. It removes a source of measurement error, it makes the claims a function has made unambiguous, and it reduces reliance on language-model adjudication. The text-first approach remains appropriate where a sponsor can show that its extractor is adequately accurate and complete.</w:t>
      </w:r>
    </w:p>
    <w:p>
      <w:r>
        <w:rPr>
          <w:color w:val="777777"/>
          <w:sz w:val="16"/>
        </w:rPr>
        <w:t xml:space="preserve">p152 · att1 p.18  </w:t>
      </w:r>
      <w:r>
        <w:t>Variability: measuring reproducibility at the level of the claim — Each input is evaluated repeatedly under the deployed configuration, and the clinical claims are identified in each output. Agreement is measured at the level of the claim: for each finding, the proportion of runs in which the function makes the same claim. The same measurement is repeated under clinically irrelevant perturbation of the input — paraphrase, reordering of information, the addition of irrelevant detail — which the discussion paper identifies among the considerations for element R.1.</w:t>
      </w:r>
    </w:p>
    <w:p>
      <w:r>
        <w:rPr>
          <w:color w:val="777777"/>
          <w:sz w:val="16"/>
        </w:rPr>
        <w:t xml:space="preserve">p153 · att1 p.18  </w:t>
      </w:r>
      <w:r>
        <w:t>This is the endpoint that discharges the evidentiary burden set by the fourth dimension of risk in Section</w:t>
      </w:r>
    </w:p>
    <w:p>
      <w:r>
        <w:rPr>
          <w:color w:val="777777"/>
          <w:sz w:val="16"/>
        </w:rPr>
        <w:t xml:space="preserve">p154 · att1 p.18  </w:t>
      </w:r>
      <w:r>
        <w:t>III: output determinism is known from the design and determines how much must be shown; claim-level reproducibility is what shows it.</w:t>
      </w:r>
    </w:p>
    <w:p>
      <w:r>
        <w:rPr>
          <w:color w:val="777777"/>
          <w:sz w:val="16"/>
        </w:rPr>
        <w:t xml:space="preserve">p155 · att1 p.18  </w:t>
      </w:r>
      <w:r>
        <w:t>Three limitations — The extractor is a model. Where the text-first approach is used, extraction relocates rather than removes the need for automated judgment, which is why its validation is required.</w:t>
      </w:r>
    </w:p>
    <w:p>
      <w:r>
        <w:rPr>
          <w:color w:val="777777"/>
          <w:sz w:val="16"/>
        </w:rPr>
        <w:t xml:space="preserve">p156 · att1 p.18  </w:t>
      </w:r>
      <w:r>
        <w:t>Claims outside the defined set escape evaluation. Claim-level evaluation assesses the claims it was designed to identify. An output that makes an unanticipated clinical claim would not be scored. A complementary check is therefore needed: every clinical claim in an output must map to the authorized claim set or be flagged, which corresponds to element S.2, scope maintenance and boundary adherence.</w:t>
      </w:r>
    </w:p>
    <w:p>
      <w:r>
        <w:rPr>
          <w:color w:val="777777"/>
          <w:sz w:val="16"/>
        </w:rPr>
        <w:t xml:space="preserve">p157 · att1 p.19  </w:t>
      </w:r>
      <w:r>
        <w:t>Certainty is part of the claim. “Possible” and “definite” findings of the same entity are different claims, and extraction must capture the qualification as well as the entity. Omission is handled naturally: a finding the output fails to report is a false negative against the reference standard.</w:t>
      </w:r>
    </w:p>
    <w:p>
      <w:r>
        <w:rPr>
          <w:color w:val="777777"/>
          <w:sz w:val="16"/>
        </w:rPr>
        <w:t xml:space="preserve">p158 · att1 p.19  </w:t>
      </w:r>
      <w:r>
        <w:t>Question 10. The discussion paper notes that sponsors might “propose their own specialized tests and datasets tailored to their specific device and its functions,” and Question 10 asks what role such sponsor-developed benchmarks should play given concerns about independence and optimization to the test. Translating output into clinical claims allows those claims to be evaluated against established, independently adjudicated reference standards, which reduces reliance on sponsor-developed benchmarks whose construct validity would otherwise have to be separately established.</w:t>
      </w:r>
    </w:p>
    <w:p>
      <w:r>
        <w:rPr>
          <w:color w:val="777777"/>
          <w:sz w:val="16"/>
        </w:rPr>
        <w:t xml:space="preserve">p159 · att1 p.19  </w:t>
      </w:r>
      <w:r>
        <w:t>Question 12. Because claim-level endpoints are conventional diagnostic accuracy endpoints, sample sizes and confidence intervals can be determined by conventional methods, per claim and per stratum of clinical consequence.</w:t>
      </w:r>
    </w:p>
    <w:p>
      <w:r>
        <w:rPr>
          <w:color w:val="777777"/>
          <w:sz w:val="16"/>
        </w:rPr>
        <w:t xml:space="preserve">p160 · att1 p.19  </w:t>
      </w:r>
      <w:r>
        <w:t>E. Evidence proportionate to risk pro2le, and the role of architecture — RESPONSIVE TO QUESTIONS 8, 11 AND 17.</w:t>
      </w:r>
    </w:p>
    <w:p>
      <w:r>
        <w:rPr>
          <w:color w:val="777777"/>
          <w:sz w:val="16"/>
        </w:rPr>
        <w:t xml:space="preserve">p161 · att1 p.19  </w:t>
      </w:r>
      <w:r>
        <w:t>Question 8 asks how the risk framework might inform the level of evidence required. We recommend that the four-dimension risk profile described in Section III determine the nature, rigor, and amount of evidence: which benchmarking elements apply, the range and difficulty of test conditions, the extent of clinical confirmation, and, as discussed in Section VI, which architectural safeguards are expected. The discussion paper already anticipates this, noting that benchmarking elements “would be chosen based on applicability to the device’s intended use and risk profile.”</w:t>
      </w:r>
    </w:p>
    <w:p>
      <w:r>
        <w:rPr>
          <w:color w:val="777777"/>
          <w:sz w:val="16"/>
        </w:rPr>
        <w:t xml:space="preserve">p162 · att1 p.19  </w:t>
      </w:r>
      <w:r>
        <w:t>Architecture determines which benchmarking approaches are applicable. We would suggest the following correspondence:</w:t>
      </w:r>
    </w:p>
    <w:p>
      <w:r>
        <w:rPr>
          <w:color w:val="777777"/>
          <w:sz w:val="16"/>
        </w:rPr>
        <w:t xml:space="preserve">p163 · att1 p.19  </w:t>
      </w:r>
      <w:r>
        <w:t>Characteristic of the function Benchmarking approach it calls for — Generates clinical claims Claim-level accuracy against a reference standard (Section IV.D)</w:t>
      </w:r>
    </w:p>
    <w:p>
      <w:r>
        <w:rPr>
          <w:color w:val="777777"/>
          <w:sz w:val="16"/>
        </w:rPr>
        <w:t xml:space="preserve">p164 · att1 p.19  </w:t>
      </w:r>
      <w:r>
        <w:t>Presents clinical claims Faithfulness to the identified source (Section III.D) — Variable output Claim-level reproducibility across runs and under perturbation (element R.1)</w:t>
      </w:r>
    </w:p>
    <w:p>
      <w:r>
        <w:rPr>
          <w:color w:val="777777"/>
          <w:sz w:val="16"/>
        </w:rPr>
        <w:t xml:space="preserve">p165 · att1 p.19  </w:t>
      </w:r>
      <w:r>
        <w:t>Open-ended input or output Scope maintenance and detection of claims outside the authorized set (element S.2)</w:t>
      </w:r>
    </w:p>
    <w:p>
      <w:r>
        <w:rPr>
          <w:color w:val="777777"/>
          <w:sz w:val="16"/>
        </w:rPr>
        <w:t xml:space="preserve">p166 · att1 p.19  </w:t>
      </w:r>
      <w:r>
        <w:t>Conversational interface Multi-turn, escalation, communication, and paraphrase elements (S.1, E.2, E.4, R.1) — Image input; measurement or segmentation output</w:t>
      </w:r>
    </w:p>
    <w:p>
      <w:r>
        <w:rPr>
          <w:color w:val="777777"/>
          <w:sz w:val="16"/>
        </w:rPr>
        <w:t xml:space="preserve">p167 · att1 p.19  </w:t>
      </w:r>
      <w:r>
        <w:t>Established quantitative imaging methods, including repeatability and reproducibility — This bears directly on Question 17, which asks whether aspects of the approach might be ineffective or inapplicable to other model architectures. For imaging devices, much of Appendix A presupposes a conversational interface. Multi-turn simulated encounters, the sequencing of follow-up questions, resistance to over-reassurance when users minimize symptoms, adversarial and emotional- manipulation prompting, empathy and therapeutic appropriateness, health literacy, consistency across semantically equivalent paraphrases, and performance across dialects and accents are all meaningful for a device that converses with a user. A function that accepts a volumetric image series and returns a measurement or a segmentation has no conversational surface on which they can be assessed.</w:t>
      </w:r>
    </w:p>
    <w:p>
      <w:r>
        <w:rPr>
          <w:color w:val="777777"/>
          <w:sz w:val="16"/>
        </w:rPr>
        <w:t xml:space="preserve">p168 · att1 p.20  </w:t>
      </w:r>
      <w:r>
        <w:t>Applying them would impose burden without safety return, contrary to least burdensome principles.</w:t>
      </w:r>
    </w:p>
    <w:p>
      <w:r>
        <w:rPr>
          <w:color w:val="777777"/>
          <w:sz w:val="16"/>
        </w:rPr>
        <w:t xml:space="preserve">p169 · att1 p.20  </w:t>
      </w:r>
      <w:r>
        <w:t>We would add one observation on the function taxonomy in Section IV of the paper. Measurement functions and diagnosis are each addressed. Detection is not addressed as a function type. In imaging, detection is where autonomy risk is concentrated, because a missed finding produces no error signal:</w:t>
      </w:r>
    </w:p>
    <w:p>
      <w:r>
        <w:rPr>
          <w:color w:val="777777"/>
          <w:sz w:val="16"/>
        </w:rPr>
        <w:t xml:space="preserve">p170 · att1 p.20  </w:t>
      </w:r>
      <w:r>
        <w:t>the output is confident, complete in appearance, and contains no indication that anything was omitted.</w:t>
      </w:r>
    </w:p>
    <w:p>
      <w:r>
        <w:rPr>
          <w:color w:val="777777"/>
          <w:sz w:val="16"/>
        </w:rPr>
        <w:t xml:space="preserve">p171 · att1 p.20  </w:t>
      </w:r>
      <w:r>
        <w:t>We recommend that detection be addressed explicitly.</w:t>
      </w:r>
    </w:p>
    <w:p>
      <w:r>
        <w:rPr>
          <w:color w:val="777777"/>
          <w:sz w:val="16"/>
        </w:rPr>
        <w:t xml:space="preserve">p172 · att1 p.20  </w:t>
      </w:r>
      <w:r>
        <w:t>Where an existing classification regulation and its associated guidance already govern a function, a generative implementation should not displace them. A function returning a quantitative imaging measurement for clinician interpretation should remain subject to the requirements applicable to that device type, including the repeatability and reproducibility assessment that existing quantitative imaging guidance already describes.30 That guidance addresses output variability directly, using established methodology, without the need for a parallel framework.</w:t>
      </w:r>
    </w:p>
    <w:p>
      <w:r>
        <w:rPr>
          <w:color w:val="777777"/>
          <w:sz w:val="16"/>
        </w:rPr>
        <w:t xml:space="preserve">p173 · att1 p.20  </w:t>
      </w:r>
      <w:r>
        <w:t>F. Comparator selection and acceptance criteria — RESPONSIVE TO QUESTIONS 14 AND 15.</w:t>
      </w:r>
    </w:p>
    <w:p>
      <w:r>
        <w:rPr>
          <w:color w:val="777777"/>
          <w:sz w:val="16"/>
        </w:rPr>
        <w:t xml:space="preserve">p174 · att1 p.20  </w:t>
      </w:r>
      <w:r>
        <w:t>The discussion paper frames comparator selection with care. It suggests that performance might be compared “to that of a panel of qualified clinicians whose consensus reflects the applicable standard of care, or to that of a median clinician in practice”; that “considerations for selecting the comparator might include how the device is actually used”; and that benchmark datasets be “representative of the deployment contexts in which the device is expected to be used.” We agree that no single comparator suits all devices, and that the choice should depend on the intended use and the deployment environment. The paper identifies the relevant alternatives: a panel of qualified clinicians, a median clinician in practice, generalist or specialist physicians, and the performance of a human-AI team as against the device working alone.</w:t>
      </w:r>
    </w:p>
    <w:p>
      <w:r>
        <w:rPr>
          <w:color w:val="777777"/>
          <w:sz w:val="16"/>
        </w:rPr>
        <w:t xml:space="preserve">p175 · att1 p.20  </w:t>
      </w:r>
      <w:r>
        <w:t>We propose one organizing principle: the comparator should be the standard of care in the environment for which the device is indicated. Applied to device software functions that bear on specialist interpretation, it yields three comparators.</w:t>
      </w:r>
    </w:p>
    <w:p>
      <w:r>
        <w:rPr>
          <w:color w:val="777777"/>
          <w:sz w:val="16"/>
        </w:rPr>
        <w:t xml:space="preserve">p176 · att1 p.20  </w:t>
      </w:r>
      <w:r>
        <w:t>Intended use and deployment environment Comparator — Function intended for use by a specialist Specialist with the device, compared with specialist without the device</w:t>
      </w:r>
    </w:p>
    <w:p>
      <w:r>
        <w:rPr>
          <w:color w:val="777777"/>
          <w:sz w:val="16"/>
        </w:rPr>
        <w:t xml:space="preserve">p177 · att1 p.20  </w:t>
      </w:r>
      <w:r>
        <w:t>Autonomous function, where specialist interpretation is available — Panel of qualified specialists, compared with the device operating alone</w:t>
      </w:r>
    </w:p>
    <w:p>
      <w:r>
        <w:rPr>
          <w:color w:val="777777"/>
          <w:sz w:val="16"/>
        </w:rPr>
        <w:t xml:space="preserve">p178 · att1 p.20  </w:t>
      </w:r>
      <w:r>
        <w:t>Autonomous function, where specialist interpretation is not available — Median specialist in practice, compared with the device operating alone</w:t>
      </w:r>
    </w:p>
    <w:p>
      <w:r>
        <w:rPr>
          <w:color w:val="777777"/>
          <w:sz w:val="16"/>
        </w:rPr>
        <w:t xml:space="preserve">p179 · att1 p.21  </w:t>
      </w:r>
      <w:r>
        <w:t>The first is the established reader-study paradigm, and we see no reason to depart from it. In the second, the prevailing standard of care already includes specialist interpretation, consultation among specialists, and existing assistive tools. A device that operates in place of that process should be measured against the consensus of qualified specialists, which reflects it.</w:t>
      </w:r>
    </w:p>
    <w:p>
      <w:r>
        <w:rPr>
          <w:color w:val="777777"/>
          <w:sz w:val="16"/>
        </w:rPr>
        <w:t xml:space="preserve">p180 · att1 p.21  </w:t>
      </w:r>
      <w:r>
        <w:t>The third requires more discussion. Where no specialist is available, the realistic alternative may be no interpretation, delayed interpretation, or interpretation by a clinician without subspecialty training. It does not follow that the device should be compared with that alternative. A patient harmed by an incorrect output is not harmed less because no specialist was available: the absence of an alternative changes the benefit of the device, not the consequence of its errors. At the same time, a consensus panel represents a standard of care the setting never offered. We therefore consider the median specialist in practice the appropriate comparator. It represents the specialist-level care that the setting lacks and that the device is intended to provide.</w:t>
      </w:r>
    </w:p>
    <w:p>
      <w:r>
        <w:rPr>
          <w:color w:val="777777"/>
          <w:sz w:val="16"/>
        </w:rPr>
        <w:t xml:space="preserve">p181 · att1 p.21  </w:t>
      </w:r>
      <w:r>
        <w:t>We recognize that a median-clinician comparator is a standard that moves with the performance of the comparison group, whereas an adjudicated reference standard is not. We do not believe that instability disqualifies it in this setting, but we would recommend two measures to contain it: that the median be established from a documented and representative sample of practicing specialists, and that it be used to set a prespecified, absolute acceptance threshold rather than serve as a comparison that moves with each new study.</w:t>
      </w:r>
    </w:p>
    <w:p>
      <w:r>
        <w:rPr>
          <w:color w:val="777777"/>
          <w:sz w:val="16"/>
        </w:rPr>
        <w:t xml:space="preserve">p182 · att1 p.21  </w:t>
      </w:r>
      <w:r>
        <w:t>This bears on Question 15. The care that would occur in the device’s absence is, in our view, properly considered in the benefit-risk determination, and we agree with CDRH that it is a legitimate and under- used consideration. It should not, however, set the acceptance criterion. The acceptance criterion for an autonomous function should be an absolute performance threshold, prespecified for each condition in the indication for use, informed by the comparator above, and justified by the clinical consequence of a missed or incorrect determination. The comparator establishes where the threshold must at least lie;</w:t>
      </w:r>
    </w:p>
    <w:p>
      <w:r>
        <w:rPr>
          <w:color w:val="777777"/>
          <w:sz w:val="16"/>
        </w:rPr>
        <w:t xml:space="preserve">p183 · att1 p.21  </w:t>
      </w:r>
      <w:r>
        <w:t>the consequence of error may justify a higher one.</w:t>
      </w:r>
    </w:p>
    <w:p>
      <w:r>
        <w:rPr>
          <w:color w:val="777777"/>
          <w:sz w:val="16"/>
        </w:rPr>
        <w:t xml:space="preserve">p184 · att1 p.21  </w:t>
      </w:r>
      <w:r>
        <w:t>This is consistent with precedent. The first FDA authorization of an autonomous diagnostic device, indicated for use by health care providers to automatically detect more than mild diabetic retinopathy, rested on prespecified absolute thresholds for sensitivity and specificity of 85.0 percent and 82.5 percent, measured against an independent reading-center reference standard.31,32</w:t>
      </w:r>
    </w:p>
    <w:p>
      <w:r>
        <w:rPr>
          <w:color w:val="777777"/>
          <w:sz w:val="16"/>
        </w:rPr>
        <w:t xml:space="preserve">p185 · att1 p.21  </w:t>
      </w:r>
      <w:r>
        <w:t>Finally, the choice of comparator should not depend on the implementation technology of the device. A generative and a conventional device intended for the same use, in the same environment, should be held to the same comparator and the same acceptance threshold.</w:t>
      </w:r>
    </w:p>
    <w:p>
      <w:r>
        <w:rPr>
          <w:color w:val="777777"/>
          <w:sz w:val="16"/>
        </w:rPr>
        <w:t xml:space="preserve">p186 · att1 p.21  </w:t>
      </w:r>
      <w:r>
        <w:t>V. Comments on Section VI — Postmarket Monitoring — RESPONSIVE TO QUESTIONS 18 THROUGH 20, 24 AND 25.</w:t>
      </w:r>
    </w:p>
    <w:p>
      <w:r>
        <w:rPr>
          <w:color w:val="777777"/>
          <w:sz w:val="16"/>
        </w:rPr>
        <w:t xml:space="preserve">p187 · att1 p.21  </w:t>
      </w:r>
      <w:r>
        <w:t>A. A complement to premarket evidence, not a substitute for it — The discussion paper records CDRH’s earlier view that “it may be important for premarket evidence to be complemented by postmarket evidence.”33 Section VI asks a different question: whether “it is appropriate to accept greater premarket uncertainty regarding a GenAI-enabled device’s benefit-risk profile through greater reliance on postmarket monitoring,”34 and Question 18 asks what monitoring characteristics would “justify reduced premarket evidence.” The movement from complement to substitute is significant, and we would encourage CDRH to consider it deliberately.</w:t>
      </w:r>
    </w:p>
    <w:p>
      <w:r>
        <w:rPr>
          <w:color w:val="777777"/>
          <w:sz w:val="16"/>
        </w:rPr>
        <w:t xml:space="preserve">p188 · att1 p.22  </w:t>
      </w:r>
      <w:r>
        <w:t>We respectfully but strongly recommend that postmarket monitoring be treated as a complement to premarket evidence, and not as a substitute for it. Premarket evidence establishes that a device performs as intended in a characterized population. Postmarket monitoring establishes that the conditions under which that finding was obtained continue to hold. These are different questions, and the second cannot answer the first. Reduced premarket evidence does not reduce uncertainty about a device’s safety and effectiveness; it transfers the discovery of that uncertainty to the deployed population, where it is discovered through harm to patients. The benefit of earlier market entry accrues to the sponsor. The cost of an undetected failure is borne by patients.</w:t>
      </w:r>
    </w:p>
    <w:p>
      <w:r>
        <w:rPr>
          <w:color w:val="777777"/>
          <w:sz w:val="16"/>
        </w:rPr>
        <w:t xml:space="preserve">p189 · att1 p.22  </w:t>
      </w:r>
      <w:r>
        <w:t>For monitoring to compensate for evidence not gathered before marketing, four conditions would need to hold together:</w:t>
      </w:r>
    </w:p>
    <w:p>
      <w:r>
        <w:rPr>
          <w:color w:val="777777"/>
          <w:sz w:val="16"/>
        </w:rPr>
        <w:t xml:space="preserve">p190 · att1 p.22  </w:t>
      </w:r>
      <w:r>
        <w:t>1. The failure mode is detectable in monitored data. Uncertainty about device behavior on presentations that do not occur, or occur too rarely to be observed, in the monitored population is not reduced by monitoring that population.</w:t>
      </w:r>
    </w:p>
    <w:p>
      <w:r>
        <w:rPr>
          <w:color w:val="777777"/>
          <w:sz w:val="16"/>
        </w:rPr>
        <w:t xml:space="preserve">p191 · att1 p.22  </w:t>
      </w:r>
      <w:r>
        <w:t>2. The detection interval is short relative to the harm. A failure detectable only after months of accumulated cases is not controlled by monitoring where the harm from each instance is immediate and irreversible.</w:t>
      </w:r>
    </w:p>
    <w:p>
      <w:r>
        <w:rPr>
          <w:color w:val="777777"/>
          <w:sz w:val="16"/>
        </w:rPr>
        <w:t xml:space="preserve">p192 · att1 p.22  </w:t>
      </w:r>
      <w:r>
        <w:t>3. An automatic mitigation exists. On signal exceedance the device reverts to a defined safe state, such as human interpretation, without awaiting manual action by the manufacturer.</w:t>
      </w:r>
    </w:p>
    <w:p>
      <w:r>
        <w:rPr>
          <w:color w:val="777777"/>
          <w:sz w:val="16"/>
        </w:rPr>
        <w:t xml:space="preserve">p193 · att1 p.22  </w:t>
      </w:r>
      <w:r>
        <w:t>4. Output is reproducible. Where output varies across repeated runs on identical inputs, monitored performance cannot reliably be attributed to the device configuration under review, and re- benchmarking against a premarket baseline loses its footing.</w:t>
      </w:r>
    </w:p>
    <w:p>
      <w:r>
        <w:rPr>
          <w:color w:val="777777"/>
          <w:sz w:val="16"/>
        </w:rPr>
        <w:t xml:space="preserve">p194 · att1 p.22  </w:t>
      </w:r>
      <w:r>
        <w:t>For functions at the higher end of the risk profile described in Section III — in particular those that generate diagnoses for serious or critical conditions without evaluation by a qualified person before effect — these conditions will rarely hold together. A presentation too uncommon to appear in the monitored population is not characterized by monitoring it, and the harm from a missed time-critical finding occurs before any signal could be observed. In answer to the final part of Question 18, these are the device types for which we believe the approach would not be appropriate.</w:t>
      </w:r>
    </w:p>
    <w:p>
      <w:r>
        <w:rPr>
          <w:color w:val="777777"/>
          <w:sz w:val="16"/>
        </w:rPr>
        <w:t xml:space="preserve">p195 · att1 p.22  </w:t>
      </w:r>
      <w:r>
        <w:t>Postmarket monitoring should instead build on premarket evidence designed to be as complete as the device permits, and that is in large part a matter of design. Sponsors can bound the input and output space, control the variability of output, and design premarket evaluation to capture as much of the admitted space as practicable. We do not regard incomplete premarket characterization as an inherent property of GenAI-enabled devices, and we would not want the framework to treat it as one.</w:t>
      </w:r>
    </w:p>
    <w:p>
      <w:r>
        <w:rPr>
          <w:color w:val="777777"/>
          <w:sz w:val="16"/>
        </w:rPr>
        <w:t xml:space="preserve">p196 · att1 p.22  </w:t>
      </w:r>
      <w:r>
        <w:t>B. Why premarket evidence cannot fully characterize deployed performance — Even premarket evidence designed as well as possible will not characterize every aspect of a device’s performance in deployment. We identify four reasons. Each is a proper object of postmarket monitoring, and each is best addressed by one of the approaches the discussion paper describes, which we support:</w:t>
      </w:r>
    </w:p>
    <w:p>
      <w:r>
        <w:rPr>
          <w:color w:val="777777"/>
          <w:sz w:val="16"/>
        </w:rPr>
        <w:t xml:space="preserve">p197 · att1 p.23  </w:t>
      </w:r>
      <w:r>
        <w:t>Reason Why premarket evidence is incomplete Monitoring approach best suited — Periodic device benchmarking, triggered by defined changes</w:t>
      </w:r>
    </w:p>
    <w:p>
      <w:r>
        <w:rPr>
          <w:color w:val="777777"/>
          <w:sz w:val="16"/>
        </w:rPr>
        <w:t xml:space="preserve">p198 · att1 p.23  </w:t>
      </w:r>
      <w:r>
        <w:t>Model evolution The device or an underlying model changes after authorization, through sponsor modification, continuous adaptation, or third-party foundation model updates</w:t>
      </w:r>
    </w:p>
    <w:p>
      <w:r>
        <w:rPr>
          <w:color w:val="777777"/>
          <w:sz w:val="16"/>
        </w:rPr>
        <w:t xml:space="preserve">p199 · att1 p.23  </w:t>
      </w:r>
      <w:r>
        <w:t>Periodic sample-based clinician review — Output variability Output that varies across runs may vary in ways a finite premarket sample did not reveal</w:t>
      </w:r>
    </w:p>
    <w:p>
      <w:r>
        <w:rPr>
          <w:color w:val="777777"/>
          <w:sz w:val="16"/>
        </w:rPr>
        <w:t xml:space="preserve">p200 · att1 p.23  </w:t>
      </w:r>
      <w:r>
        <w:t>Input and population drift — Performance degradation monitoring — Equipment, protocols, practice patterns, and populations change after authorization</w:t>
      </w:r>
    </w:p>
    <w:p>
      <w:r>
        <w:rPr>
          <w:color w:val="777777"/>
          <w:sz w:val="16"/>
        </w:rPr>
        <w:t xml:space="preserve">p201 · att1 p.23  </w:t>
      </w:r>
      <w:r>
        <w:t>Open-ended input and output — Premarket evaluation samples only part of the space an open-ended device admits</w:t>
      </w:r>
    </w:p>
    <w:p>
      <w:r>
        <w:rPr>
          <w:color w:val="777777"/>
          <w:sz w:val="16"/>
        </w:rPr>
        <w:t xml:space="preserve">p202 · att1 p.23  </w:t>
      </w:r>
      <w:r>
        <w:t>Periodic sample-based clinician review, directed at unanticipated inputs and outputs — The first reason encompasses each of the three kinds of change the discussion paper describes:</w:t>
      </w:r>
    </w:p>
    <w:p>
      <w:r>
        <w:rPr>
          <w:color w:val="777777"/>
          <w:sz w:val="16"/>
        </w:rPr>
        <w:t xml:space="preserve">p203 · att1 p.23  </w:t>
      </w:r>
      <w:r>
        <w:t>intentional modifications, model-evolution changes, and unplanned changes arising from third-party foundation models. The second and fourth are the two properties comprising the fourth dimension of risk proposed in Section III. The same design characteristics that raise the premarket evidentiary burden therefore also drive the need for postmarket monitoring, which is a further reason to address them by design.</w:t>
      </w:r>
    </w:p>
    <w:p>
      <w:r>
        <w:rPr>
          <w:color w:val="777777"/>
          <w:sz w:val="16"/>
        </w:rPr>
        <w:t xml:space="preserve">p204 · att1 p.23  </w:t>
      </w:r>
      <w:r>
        <w:t>C. Scaling monitoring to the reasons that apply — The discussion paper anticipates that the scope, frequency, and level of evidence of postmarket monitoring “might vary in proportion to the risk profile of the device.” We agree, and recommend that the intensity of monitoring be scaled specifically to which of the four reasons above apply to a given device.</w:t>
      </w:r>
    </w:p>
    <w:p>
      <w:r>
        <w:rPr>
          <w:color w:val="777777"/>
          <w:sz w:val="16"/>
        </w:rPr>
        <w:t xml:space="preserve">p205 · att1 p.23  </w:t>
      </w:r>
      <w:r>
        <w:t>On output variability, we wish to record a technical point we believe is important for the Agency. Setting decoding temperature to zero does not by itself guarantee reproducible output in a production serving environment. Because batch size and composition vary with concurrent load, and because common inference kernels are not invariant to batch composition, the order of floating-point reductions changes with the batch, and the output can change with it. Contributing factors include floating-point non- associativity in reduction operations, dynamic batching, expert routing that depends on batch composition, speculative decoding, and hardware and driver variation.35 We therefore recommend that any reproducibility expectation be framed behaviorally — as demonstrated identical output across repeated runs on identical inputs under the deployed configuration — rather than as a configuration parameter that can be asserted but not verified.</w:t>
      </w:r>
    </w:p>
    <w:p>
      <w:r>
        <w:rPr>
          <w:color w:val="777777"/>
          <w:sz w:val="16"/>
        </w:rPr>
        <w:t xml:space="preserve">p206 · att1 p.24  </w:t>
      </w:r>
      <w:r>
        <w:t>We want to be precise about the contrast with conventional artificial intelligence, and to avoid overstating it. Conventional inference with fixed weights is deterministic when explicitly configured for determinism: pinned library and driver versions, deterministic algorithm selection, and deterministic operations. It is not automatically deterministic, and non-deterministic accumulation and automatic algorithm selection are documented sources of variation. The accurate contrast is that these are configurable properties for conventional inference, whereas the batch-composition dependence described above persists in generative serving irrespective of determinism settings.</w:t>
      </w:r>
    </w:p>
    <w:p>
      <w:r>
        <w:rPr>
          <w:color w:val="777777"/>
          <w:sz w:val="16"/>
        </w:rPr>
        <w:t xml:space="preserve">p207 · att1 p.24  </w:t>
      </w:r>
      <w:r>
        <w:t>A device with fixed weights, reproducible output, and a bounded input and output space is exposed principally to input and population drift. A device with variable output, built on a third-party foundation model and admitting open-ended input, is exposed to all four. We recommend that monitoring cadence, scope, and re-benchmarking triggers differ substantially between these cases.</w:t>
      </w:r>
    </w:p>
    <w:p>
      <w:r>
        <w:rPr>
          <w:color w:val="777777"/>
          <w:sz w:val="16"/>
        </w:rPr>
        <w:t xml:space="preserve">p208 · att1 p.24  </w:t>
      </w:r>
      <w:r>
        <w:t>We want to be equally clear about what reproducibility does not do. It does not remove the need for postmarket monitoring. Equipment replacement, protocol change, contrast-agent change, and shifts in the referred population all degrade the real-world performance of a device whose weights have not changed at all, and no degree of reproducibility will detect that. We are not proposing that any category of device be exempted from monitoring. We are proposing that the intensity of monitoring be proportionate to the sources of variation present, which we believe is both safer and more consistent with least burdensome principles than a uniform expectation.</w:t>
      </w:r>
    </w:p>
    <w:p>
      <w:r>
        <w:rPr>
          <w:color w:val="777777"/>
          <w:sz w:val="16"/>
        </w:rPr>
        <w:t xml:space="preserve">p209 · att1 p.24  </w:t>
      </w:r>
      <w:r>
        <w:t>Where premarket evidence characterizes performance of a conventional AI device across a broad and representative range of acquisition conditions, equipment, and populations, we believe the scope and cadence of proactive performance monitoring may reasonably be reduced.</w:t>
      </w:r>
    </w:p>
    <w:p>
      <w:r>
        <w:rPr>
          <w:color w:val="777777"/>
          <w:sz w:val="16"/>
        </w:rPr>
        <w:t xml:space="preserve">p210 · att1 p.24  </w:t>
      </w:r>
      <w:r>
        <w:t>D. Machine-based supervisory monitoring — With respect to Question 20, we support the concept of machine-based supervisory monitoring, and note that it is already in use. An AI device for autonomous triage in organized breast cancer screening, certified in the European Union in September 2026, relies on a supervisory layer that sets and monitors each site’s operating point, tracks changes in equipment, system health, and daily performance signals, and returns a site to full radiologist reading when those signals move outside defined limits.36</w:t>
      </w:r>
    </w:p>
    <w:p>
      <w:r>
        <w:rPr>
          <w:color w:val="777777"/>
          <w:sz w:val="16"/>
        </w:rPr>
        <w:t xml:space="preserve">p211 · att1 p.24  </w:t>
      </w:r>
      <w:r>
        <w:t>Question 20 also asks about the evaluation and reliability of the supervisory agent itself. We recommend that a supervisory function of this kind be treated as a device software function in its own right, with its own requirements specification, verification, validation, and performance characterization, rather than as telemetry or a quality-system artifact. The reason is that it is a risk control measure: it changes the device’s behavior, for example by withdrawing autonomous operation and returning cases to human interpretation, and its reliability therefore bears directly on patient safety. Consistent with</w:t>
      </w:r>
    </w:p>
    <w:p>
      <w:r>
        <w:rPr>
          <w:color w:val="777777"/>
          <w:sz w:val="16"/>
        </w:rPr>
        <w:t xml:space="preserve">p212 · att1 p.24  </w:t>
      </w:r>
      <w:r>
        <w:t>Section V.A, we regard such a function as complementing premarket evidence, not as a basis for reducing it.</w:t>
      </w:r>
    </w:p>
    <w:p>
      <w:r>
        <w:rPr>
          <w:color w:val="777777"/>
          <w:sz w:val="16"/>
        </w:rPr>
        <w:t xml:space="preserve">p213 · att1 p.24  </w:t>
      </w:r>
      <w:r>
        <w:t>E. Devices built on third-party foundation models — With respect to Question 24, we agree that devices built on third-party foundation models present a change-control problem of a different character, because the change originates outside the manufacturer’s quality system. Rather than a categorical restriction, we recommend a combination of controls: version pinning as a device specification rather than a deployment convenience; contractual change-notification commitments from the model provider; mandatory re-benchmarking against the premarket baseline upon any change to the underlying model; and use of a Predetermined Change</w:t>
      </w:r>
    </w:p>
    <w:p>
      <w:r>
        <w:rPr>
          <w:color w:val="777777"/>
          <w:sz w:val="16"/>
        </w:rPr>
        <w:t xml:space="preserve">p214 · att1 p.25  </w:t>
      </w:r>
      <w:r>
        <w:t>Control Plan as the mechanism through which anticipated changes and their acceptance criteria are agreed in advance.37 We would regard a device whose clinical output depends on a model that may change without the manufacturer’s knowledge, and without re-benchmarking, as not adequately controlled.</w:t>
      </w:r>
    </w:p>
    <w:p>
      <w:r>
        <w:rPr>
          <w:color w:val="777777"/>
          <w:sz w:val="16"/>
        </w:rPr>
        <w:t xml:space="preserve">p215 · att1 p.25  </w:t>
      </w:r>
      <w:r>
        <w:t>With respect to Question 25, we agree with the discussion paper that submission of a Foundation Model</w:t>
      </w:r>
    </w:p>
    <w:p>
      <w:r>
        <w:rPr>
          <w:color w:val="777777"/>
          <w:sz w:val="16"/>
        </w:rPr>
        <w:t xml:space="preserve">p216 · att1 p.25  </w:t>
      </w:r>
      <w:r>
        <w:t>Master File “would not constitute authorization of the underlying model for any device intended use,”</w:t>
      </w:r>
    </w:p>
    <w:p>
      <w:r>
        <w:rPr>
          <w:color w:val="777777"/>
          <w:sz w:val="16"/>
        </w:rPr>
        <w:t xml:space="preserve">p217 · att1 p.25  </w:t>
      </w:r>
      <w:r>
        <w:t>and that sponsors would remain responsible for demonstrating the safety and effectiveness of their own device. Such files could usefully inform review. They should not substitute for device-level evidence.</w:t>
      </w:r>
    </w:p>
    <w:p>
      <w:r>
        <w:rPr>
          <w:color w:val="777777"/>
          <w:sz w:val="16"/>
        </w:rPr>
        <w:t xml:space="preserve">p218 · att1 p.25  </w:t>
      </w:r>
      <w:r>
        <w:t>VI. Architectural Safeguards for High-Risk-Pro2le Device Functions, Including Autonomous Functions — RESPONSIVE TO QUESTIONS 4, 11, 18 AND 26.</w:t>
      </w:r>
    </w:p>
    <w:p>
      <w:r>
        <w:rPr>
          <w:color w:val="777777"/>
          <w:sz w:val="16"/>
        </w:rPr>
        <w:t xml:space="preserve">p219 · att1 p.25  </w:t>
      </w:r>
      <w:r>
        <w:t>A. Functions whose output is not reviewed before it takes e@ect — The discussion paper anticipates functions whose output is not reviewed by a qualified clinician before it takes effect. It places fully autonomous operation at the far end of its activity axis; it addresses patient-facing and generalist-facing functions; and its clinical confirmation approaches — retrospective evaluation on real patient inputs, shadow deployment, standardized patient interactions, and clinician adjudication of real cases — are well suited to evaluating standalone performance in those settings. The paper also recognizes that “GenAI-enabled devices interact with users, workflows, and patient populations in ways that may not be captured by structured benchmarking.” It does not, however, address how the risk of such functions might be controlled by design. We offer the following as a constructive contribution.</w:t>
      </w:r>
    </w:p>
    <w:p>
      <w:r>
        <w:rPr>
          <w:color w:val="777777"/>
          <w:sz w:val="16"/>
        </w:rPr>
        <w:t xml:space="preserve">p220 · att1 p.25  </w:t>
      </w:r>
      <w:r>
        <w:t>B. Risk as a continuum — We do not regard autonomous devices as a categorically distinct class. Risk is continuous across the four dimensions described in Section III, and a supervised function can carry risk comparable to an autonomous one. A function that is stochastic, admits open-ended input and output, generates diagnoses, and has a basis its supervising clinician cannot evaluate, places a supervisor in the position of verifying claims whose origin they cannot inspect. The evidence on automation bias shows that such verification is imperfect,15 and the discussion paper itself identifies the risk that a user accepts an output</w:t>
      </w:r>
    </w:p>
    <w:p>
      <w:r>
        <w:rPr>
          <w:color w:val="777777"/>
          <w:sz w:val="16"/>
        </w:rPr>
        <w:t xml:space="preserve">p221 · att1 p.25  </w:t>
      </w:r>
      <w:r>
        <w:t>“without appropriate scrutiny because of the device’s fluency or perceived authority.” — The central regulatory difficulty with such functions is not that they may be inaccurate; accuracy is measurable. The difficulty is that the set of inputs on which they may fail cannot be exhaustively enumerated, and a control cannot be specified against a failure mode that cannot be described. That difficulty applies to autonomous functions, and it applies equally to generative functions with unbounded input and output operating under supervision. We therefore recommend that the safeguards below attach to the risk profile of a function, and not to whether it is labeled autonomous.</w:t>
      </w:r>
    </w:p>
    <w:p>
      <w:r>
        <w:rPr>
          <w:color w:val="777777"/>
          <w:sz w:val="16"/>
        </w:rPr>
        <w:t xml:space="preserve">p222 · att1 p.26  </w:t>
      </w:r>
      <w:r>
        <w:t>C. Three safeguards — We suggest that three architectural properties, taken together, convert an unbounded failure space into a bounded and measurable one. They are properties of a class of designs rather than of any particular implementation, and could be expressed as controls applicable to high-risk-profile functions generally.</w:t>
      </w:r>
    </w:p>
    <w:p>
      <w:r>
        <w:rPr>
          <w:color w:val="777777"/>
          <w:sz w:val="16"/>
        </w:rPr>
        <w:t xml:space="preserve">p223 · att1 p.26  </w:t>
      </w:r>
      <w:r>
        <w:t>1. Quantified uncertainty at each processing stage. Each stage of processing emits a quantified measure of uncertainty appropriate to its task, and each measure is validated by demonstrating that it is associated with error, rather than assumed to be. Where downstream processing is reproducible, uncertainty at an earlier stage can be propagated forward to show whether the final clinical conclusion is stable under the uncertainty present in the inputs that produced it. Self- reported model confidence has documented limits of calibration under distribution shift,38 which is why we emphasize validation against observed error.</w:t>
      </w:r>
    </w:p>
    <w:p>
      <w:r>
        <w:rPr>
          <w:color w:val="777777"/>
          <w:sz w:val="16"/>
        </w:rPr>
        <w:t xml:space="preserve">p224 · att1 p.26  </w:t>
      </w:r>
      <w:r>
        <w:t>Example. Consider a function that assesses the quality of a wearable electrocardiogram signal, detects individual beats, and classifies the cardiac rhythm. A segment degraded by motion yields high uncertainty at the signal-quality stage. When that uncertainty is carried forward, the rhythm classification may be shown to change under small, clinically irrelevant perturbations of the degraded segment. The function can then decline to report the classification, rather than reporting a determination whose basis is unreliable.</w:t>
      </w:r>
    </w:p>
    <w:p>
      <w:r>
        <w:rPr>
          <w:color w:val="777777"/>
          <w:sz w:val="16"/>
        </w:rPr>
        <w:t xml:space="preserve">p225 · att1 p.26  </w:t>
      </w:r>
      <w:r>
        <w:t>2. An independent secondary evaluation path (safety-net).39 A second path evaluates each case, structurally independent of the primary path in its task formulation, its training data, and its architecture. Independence should be established by auditable design documentation rather than asserted; agreement between genuinely independent paths is then a performance result, not a design assumption. This safeguard addresses a failure mode that quantified uncertainty alone cannot detect: a single model producing an incorrect output with high confidence.</w:t>
      </w:r>
    </w:p>
    <w:p>
      <w:r>
        <w:rPr>
          <w:color w:val="777777"/>
          <w:sz w:val="16"/>
        </w:rPr>
        <w:t xml:space="preserve">p226 · att1 p.26  </w:t>
      </w:r>
      <w:r>
        <w:t>Example. Consider a function that classifies skin lesions from photographs. A secondary path, trained for a different task — determining only whether any lesion warranting clinical evaluation is present — on different data and with a different architecture, evaluates the same image. Where the primary path characterizes a lesion as benign with high confidence, but the secondary path indicates that a lesion warranting evaluation is present, the case is not finalized.</w:t>
      </w:r>
    </w:p>
    <w:p>
      <w:r>
        <w:rPr>
          <w:color w:val="777777"/>
          <w:sz w:val="16"/>
        </w:rPr>
        <w:t xml:space="preserve">p227 · att1 p.26  </w:t>
      </w:r>
      <w:r>
        <w:t>3. Structured deferral. The function declines to finalize, and routes the case for human interpretation, when any of the following occurs: a validity precondition fails; a finding is identified that cannot be characterized within the authorized output set; the independent paths disagree materially; or system-level uncertainty exceeds a prespecified threshold calibrated to a stated maximum error rate.39</w:t>
      </w:r>
    </w:p>
    <w:p>
      <w:r>
        <w:rPr>
          <w:color w:val="777777"/>
          <w:sz w:val="16"/>
        </w:rPr>
        <w:t xml:space="preserve">p228 · att1 p.26  </w:t>
      </w:r>
      <w:r>
        <w:t>Examples. An image acquired on equipment outside the validated specification, or of inadequate quality, is deferred before any determination is reported. An abnormality that is detected but falls outside the conditions the function is authorized to characterize is deferred, rather than omitted from an otherwise complete-appearing output. We note that the first FDA-authorized autonomous diagnostic device incorporates a determination of examination quality alongside its diagnostic determination.31</w:t>
      </w:r>
    </w:p>
    <w:p>
      <w:r>
        <w:rPr>
          <w:color w:val="777777"/>
          <w:sz w:val="16"/>
        </w:rPr>
        <w:t xml:space="preserve">p229 · att1 p.27  </w:t>
      </w:r>
      <w:r>
        <w:t>D. Safeguards proportionate to risk pro2le — These safeguards are not an all-or-nothing requirement. We recommend that the extent to which they are expected scale with the risk profile of the function:</w:t>
      </w:r>
    </w:p>
    <w:p>
      <w:r>
        <w:rPr>
          <w:color w:val="777777"/>
          <w:sz w:val="16"/>
        </w:rPr>
        <w:t xml:space="preserve">p230 · att1 p.27  </w:t>
      </w:r>
      <w:r>
        <w:t>Risk profile Illustrative characteristics Safeguards expected — Conventional validation; faithfulness benchmarking where presenting</w:t>
      </w:r>
    </w:p>
    <w:p>
      <w:r>
        <w:rPr>
          <w:color w:val="777777"/>
          <w:sz w:val="16"/>
        </w:rPr>
        <w:t xml:space="preserve">p231 · att1 p.27  </w:t>
      </w:r>
      <w:r>
        <w:t>Lower Presenting functions; or generating functions for non-serious conditions with bounded, reproducible output, received by a user able to evaluate it</w:t>
      </w:r>
    </w:p>
    <w:p>
      <w:r>
        <w:rPr>
          <w:color w:val="777777"/>
          <w:sz w:val="16"/>
        </w:rPr>
        <w:t xml:space="preserve">p232 · att1 p.27  </w:t>
      </w:r>
      <w:r>
        <w:t>Moderate Generating measurements or detections for serious conditions, with bounded output, received by a clinician able to evaluate it</w:t>
      </w:r>
    </w:p>
    <w:p>
      <w:r>
        <w:rPr>
          <w:color w:val="777777"/>
          <w:sz w:val="16"/>
        </w:rPr>
        <w:t xml:space="preserve">p233 · att1 p.27  </w:t>
      </w:r>
      <w:r>
        <w:t>Quantified uncertainty at each stage, with structured deferral — All three safeguards, including an independent secondary evaluation path</w:t>
      </w:r>
    </w:p>
    <w:p>
      <w:r>
        <w:rPr>
          <w:color w:val="777777"/>
          <w:sz w:val="16"/>
        </w:rPr>
        <w:t xml:space="preserve">p234 · att1 p.27  </w:t>
      </w:r>
      <w:r>
        <w:t>Higher Generating diagnoses or management for serious or critical conditions; or variable or open-ended output; or no qualified evaluator before effect, including autonomous, patientfacing, and generalist-facing functions for specialist content</w:t>
      </w:r>
    </w:p>
    <w:p>
      <w:r>
        <w:rPr>
          <w:color w:val="777777"/>
          <w:sz w:val="16"/>
        </w:rPr>
        <w:t xml:space="preserve">p235 · att1 p.27  </w:t>
      </w:r>
      <w:r>
        <w:t>E. Performance characterization — The performance characterization that follows from this architecture is tractable and specifiable in a way that whole-device accuracy alone is not. It comprises the error rate among cases the function finalizes, reported with confidence intervals and stratified by clinical consequence — since a tolerance appropriate for an incidental finding is not appropriate for a time-critical one — together with the deferral rate, reported separately as an operating parameter rather than as a safety endpoint.</w:t>
      </w:r>
    </w:p>
    <w:p>
      <w:r>
        <w:rPr>
          <w:color w:val="777777"/>
          <w:sz w:val="16"/>
        </w:rPr>
        <w:t xml:space="preserve">p236 · att1 p.27  </w:t>
      </w:r>
      <w:r>
        <w:t>We note and support the paper’s treatment of both under-deferral and over-deferral as failures under element S.3. A function that defers excessively provides little benefit and may erode clinical trust; a function that defers too rarely is not meaningfully safeguarded. Both should be reported, and the operating point at which a sponsor sets the trade-off should be prespecified and justified.</w:t>
      </w:r>
    </w:p>
    <w:p>
      <w:r>
        <w:rPr>
          <w:color w:val="777777"/>
          <w:sz w:val="16"/>
        </w:rPr>
        <w:t xml:space="preserve">p237 · att1 p.27  </w:t>
      </w:r>
      <w:r>
        <w:t>F. Two illustrations — A supervised function with a high risk profile. Consider a generative function that receives an abdominal CT examination with a free-text prompt, and returns an unrestricted narrative report that may include diagnoses, management recommendations, and image annotations, across an unbounded set of possible conditions, using sampled generation. Every output is reviewed by a radiologist. The function nonetheless generates diagnostic and management claims; it addresses conditions up to the critical; its output is variable and its input and output space unbounded; and the basis for its claims cannot be evaluated by the radiologist who reviews it. Supervision does not remove these characteristics. In our view this function warrants the full set of safeguards described above, notwithstanding that it is supervised.</w:t>
      </w:r>
    </w:p>
    <w:p>
      <w:r>
        <w:rPr>
          <w:color w:val="777777"/>
          <w:sz w:val="16"/>
        </w:rPr>
        <w:t xml:space="preserve">p238 · att1 p.28  </w:t>
      </w:r>
      <w:r>
        <w:t>A paired contrast. Consider two functions that each detect and characterize fractures on wrist radiographs and deliver the result directly to an emergency physician, without radiologist review. The significance of the output, the state of the condition, and the user are identical. The first produces its output from a stochastic model with open-ended output, whose basis the physician cannot evaluate.</w:t>
      </w:r>
    </w:p>
    <w:p>
      <w:r>
        <w:rPr>
          <w:color w:val="777777"/>
          <w:sz w:val="16"/>
        </w:rPr>
        <w:t xml:space="preserve">p239 · att1 p.28  </w:t>
      </w:r>
      <w:r>
        <w:t>The second is composed of separately verifiable processing stages, produces reproducible output within a bounded set of claims, and makes its intermediate results available to the physician. Holding the other three dimensions constant, the technological characteristics alone produce a substantially different risk profile, and a correspondingly different expectation of evidence. The second design is intended to support evaluation of the basis for its output; whether it does so for its intended user is itself a claim to be demonstrated, as discussed in Section III.C.3.</w:t>
      </w:r>
    </w:p>
    <w:p>
      <w:r>
        <w:rPr>
          <w:color w:val="777777"/>
          <w:sz w:val="16"/>
        </w:rPr>
        <w:t xml:space="preserve">p240 · att1 p.28  </w:t>
      </w:r>
      <w:r>
        <w:t>VII. Applicability Beyond Generative Architectures — RESPONSIVE TO QUESTIONS 1, 17 AND 26.</w:t>
      </w:r>
    </w:p>
    <w:p>
      <w:r>
        <w:rPr>
          <w:color w:val="777777"/>
          <w:sz w:val="16"/>
        </w:rPr>
        <w:t xml:space="preserve">p241 · att1 p.28  </w:t>
      </w:r>
      <w:r>
        <w:t>A. Several of these recommendations are technology-agnostic — The distinction between generating and presenting clinical-decision content, the dimensions of risk proposed in Section III, the expectation that the input and output space be bounded, claim-level evaluation, the principle that the comparator follow the standard of care of the intended environment, the architectural safeguards described in Section VI, and the scaling of monitoring to the reasons premarket evidence is incomplete are all independent of whether a device is generative. We recommend that CDRH state this explicitly, so that a framework developed in response to generative architectures does not become inapplicable to functions that raise the same questions by other means.</w:t>
      </w:r>
    </w:p>
    <w:p>
      <w:r>
        <w:rPr>
          <w:color w:val="777777"/>
          <w:sz w:val="16"/>
        </w:rPr>
        <w:t xml:space="preserve">p242 · att1 p.28  </w:t>
      </w:r>
      <w:r>
        <w:t>Several questions the discussion paper raises for GenAI-enabled devices — in particular the role of the user, and the evaluation of functions whose output is not reviewed by a qualified clinician before it takes effect — are equally open for conventional AI-enabled devices, and are not at present addressed by FDA guidance for them.</w:t>
      </w:r>
    </w:p>
    <w:p>
      <w:r>
        <w:rPr>
          <w:color w:val="777777"/>
          <w:sz w:val="16"/>
        </w:rPr>
        <w:t xml:space="preserve">p243 · att1 p.28  </w:t>
      </w:r>
      <w:r>
        <w:t>B. Autonomy is not a generative-AI question — The risk of autonomous operation arises from the absence of qualified human review before an output takes effect, not from the class of model that produced the output. The first FDA authorization of an autonomous diagnostic device involved a non-generative architecture.31 If CDRH develops its thinking on autonomous operation only within the generative track, device functions that are autonomous but not generative will be either unaddressed or accommodated within a framework built around a different failure mode. We recommend that autonomy be treated as a cross-cutting topic in its own right.</w:t>
      </w:r>
    </w:p>
    <w:p>
      <w:r>
        <w:rPr>
          <w:color w:val="777777"/>
          <w:sz w:val="16"/>
        </w:rPr>
        <w:t xml:space="preserve">p244 · att1 p.28  </w:t>
      </w:r>
      <w:r>
        <w:t>C. A single risk framework — With the fourth dimension proposed in Section III, a single framework can serve generative and conventional device software functions alike. Conventional functions with fixed weights, reproducible output, and bounded inputs and outputs will generally sit at the lower end of that dimension; generative functions with open-ended input and output and variable output will sit at the higher end. For the same intended use, the latter will warrant substantially more evidence, and the framework will say so for a stated reason rather than because of the technology’s label. We believe this is the approach most consistent with the discussion paper’s own statement that FDA “does not regulate GenAI as such”: the framework turns on the characteristics that bear on safety and effectiveness, and applies equally to any device that has them.</w:t>
      </w:r>
    </w:p>
    <w:p>
      <w:r>
        <w:rPr>
          <w:color w:val="777777"/>
          <w:sz w:val="16"/>
        </w:rPr>
        <w:t xml:space="preserve">p245 · att1 p.29  </w:t>
      </w:r>
      <w:r>
        <w:t>D. Why generative implementations warrant additional scrutiny, and the limits of that argument</w:t>
      </w:r>
    </w:p>
    <w:p>
      <w:r>
        <w:rPr>
          <w:color w:val="777777"/>
          <w:sz w:val="16"/>
        </w:rPr>
        <w:t xml:space="preserve">p246 · att1 p.29  </w:t>
      </w:r>
      <w:r>
        <w:t>Relative to a conventional implementation performing the same function, a generative implementation differs in three respects that bear on evaluation. Output reproducibility must be engineered and demonstrated rather than following from fixed weights and a deterministic configuration. The output space is bounded only by deliberate design rather than by the structure of the model. And established evaluation methodology, existing special controls, and accumulated review experience apply directly to the conventional case and only partially to the generative one.</w:t>
      </w:r>
    </w:p>
    <w:p>
      <w:r>
        <w:rPr>
          <w:color w:val="777777"/>
          <w:sz w:val="16"/>
        </w:rPr>
        <w:t xml:space="preserve">p247 · att1 p.29  </w:t>
      </w:r>
      <w:r>
        <w:t>The emerging comparative evidence is consistent with this. A recent diagnostic study comparing general-purpose vision-language models against task-specific models on an identical clinical task reported substantially lower performance for the general-purpose systems,40 and a systems-level review argues that such models are most plausibly valuable as a semantic layer consuming structured outputs from task-specific models, rather than as replacements for detection, segmentation, and quantitative measurement.41 Reported reproducibility of generative models is finding-dependent, with salient findings reproducing reliably across runs and more nuanced findings substantially less so.42</w:t>
      </w:r>
    </w:p>
    <w:p>
      <w:r>
        <w:rPr>
          <w:color w:val="777777"/>
          <w:sz w:val="16"/>
        </w:rPr>
        <w:t xml:space="preserve">p248 · att1 p.29  </w:t>
      </w:r>
      <w:r>
        <w:t>We want to state the limit of this argument plainly. None of it establishes that conventional artificial intelligence is safe. A deterministic model can be confidently and consistently wrong, and a reproducible error remains an error. The advantage of conventional implementations is evaluability, not inherent safety. Our recommendation is accordingly not that generative devices be disfavored, but that the evidence required be matched to the properties of the device.</w:t>
      </w:r>
    </w:p>
    <w:p>
      <w:r>
        <w:rPr>
          <w:color w:val="777777"/>
          <w:sz w:val="16"/>
        </w:rPr>
        <w:t xml:space="preserve">p249 · att1 p.29  </w:t>
      </w:r>
      <w:r>
        <w:t>E. Classi2cation continuity and substantial equivalence — Intended use governs classification. A generative function that produces a quantitative measurement, a detection, or a diagnosis has the same intended use as a conventional device performing that function, and in our view should remain within the existing device type for that intended use. We do not recommend that CDRH create parallel classifications for generative implementations.</w:t>
      </w:r>
    </w:p>
    <w:p>
      <w:r>
        <w:rPr>
          <w:color w:val="777777"/>
          <w:sz w:val="16"/>
        </w:rPr>
        <w:t xml:space="preserve">p250 · att1 p.29  </w:t>
      </w:r>
      <w:r>
        <w:t>The question that requires attention is substantial equivalence. Section 513(i)(1)(A) of the FD&amp;C Act provides that a device with the same intended use as its predicate but different technological characteristics is substantially equivalent only where it is shown to be as safe and effective as the predicate and does not raise different questions of safety and effectiveness. Under FDA’s established approach, technological characteristics that raise different questions of safety and effectiveness lead to a determination that the device is not substantially equivalent.43</w:t>
      </w:r>
    </w:p>
    <w:p>
      <w:r>
        <w:rPr>
          <w:color w:val="777777"/>
          <w:sz w:val="16"/>
        </w:rPr>
        <w:t xml:space="preserve">p251 · att1 p.29  </w:t>
      </w:r>
      <w:r>
        <w:t>We do not recommend that generative implementations be categorically excluded from substantial equivalence to conventional predicates. That would regulate GenAI as such, and it would disregard the fact that output variability and open-endedness can be controlled by design. We recommend instead that the determination turn on the characteristics themselves. A generative implementation whose output is not reproducible, or whose input and output space is open-ended, relative to a predicate whose output is reproducible and whose space is bounded, raises a different question of safety and effectiveness — one the predicate’s data cannot answer — and in our view should not be found substantially equivalent to that predicate. A generative implementation that has demonstrably controlled both may not raise such a question.</w:t>
      </w:r>
    </w:p>
    <w:p>
      <w:r>
        <w:rPr>
          <w:color w:val="777777"/>
          <w:sz w:val="16"/>
        </w:rPr>
        <w:t xml:space="preserve">p252 · att1 p.30  </w:t>
      </w:r>
      <w:r>
        <w:t>Three examples illustrate the point.</w:t>
      </w:r>
    </w:p>
    <w:p>
      <w:r>
        <w:rPr>
          <w:color w:val="777777"/>
          <w:sz w:val="16"/>
        </w:rPr>
        <w:t xml:space="preserve">p253 · att1 p.30  </w:t>
      </w:r>
      <w:r>
        <w:t>• A generative function returning a volumetric measurement. Its intended use matches that of a cleared quantitative imaging device. If repeated analysis of identical images yields different values, the predicate’s repeatability data does not characterize this device, and the variability of its output is a different question of safety and effectiveness that the predicate cannot answer.</w:t>
      </w:r>
    </w:p>
    <w:p>
      <w:r>
        <w:rPr>
          <w:color w:val="777777"/>
          <w:sz w:val="16"/>
        </w:rPr>
        <w:t xml:space="preserve">p254 · att1 p.30  </w:t>
      </w:r>
      <w:r>
        <w:t>• A generative function producing lesion detections. Its intended use matches that of a cleared computer-assisted detection device. The evaluation of that device type presumes a fixed operating point, and a detection set that varies across runs is not characterized by a single receiver operating characteristic curve.</w:t>
      </w:r>
    </w:p>
    <w:p>
      <w:r>
        <w:rPr>
          <w:color w:val="777777"/>
          <w:sz w:val="16"/>
        </w:rPr>
        <w:t xml:space="preserve">p255 · att1 p.30  </w:t>
      </w:r>
      <w:r>
        <w:t>• A generative narrative added to an otherwise conventional analysis. Under the multiple function framework, the conventional function may well be substantially equivalent. The narrative-generation function is a new function requiring its own evaluation, and the effect of the new function on the performance of the cleared function must be assessed.</w:t>
      </w:r>
    </w:p>
    <w:p>
      <w:r>
        <w:rPr>
          <w:color w:val="777777"/>
          <w:sz w:val="16"/>
        </w:rPr>
        <w:t xml:space="preserve">p256 · att1 p.30  </w:t>
      </w:r>
      <w:r>
        <w:t>This does not require new classification regulations. It requires that the existing substantial equivalence standard be applied to technological characteristics that are new.</w:t>
      </w:r>
    </w:p>
    <w:p>
      <w:r>
        <w:rPr>
          <w:color w:val="777777"/>
          <w:sz w:val="16"/>
        </w:rPr>
        <w:t xml:space="preserve">p257 · att1 p.30  </w:t>
      </w:r>
      <w:r>
        <w:t>VIII. Generalizability: Synthetic Data and Independent Benchmarking — RESPONSIVE TO QUESTIONS 10, 12, 13 AND 16.</w:t>
      </w:r>
    </w:p>
    <w:p>
      <w:r>
        <w:rPr>
          <w:color w:val="777777"/>
          <w:sz w:val="16"/>
        </w:rPr>
        <w:t xml:space="preserve">p258 · att1 p.30  </w:t>
      </w:r>
      <w:r>
        <w:t>The discussion paper identifies generalizability as a benchmarking element in its own right: whether a device’s safety and clinical proficiency properties “hold consistently across foreseeable variation in inputs, runtime conditions, and conversational contexts” (R.1), and “across clinically relevant populations, including populations that may be underrepresented in training data” (R.2).1 In its discussion of clinical confirmation, CDRH considers that synthetic data “could potentially supplement evaluation” where subgroups are small or hard to sample; and in Section V.D.2 of the paper it asks whether qualified, independent third parties might contribute to benchmarking, for example “by providing larger or sequestered evaluation datasets” or by “offering independence between development and testing.” We strongly support all three directions, and we believe they belong together: generalizability is where the evidence for AI-enabled devices most needs strengthening, validated synthetic data is the most direct way to strengthen it, and independent third parties are well placed to provide such data. As with most of our comments, these considerations apply equally to conventional AI-enabled devices.</w:t>
      </w:r>
    </w:p>
    <w:p>
      <w:r>
        <w:rPr>
          <w:color w:val="777777"/>
          <w:sz w:val="16"/>
        </w:rPr>
        <w:t xml:space="preserve">p259 · att1 p.31  </w:t>
      </w:r>
      <w:r>
        <w:t>A. Why generalizability deserves greater weight — As AI-enabled devices become more accurate on average, the clinically meaningful question shifts from how often a device is right to where its remaining errors are concentrated. Aggregate performance can conceal clinically important failures confined to a subset of cases,44 and models that perform indistinguishably on a held-out test set can behave very differently when their inputs shift in realistic ways.45 As benchmarks approach saturation (Question 10), the evidence that most distinguishes one device from another increasingly lies in how consistently it performs across the conditions of its intended use.</w:t>
      </w:r>
    </w:p>
    <w:p>
      <w:r>
        <w:rPr>
          <w:color w:val="777777"/>
          <w:sz w:val="16"/>
        </w:rPr>
        <w:t xml:space="preserve">p260 · att1 p.31  </w:t>
      </w:r>
      <w:r>
        <w:t>A real-world test set, however carefully assembled, is a sample of the intended-use space: the combinations of condition, presentation, acquisition equipment and protocol, and patient population in which a device will be used. A test set of realistic size populates only part of that space. Five hundred cases divided evenly across eighteen combinations — for example, three equipment vendors, two acquisition protocols, and three age groups — leave fewer than thirty cases in each. A device that detects 13 of 14 positive cases in one such combination has an observed sensitivity of 92.9 percent, with a 95 percent confidence interval extending from below 70 percent to above 98 percent. The limitation is not confined to rare diseases: common presentations on less common equipment, or in less common populations, are sampled just as thinly. Published analyses of authorized devices reflect the same constraint. Of 903 FDA-authorized AI-enabled devices in one analysis, clinical performance studies were reported for 505, and fewer than a third of those provided sex-specific data.46</w:t>
      </w:r>
    </w:p>
    <w:p>
      <w:r>
        <w:rPr>
          <w:color w:val="777777"/>
          <w:sz w:val="16"/>
        </w:rPr>
        <w:t xml:space="preserve">p261 · att1 p.31  </w:t>
      </w:r>
      <w:r>
        <w:t>Real-world data and data collected outside the United States can enlarge a test set, and we support their use as the paper proposes. They do not, however, change its structure. Additional real-world cases arrive in proportion to how often each combination occurs in practice, so thinly sampled combinations remain thin; and data from other health systems bring differences in population, practice, and equipment whose relevance to the intended use must be established. Real-world data also vary many factors at once — site, equipment, protocol, and population tend to change together — so that when performance falls, the data cannot always show why. In one widely cited study, models trained to detect pneumonia on chest radiographs could identify the hospital system from which a radiograph came with near-perfect accuracy, and performed better on internal than on external data in three of five comparisons.47</w:t>
      </w:r>
    </w:p>
    <w:p>
      <w:r>
        <w:rPr>
          <w:color w:val="777777"/>
          <w:sz w:val="16"/>
        </w:rPr>
        <w:t xml:space="preserve">p262 · att1 p.31  </w:t>
      </w:r>
      <w:r>
        <w:t>B. What synthetic data contributes — Synthetic data addresses these limitations directly. Its value for evaluating generalizability rests on six properties:</w:t>
      </w:r>
    </w:p>
    <w:p>
      <w:r>
        <w:rPr>
          <w:color w:val="777777"/>
          <w:sz w:val="16"/>
        </w:rPr>
        <w:t xml:space="preserve">p263 · att1 p.31  </w:t>
      </w:r>
      <w:r>
        <w:t>• Coverage by design. Cases can be generated to populate every combination the intended use specifies, in numbers set by the precision required rather than by how often each combination occurs in practice — including the small and hard-to-sample subgroups the paper identifies.</w:t>
      </w:r>
    </w:p>
    <w:p>
      <w:r>
        <w:rPr>
          <w:color w:val="777777"/>
          <w:sz w:val="16"/>
        </w:rPr>
        <w:t xml:space="preserve">p264 · att1 p.31  </w:t>
      </w:r>
      <w:r>
        <w:t>• Controlled variation. One factor — equipment, protocol, image quality, or patient characteristics</w:t>
      </w:r>
    </w:p>
    <w:p>
      <w:r>
        <w:rPr>
          <w:color w:val="777777"/>
          <w:sz w:val="16"/>
        </w:rPr>
        <w:t xml:space="preserve">p265 · att1 p.31  </w:t>
      </w:r>
      <w:r>
        <w:t>— can be varied while the anatomy and the finding are held constant, so that the effect of each factor on performance is measured directly rather than inferred.</w:t>
      </w:r>
    </w:p>
    <w:p>
      <w:r>
        <w:rPr>
          <w:color w:val="777777"/>
          <w:sz w:val="16"/>
        </w:rPr>
        <w:t xml:space="preserve">p266 · att1 p.31  </w:t>
      </w:r>
      <w:r>
        <w:t>• Known reference standard. Each case is generated from a specified configuration, so its reference standard is known by construction, free of inter-reader variability, and scoring can be fully automated and reproducible. Combined with the claim-level evaluation described in Section</w:t>
      </w:r>
    </w:p>
    <w:p>
      <w:r>
        <w:rPr>
          <w:color w:val="777777"/>
          <w:sz w:val="16"/>
        </w:rPr>
        <w:t xml:space="preserve">p267 · att1 p.32  </w:t>
      </w:r>
      <w:r>
        <w:t>IV.D above, this extends to generative functions: a generated report can be scored claim by claim against findings that are known exactly.</w:t>
      </w:r>
    </w:p>
    <w:p>
      <w:r>
        <w:rPr>
          <w:color w:val="777777"/>
          <w:sz w:val="16"/>
        </w:rPr>
        <w:t xml:space="preserve">p268 · att1 p.32  </w:t>
      </w:r>
      <w:r>
        <w:t>• Freedom from contamination. A new test set can be generated for each evaluation. Its cases cannot have appeared in any device’s training data and cannot be learned through repeated use, which addresses the contamination and saturation concerns raised in Question 10.</w:t>
      </w:r>
    </w:p>
    <w:p>
      <w:r>
        <w:rPr>
          <w:color w:val="777777"/>
          <w:sz w:val="16"/>
        </w:rPr>
        <w:t xml:space="preserve">p269 · att1 p.32  </w:t>
      </w:r>
      <w:r>
        <w:t>• Speed and repeatability. Evaluation can be automated end to end and repeated whenever needed — before a submission, at each modification under a predetermined change control plan,37 and periodically after marketing — without the months required to assemble and adjudicate a new clinical dataset. The paper anticipates this, noting that synthetic data generation and simulation tools permit testing “in a manner that is predictable, standardized, and amenable to automation.”1</w:t>
      </w:r>
    </w:p>
    <w:p>
      <w:r>
        <w:rPr>
          <w:color w:val="777777"/>
          <w:sz w:val="16"/>
        </w:rPr>
        <w:t xml:space="preserve">p270 · att1 p.32  </w:t>
      </w:r>
      <w:r>
        <w:t>• Testing at the boundary. Inputs can be constructed just outside the conditions for which a device is validated. This is the most direct way to verify that a device recognizes such inputs and defers rather than reports — the behavior that Sections IV.B and VI above identify as essential.</w:t>
      </w:r>
    </w:p>
    <w:p>
      <w:r>
        <w:rPr>
          <w:color w:val="777777"/>
          <w:sz w:val="16"/>
        </w:rPr>
        <w:t xml:space="preserve">p271 · att1 p.32  </w:t>
      </w:r>
      <w:r>
        <w:t>In answer to the first part of Question 13, we believe synthetic data is particularly well suited where the process that produces a device’s input is well understood and can be modeled — as in medical imaging, where image formation follows known physics — and to functions whose output can be scored against a known reference: detection, localization, measurement, and classification. FDA’s own VICTRE project demonstrated the approach: an in silico imaging trial of approximately 3,000 computational breast models agreed with a clinical trial in finding that digital breast tomosynthesis improves lesion detectability over digital mammography.48 Synthetic data is less suited where the reference standard depends on information a generator does not represent, such as clinical outcomes, and to the study of how clinicians use a device, which belongs to clinical confirmation.</w:t>
      </w:r>
    </w:p>
    <w:p>
      <w:r>
        <w:rPr>
          <w:color w:val="777777"/>
          <w:sz w:val="16"/>
        </w:rPr>
        <w:t xml:space="preserve">p272 · att1 p.32  </w:t>
      </w:r>
      <w:r>
        <w:t>C. Establishing that a synthetic benchmark is 2t for purpose — A synthetic benchmark earns reliance through evidence of its own validity, and FDA has already published a framework on which such evidence can be built: the risk-informed credibility assessment described in its guidance on computational modeling and simulation.4 We suggest that this evidence show three things: that synthetic cases are realistic across the intended-use space, including by blinded expert discrimination from real cases; that each labeled finding is perceptible in the generated input, so that the known reference standard is also a fair one; and that performance measured on the benchmark agrees with performance measured on real-world data, for reference devices, wherever both are available. The third provides the evidence Question 10 asks for — that benchmark performance predicts real-world behavior — and once it has been shown where both kinds of data exist, the benchmark can be relied on where real-world data are thin. For the same reason, and in answer to</w:t>
      </w:r>
    </w:p>
    <w:p>
      <w:r>
        <w:rPr>
          <w:color w:val="777777"/>
          <w:sz w:val="16"/>
        </w:rPr>
        <w:t xml:space="preserve">p273 · att1 p.32  </w:t>
      </w:r>
      <w:r>
        <w:t>Question 12, we suggest that synthetic and real-world results be reported separately by default, and combined into a single estimate only under a pre-specified method once that agreement has been shown.</w:t>
      </w:r>
    </w:p>
    <w:p>
      <w:r>
        <w:rPr>
          <w:color w:val="777777"/>
          <w:sz w:val="16"/>
        </w:rPr>
        <w:t xml:space="preserve">p274 · att1 p.32  </w:t>
      </w:r>
      <w:r>
        <w:t>The concern raised in the second part of Question 13 — that synthetic data generated by models of the same class as the device could reproduce the very gaps an evaluation is meant to detect — is addressed most directly by independence. A generator developed independently of the device under evaluation, for example one built on explicit models of anatomy, pathology, and image formation, as</w:t>
      </w:r>
    </w:p>
    <w:p>
      <w:r>
        <w:rPr>
          <w:color w:val="777777"/>
          <w:sz w:val="16"/>
        </w:rPr>
        <w:t xml:space="preserve">p275 · att1 p.33  </w:t>
      </w:r>
      <w:r>
        <w:t>VICTRE was, is unlikely to share the device’s blind spots. An independent third-party benchmark provides that independence by design.</w:t>
      </w:r>
    </w:p>
    <w:p>
      <w:r>
        <w:rPr>
          <w:color w:val="777777"/>
          <w:sz w:val="16"/>
        </w:rPr>
        <w:t xml:space="preserve">p276 · att1 p.33  </w:t>
      </w:r>
      <w:r>
        <w:t>Synthetic data complements real-world evidence; it does not replace it. Real-world data remain the direct measure of performance in the deployed population and capture variation that no generator anticipates, while synthetic data extends evaluation to what real-world data cannot practically reach.</w:t>
      </w:r>
    </w:p>
    <w:p>
      <w:r>
        <w:rPr>
          <w:color w:val="777777"/>
          <w:sz w:val="16"/>
        </w:rPr>
        <w:t xml:space="preserve">p277 · att1 p.33  </w:t>
      </w:r>
      <w:r>
        <w:t>Where a condition cannot be evidenced at the required level by either, the approach described in</w:t>
      </w:r>
    </w:p>
    <w:p>
      <w:r>
        <w:rPr>
          <w:color w:val="777777"/>
          <w:sz w:val="16"/>
        </w:rPr>
        <w:t xml:space="preserve">p278 · att1 p.33  </w:t>
      </w:r>
      <w:r>
        <w:t>Section IV.C above — exclusion from the authorized output set and deferral to human interpretation — continues to apply.</w:t>
      </w:r>
    </w:p>
    <w:p>
      <w:r>
        <w:rPr>
          <w:color w:val="777777"/>
          <w:sz w:val="16"/>
        </w:rPr>
        <w:t xml:space="preserve">p279 · att1 p.33  </w:t>
      </w:r>
      <w:r>
        <w:t>D. The role of independent third parties — We believe independent third parties can contribute substantially to benchmarking, and that synthetic benchmarking is where their contribution would be greatest, for three reasons:</w:t>
      </w:r>
    </w:p>
    <w:p>
      <w:r>
        <w:rPr>
          <w:color w:val="777777"/>
          <w:sz w:val="16"/>
        </w:rPr>
        <w:t xml:space="preserve">p280 · att1 p.33  </w:t>
      </w:r>
      <w:r>
        <w:t>• Capability. A validated synthetic benchmark requires generators, reference data, and validation evidence that many sponsors, particularly smaller ones, cannot build or assemble in-house.</w:t>
      </w:r>
    </w:p>
    <w:p>
      <w:r>
        <w:rPr>
          <w:color w:val="777777"/>
          <w:sz w:val="16"/>
        </w:rPr>
        <w:t xml:space="preserve">p281 · att1 p.33  </w:t>
      </w:r>
      <w:r>
        <w:t>Third-party provision makes rigorous evaluation of generalizability available to every sponsor, rather than only to those able to build that capability themselves.</w:t>
      </w:r>
    </w:p>
    <w:p>
      <w:r>
        <w:rPr>
          <w:color w:val="777777"/>
          <w:sz w:val="16"/>
        </w:rPr>
        <w:t xml:space="preserve">p282 · att1 p.33  </w:t>
      </w:r>
      <w:r>
        <w:t>• Independence. A benchmark developed and operated independently of the device under evaluation offers the “independence between development and testing” the paper contemplates, and the safeguard Question 13 seeks.</w:t>
      </w:r>
    </w:p>
    <w:p>
      <w:r>
        <w:rPr>
          <w:color w:val="777777"/>
          <w:sz w:val="16"/>
        </w:rPr>
        <w:t xml:space="preserve">p283 · att1 p.33  </w:t>
      </w:r>
      <w:r>
        <w:t>• Comparability. Devices evaluated on the same benchmark under the same protocol can be compared directly: successive versions of one device, a device and its predicate, and devices with the same intended use. This is difficult today, when each sponsor evaluates its device on a dataset of its own.</w:t>
      </w:r>
    </w:p>
    <w:p>
      <w:r>
        <w:rPr>
          <w:color w:val="777777"/>
          <w:sz w:val="16"/>
        </w:rPr>
        <w:t xml:space="preserve">p284 · att1 p.33  </w:t>
      </w:r>
      <w:r>
        <w:t>On the independence criteria that Question 16 raises, we suggest that independence be defined in relation to the device under evaluation, consistent with the paper’s formulation for expert adjudicators, who would be “structurally independent from the device sponsor.”1 Those best placed to build evaluation tools are often those who develop devices, because they encounter the gaps in available evidence first. FDA’s MDDT program accepts qualification proposals from device sponsors as well as from other tool developers,49 and FDA recently contracted with a developer of AI radiology devices to test a new approach to evaluating generative AI in radiology.50</w:t>
      </w:r>
    </w:p>
    <w:p>
      <w:r>
        <w:rPr>
          <w:color w:val="777777"/>
          <w:sz w:val="16"/>
        </w:rPr>
        <w:t xml:space="preserve">p285 · att1 p.33  </w:t>
      </w:r>
      <w:r>
        <w:t>We further suggest that confidence in a third-party evaluation rest on how it is conducted, not only on who conducts it. An evaluation with the following features is verifiable by every party:</w:t>
      </w:r>
    </w:p>
    <w:p>
      <w:r>
        <w:rPr>
          <w:color w:val="777777"/>
          <w:sz w:val="16"/>
        </w:rPr>
        <w:t xml:space="preserve">p286 · att1 p.33  </w:t>
      </w:r>
      <w:r>
        <w:t>• Pre-specified. The protocol, metrics, and acceptance criteria are fixed and provided to FDA before the device is evaluated, together with a verifiable, time-stamped record of the exact test set, such as a cryptographic hash, so that neither can be altered once results are known.</w:t>
      </w:r>
    </w:p>
    <w:p>
      <w:r>
        <w:rPr>
          <w:color w:val="777777"/>
          <w:sz w:val="16"/>
        </w:rPr>
        <w:t xml:space="preserve">p287 · att1 p.33  </w:t>
      </w:r>
      <w:r>
        <w:t>• Automatically scored. Results are scored against the known reference standard, leaving no room for discretionary judgment in either direction.</w:t>
      </w:r>
    </w:p>
    <w:p>
      <w:r>
        <w:rPr>
          <w:color w:val="777777"/>
          <w:sz w:val="16"/>
        </w:rPr>
        <w:t xml:space="preserve">p288 · att1 p.34  </w:t>
      </w:r>
      <w:r>
        <w:t>• Identically reported. FDA and the sponsor receive the same report at the same time, with results broken down across the intended-use space and illustrative cases in which the device failed, so that both can see where and how it fails.</w:t>
      </w:r>
    </w:p>
    <w:p>
      <w:r>
        <w:rPr>
          <w:color w:val="777777"/>
          <w:sz w:val="16"/>
        </w:rPr>
        <w:t xml:space="preserve">p289 · att1 p.34  </w:t>
      </w:r>
      <w:r>
        <w:t>• Fully auditable. FDA has confidential access to the complete test set, the scoring method, and documentation of the generator — for example through the existing Device Master File program, which the paper proposes to leverage for foundation models (Section VII.A). The test set itself is not released to sponsors, and cases disclosed in reporting are retired from future use.</w:t>
      </w:r>
    </w:p>
    <w:p>
      <w:r>
        <w:rPr>
          <w:color w:val="777777"/>
          <w:sz w:val="16"/>
        </w:rPr>
        <w:t xml:space="preserve">p290 · att1 p.34  </w:t>
      </w:r>
      <w:r>
        <w:t>This model is established outside medicine. NIST’s face recognition technology evaluation runs continuously, with developers submitting algorithms for testing rather than receiving the test data, and with results reported for each algorithm.51</w:t>
      </w:r>
    </w:p>
    <w:p>
      <w:r>
        <w:rPr>
          <w:color w:val="777777"/>
          <w:sz w:val="16"/>
        </w:rPr>
        <w:t xml:space="preserve">p291 · att1 p.34  </w:t>
      </w:r>
      <w:r>
        <w:t>The role of a third party is to measure; acceptance criteria and the determination of safety and effectiveness remain with FDA and the sponsor. To preserve competition and innovation, we suggest that FDA qualify tools rather than designate providers, that access be offered on published, non- discriminatory terms, and that sponsors remain free to provide equivalent evidence by other means.</w:t>
      </w:r>
    </w:p>
    <w:p>
      <w:r>
        <w:rPr>
          <w:color w:val="777777"/>
          <w:sz w:val="16"/>
        </w:rPr>
        <w:t xml:space="preserve">p292 · att1 p.34  </w:t>
      </w:r>
      <w:r>
        <w:t>E. Recommendations — We respectfully recommend that FDA: 1. Retain generalizability as a distinct element of the evidence expected for AI-enabled devices, generative and conventional alike, with performance reported across the relevant strata of the intended use rather than in aggregate alone.</w:t>
      </w:r>
    </w:p>
    <w:p>
      <w:r>
        <w:rPr>
          <w:color w:val="777777"/>
          <w:sz w:val="16"/>
        </w:rPr>
        <w:t xml:space="preserve">p293 · att1 p.34  </w:t>
      </w:r>
      <w:r>
        <w:t>2. Recognize validated synthetic benchmarks as an acceptable source of evidence of generalizability, including subgroup performance and robustness to acquisition conditions, in premarket submissions, in the verification of modifications under a predetermined change control plan, and in postmarket re-benchmarking.</w:t>
      </w:r>
    </w:p>
    <w:p>
      <w:r>
        <w:rPr>
          <w:color w:val="777777"/>
          <w:sz w:val="16"/>
        </w:rPr>
        <w:t xml:space="preserve">p294 · att1 p.34  </w:t>
      </w:r>
      <w:r>
        <w:t>3. Publish expectations for qualifying synthetic benchmarking tools through the MDDT program,52 including the evidence of realism, fairness of the reference standard, and agreement with real-world performance described above, and give priority to proposals that address the evidence gaps the discussion paper identifies.</w:t>
      </w:r>
    </w:p>
    <w:p>
      <w:r>
        <w:rPr>
          <w:color w:val="777777"/>
          <w:sz w:val="16"/>
        </w:rPr>
        <w:t xml:space="preserve">p295 · att1 p.34  </w:t>
      </w:r>
      <w:r>
        <w:t>4. Continue to support the development of independent benchmarking capability through its existing research and qualification mechanisms.</w:t>
      </w:r>
    </w:p>
    <w:p>
      <w:r>
        <w:rPr>
          <w:color w:val="777777"/>
          <w:sz w:val="16"/>
        </w:rPr>
        <w:t xml:space="preserve">p296 · att1 p.34  </w:t>
      </w:r>
      <w:r>
        <w:t>5. Reflect such evidence in postmarket expectations: where premarket evidence characterizes the performance of a conventional AI device across a broad and representative range of acquisition conditions, equipment, and populations, the scope and cadence of proactive performance monitoring may reasonably be reduced, as proposed in Section V.C above.</w:t>
      </w:r>
    </w:p>
    <w:p>
      <w:r>
        <w:rPr>
          <w:color w:val="777777"/>
          <w:sz w:val="16"/>
        </w:rPr>
        <w:t xml:space="preserve">p297 · att1 p.34  </w:t>
      </w:r>
      <w:r>
        <w:t>IX. Conclusion — We appreciate CDRH’s decision to engage stakeholders at this stage rather than after a framework has been settled. We think it is the right decision, and we have tried to respond in kind. Several of the recommendations above would raise rather than lower the evidentiary expectations for the class of devices we work on.</w:t>
      </w:r>
    </w:p>
    <w:p>
      <w:r>
        <w:rPr>
          <w:color w:val="777777"/>
          <w:sz w:val="16"/>
        </w:rPr>
        <w:t xml:space="preserve">p298 · att1 p.35  </w:t>
      </w:r>
      <w:r>
        <w:t>We hold these views because we believe the principal risk to this field is not that regulation will be too demanding. It is that an early and avoidable failure in a high-consequence clinical setting would set back the deployment of technologies that are, in many parts of the world and increasingly in parts of the</w:t>
      </w:r>
    </w:p>
    <w:p>
      <w:r>
        <w:rPr>
          <w:color w:val="777777"/>
          <w:sz w:val="16"/>
        </w:rPr>
        <w:t xml:space="preserve">p299 · att1 p.35  </w:t>
      </w:r>
      <w:r>
        <w:t>United States, the only realistic path to timely specialist-level interpretation. A framework that is precise about what must be demonstrated, and proportionate about what need not be, serves patients and sponsors alike.</w:t>
      </w:r>
    </w:p>
    <w:p>
      <w:r>
        <w:rPr>
          <w:color w:val="777777"/>
          <w:sz w:val="16"/>
        </w:rPr>
        <w:t xml:space="preserve">p300 · att1 p.35  </w:t>
      </w:r>
      <w:r>
        <w:t>We would welcome the opportunity to discuss any of the above with CDRH staff, and would be glad to contribute to standards development, benchmark design, or workshop discussion on the evaluation of autonomous and imaging-based device functions.</w:t>
      </w:r>
    </w:p>
    <w:p>
      <w:r>
        <w:rPr>
          <w:color w:val="777777"/>
          <w:sz w:val="16"/>
        </w:rPr>
        <w:t xml:space="preserve">p301 · att1 p.35  </w:t>
      </w:r>
      <w:r>
        <w:t>Respectfully submitted,</w:t>
      </w:r>
    </w:p>
    <w:p>
      <w:r>
        <w:rPr>
          <w:color w:val="777777"/>
          <w:sz w:val="16"/>
        </w:rPr>
        <w:t xml:space="preserve">p302 · att1 p.35  </w:t>
      </w:r>
      <w:r>
        <w:t>Reza Rahmanzadeh, MD, PhD — CEO &amp; Founder @ UltraAI — Reza@theultra.ai — Appendix A. Generating and Presenting: Illustrative Examples</w:t>
      </w:r>
    </w:p>
    <w:p>
      <w:r>
        <w:rPr>
          <w:color w:val="777777"/>
          <w:sz w:val="16"/>
        </w:rPr>
        <w:t xml:space="preserve">p303 · att1 p.36  </w:t>
      </w:r>
      <w:r>
        <w:t>The following examples illustrate how the distinction between presenting and generating clinical- decision content may be applied. They are illustrative rather than exhaustive. In each case the characterization applies to individual claims within an output, not to the output as a whole.</w:t>
      </w:r>
    </w:p>
    <w:p>
      <w:r>
        <w:rPr>
          <w:color w:val="777777"/>
          <w:sz w:val="16"/>
        </w:rPr>
        <w:t xml:space="preserve">p304 · att1 p.36  </w:t>
      </w:r>
      <w:r>
        <w:t>Example A1. Drafting a radiology impression — Input. The findings section of a report written by a radiologist.</w:t>
      </w:r>
    </w:p>
    <w:p>
      <w:r>
        <w:rPr>
          <w:color w:val="777777"/>
          <w:sz w:val="16"/>
        </w:rPr>
        <w:t xml:space="preserve">p305 · att1 p.36  </w:t>
      </w:r>
      <w:r>
        <w:t>Presenting. The function drafts an impression that restates, in condensed form, the findings the radiologist documented. Each clinical statement in the impression is traceable to a statement in the findings.</w:t>
      </w:r>
    </w:p>
    <w:p>
      <w:r>
        <w:rPr>
          <w:color w:val="777777"/>
          <w:sz w:val="16"/>
        </w:rPr>
        <w:t xml:space="preserve">p306 · att1 p.36  </w:t>
      </w:r>
      <w:r>
        <w:t>Generating. The function adds a statement that is not traceable to the radiologist’s findings or to an identified external source — for example, that a finding is suspicious for a diagnosis the radiologist did not state, or that follow-up imaging is advisable at an interval the radiologist did not specify. That statement is a clinical claim originating with the function.</w:t>
      </w:r>
    </w:p>
    <w:p>
      <w:r>
        <w:rPr>
          <w:color w:val="777777"/>
          <w:sz w:val="16"/>
        </w:rPr>
        <w:t xml:space="preserve">p307 · att1 p.36  </w:t>
      </w:r>
      <w:r>
        <w:t>Implication. The generated statement warrants validation of the function’s performance in making that category of claim. The restated findings warrant faithfulness benchmarking.</w:t>
      </w:r>
    </w:p>
    <w:p>
      <w:r>
        <w:rPr>
          <w:color w:val="777777"/>
          <w:sz w:val="16"/>
        </w:rPr>
        <w:t xml:space="preserve">p308 · att1 p.36  </w:t>
      </w:r>
      <w:r>
        <w:t>Example A2. Summarizing serial oncologic imaging reports — Input. Prior radiology reports documenting the measurements of a brain tumor over time.</w:t>
      </w:r>
    </w:p>
    <w:p>
      <w:r>
        <w:rPr>
          <w:color w:val="777777"/>
          <w:sz w:val="16"/>
        </w:rPr>
        <w:t xml:space="preserve">p309 · att1 p.36  </w:t>
      </w:r>
      <w:r>
        <w:t>Presenting. The function summarizes the prior reports, including the measurements each documents.</w:t>
      </w:r>
    </w:p>
    <w:p>
      <w:r>
        <w:rPr>
          <w:color w:val="777777"/>
          <w:sz w:val="16"/>
        </w:rPr>
        <w:t xml:space="preserve">p310 · att1 p.36  </w:t>
      </w:r>
      <w:r>
        <w:t>Generating. The function adds that the treatment has not been effective, and that the patient should receive further radiotherapy. The first is a diagnostic claim and the second a management claim; both originate with the function.</w:t>
      </w:r>
    </w:p>
    <w:p>
      <w:r>
        <w:rPr>
          <w:color w:val="777777"/>
          <w:sz w:val="16"/>
        </w:rPr>
        <w:t xml:space="preserve">p311 · att1 p.36  </w:t>
      </w:r>
      <w:r>
        <w:t>Presenting, with published criteria applied. The function states the documented change in measurements; states that this change meets the published definition of progression under named response assessment criteria;53 and states what a named treatment guideline specifies for patients meeting that definition. The characterization of progression and the associated management statement are drawn from identified sources and applied to measurements documented by a radiologist.</w:t>
      </w:r>
    </w:p>
    <w:p>
      <w:r>
        <w:rPr>
          <w:color w:val="777777"/>
          <w:sz w:val="16"/>
        </w:rPr>
        <w:t xml:space="preserve">p312 · att1 p.36  </w:t>
      </w:r>
      <w:r>
        <w:t>Note. If the function derived the tumor measurements from the images rather than from the reports, those measurements would be generated quantitative measurements, even where the characterization that follows is presented.</w:t>
      </w:r>
    </w:p>
    <w:p>
      <w:r>
        <w:rPr>
          <w:color w:val="777777"/>
          <w:sz w:val="16"/>
        </w:rPr>
        <w:t xml:space="preserve">p313 · att1 p.36  </w:t>
      </w:r>
      <w:r>
        <w:t>Example A3. A laboratory value and a published guideline — Input. A patient’s LDL cholesterol value.</w:t>
      </w:r>
    </w:p>
    <w:p>
      <w:r>
        <w:rPr>
          <w:color w:val="777777"/>
          <w:sz w:val="16"/>
        </w:rPr>
        <w:t xml:space="preserve">p314 · att1 p.37  </w:t>
      </w:r>
      <w:r>
        <w:t>Presenting. The function compares the value against the threshold given in a named lipid-management guideline, and conveys the classification and associated statement that the guideline provides for that range, with a reference to the guideline and its version. The claim is drawn from the identified source.</w:t>
      </w:r>
    </w:p>
    <w:p>
      <w:r>
        <w:rPr>
          <w:color w:val="777777"/>
          <w:sz w:val="16"/>
        </w:rPr>
        <w:t xml:space="preserve">p315 · att1 p.37  </w:t>
      </w:r>
      <w:r>
        <w:t>Generating, where the output may appear identical. The function submits the same value to a general-purpose large language model, which returns text of the form “this level may increase the risk of myocardial infarction by X percent over Y years, according to [guideline] [reference].” Even where the model has been instructed to cite the guideline, and even where the output is textually identical to the presenting case, the claim was produced from the model’s learned parameters. It cannot be established from the output that the cited guideline contains the figure given, that the version referenced is current, or that the reference corresponds to the claim.</w:t>
      </w:r>
    </w:p>
    <w:p>
      <w:r>
        <w:rPr>
          <w:color w:val="777777"/>
          <w:sz w:val="16"/>
        </w:rPr>
        <w:t xml:space="preserve">p316 · att1 p.37  </w:t>
      </w:r>
      <w:r>
        <w:t>Implication. This is the case in which the distinction matters most. The presence of a citation does not establish that a claim is presented. A sponsor characterizing a function as presenting should be able to demonstrate that its claims are drawn from the identified source.</w:t>
      </w:r>
    </w:p>
    <w:p>
      <w:r>
        <w:rPr>
          <w:color w:val="777777"/>
          <w:sz w:val="16"/>
        </w:rPr>
        <w:t xml:space="preserve">p317 · att1 p.37  </w:t>
      </w:r>
      <w:r>
        <w:t>Example A4. Synthesizing reports, laboratory results, and clinical documentation — Input. A radiology report documenting longitudinally extensive transverse myelitis; a laboratory result documenting aquaporin-4 IgG seropositivity; and clinical documentation of optic neuritis.</w:t>
      </w:r>
    </w:p>
    <w:p>
      <w:r>
        <w:rPr>
          <w:color w:val="777777"/>
          <w:sz w:val="16"/>
        </w:rPr>
        <w:t xml:space="preserve">p318 · att1 p.37  </w:t>
      </w:r>
      <w:r>
        <w:t>Output. “The documented findings fulfil the international consensus diagnostic criteria for neuromyelitis optica spectrum disorder.”54</w:t>
      </w:r>
    </w:p>
    <w:p>
      <w:r>
        <w:rPr>
          <w:color w:val="777777"/>
          <w:sz w:val="16"/>
        </w:rPr>
        <w:t xml:space="preserve">p319 · att1 p.37  </w:t>
      </w:r>
      <w:r>
        <w:t>Presenting. The function applies the published criteria to documented findings, each of which originates with a qualified clinician or laboratory. The diagnostic characterization is drawn from the published criteria; the function has not originated a diagnostic claim of its own.</w:t>
      </w:r>
    </w:p>
    <w:p>
      <w:r>
        <w:rPr>
          <w:color w:val="777777"/>
          <w:sz w:val="16"/>
        </w:rPr>
        <w:t xml:space="preserve">p320 · att1 p.37  </w:t>
      </w:r>
      <w:r>
        <w:t>Generating. The same inputs are submitted to a generative model, which produces the same sentence.</w:t>
      </w:r>
    </w:p>
    <w:p>
      <w:r>
        <w:rPr>
          <w:color w:val="777777"/>
          <w:sz w:val="16"/>
        </w:rPr>
        <w:t xml:space="preserve">p321 · att1 p.37  </w:t>
      </w:r>
      <w:r>
        <w:t>The diagnostic claim now originates with the model. Whether the model’s parameters reflect the criteria, which version of them, and how reliably, cannot be established from the output.</w:t>
      </w:r>
    </w:p>
    <w:p>
      <w:r>
        <w:rPr>
          <w:color w:val="777777"/>
          <w:sz w:val="16"/>
        </w:rPr>
        <w:t xml:space="preserve">p322 · att1 p.37  </w:t>
      </w:r>
      <w:r>
        <w:t>Note on faithfulness. The published criteria require, among other conditions, the exclusion of alternative diagnoses. A presenting function that states the criteria are fulfilled without conveying that condition has misrepresented its source, even though it has not generated a diagnosis of its own. This is why presenting functions require faithfulness benchmarking.</w:t>
      </w:r>
    </w:p>
    <w:p>
      <w:r>
        <w:rPr>
          <w:color w:val="777777"/>
          <w:sz w:val="16"/>
        </w:rPr>
        <w:t xml:space="preserve">p323 · att1 p.37  </w:t>
      </w:r>
      <w:r>
        <w:t>Example A5. A wearable device combining physiological and health data — Input. Continuous physiological signals from a wearable device, together with other health information about the wearer.</w:t>
      </w:r>
    </w:p>
    <w:p>
      <w:r>
        <w:rPr>
          <w:color w:val="777777"/>
          <w:sz w:val="16"/>
        </w:rPr>
        <w:t xml:space="preserve">p324 · att1 p.37  </w:t>
      </w:r>
      <w:r>
        <w:t>Generating. The function combines these inputs to produce a diagnostic classification, an alert, or a risk score. Each is a clinical claim originating with the function, and each warrants validation of the function’s performance in producing it.</w:t>
      </w:r>
    </w:p>
    <w:p>
      <w:r>
        <w:rPr>
          <w:color w:val="777777"/>
          <w:sz w:val="16"/>
        </w:rPr>
        <w:t xml:space="preserve">p325 · att1 p.37  </w:t>
      </w:r>
      <w:r>
        <w:t>Note. A physiological measurement computed from a raw sensor signal — for example, heart rate or oxygen saturation derived from an optical signal — is itself a generated quantitative measurement. A single output from such a device may therefore contain claims at several levels of the significance axis.</w:t>
      </w:r>
    </w:p>
    <w:p>
      <w:r>
        <w:rPr>
          <w:color w:val="777777"/>
          <w:sz w:val="16"/>
        </w:rPr>
        <w:t xml:space="preserve">p326 · att1 p.38  </w:t>
      </w:r>
      <w:r>
        <w:t>Example A6. Renal dose adjustment — Input. A patient’s estimated glomerular filtration rate and a prescribed medication.</w:t>
      </w:r>
    </w:p>
    <w:p>
      <w:r>
        <w:rPr>
          <w:color w:val="777777"/>
          <w:sz w:val="16"/>
        </w:rPr>
        <w:t xml:space="preserve">p327 · att1 p.38  </w:t>
      </w:r>
      <w:r>
        <w:t>Presenting. The function returns the dose adjustment that the medication’s prescribing information specifies for that range of renal function, identifying the prescribing information and its version.</w:t>
      </w:r>
    </w:p>
    <w:p>
      <w:r>
        <w:rPr>
          <w:color w:val="777777"/>
          <w:sz w:val="16"/>
        </w:rPr>
        <w:t xml:space="preserve">p328 · att1 p.38  </w:t>
      </w:r>
      <w:r>
        <w:t>Generating. The function determines a dose from the patient’s overall clinical picture, drawing on its learned parameters.</w:t>
      </w:r>
    </w:p>
    <w:p>
      <w:r>
        <w:rPr>
          <w:color w:val="777777"/>
          <w:sz w:val="16"/>
        </w:rPr>
        <w:t xml:space="preserve">p329 · att1 p.38  </w:t>
      </w:r>
      <w:r>
        <w:t>Implication. This is the kind of quantitative task the discussion paper describes under element E.3.</w:t>
      </w:r>
    </w:p>
    <w:p>
      <w:r>
        <w:rPr>
          <w:color w:val="777777"/>
          <w:sz w:val="16"/>
        </w:rPr>
        <w:t xml:space="preserve">p330 · att1 p.38  </w:t>
      </w:r>
      <w:r>
        <w:t>Where the function presents, faithfulness to the prescribing information is the appropriate evidence.</w:t>
      </w:r>
    </w:p>
    <w:p>
      <w:r>
        <w:rPr>
          <w:color w:val="777777"/>
          <w:sz w:val="16"/>
        </w:rPr>
        <w:t xml:space="preserve">p331 · att1 p.38  </w:t>
      </w:r>
      <w:r>
        <w:t>Where it generates, the dose it produces is a clinical-management claim, requiring validation of the function’s performance in making it.</w:t>
      </w:r>
    </w:p>
    <w:p>
      <w:r>
        <w:rPr>
          <w:color w:val="777777"/>
          <w:sz w:val="16"/>
        </w:rPr>
        <w:t xml:space="preserve">p332 · att1 p.39  </w:t>
      </w:r>
      <w:r>
        <w:t>Appendix B. Risk Pro2les: Illustrative Examples — The following examples illustrate how the four dimensions proposed in Section III combine into a risk profile, and how the profile would inform the evidence and safeguards expected. They are illustrative and are not intended to characterize any particular product.</w:t>
      </w:r>
    </w:p>
    <w:p>
      <w:r>
        <w:rPr>
          <w:color w:val="777777"/>
          <w:sz w:val="16"/>
        </w:rPr>
        <w:t xml:space="preserve">p333 · att1 p.39  </w:t>
      </w:r>
      <w:r>
        <w:t>Example B1. Summarizing a medication history for a clinical pharmacist — Function. Summarizes the medications recorded across a patient’s records, each entry linked to the record from which it was drawn.</w:t>
      </w:r>
    </w:p>
    <w:p>
      <w:r>
        <w:rPr>
          <w:color w:val="777777"/>
          <w:sz w:val="16"/>
        </w:rPr>
        <w:t xml:space="preserve">p334 · att1 p.39  </w:t>
      </w:r>
      <w:r>
        <w:t>Significance. Presenting.</w:t>
      </w:r>
    </w:p>
    <w:p>
      <w:r>
        <w:rPr>
          <w:color w:val="777777"/>
          <w:sz w:val="16"/>
        </w:rPr>
        <w:t xml:space="preserve">p335 · att1 p.39  </w:t>
      </w:r>
      <w:r>
        <w:t>Condition. The function does not itself address a condition, although an omitted medication could contribute to harm.</w:t>
      </w:r>
    </w:p>
    <w:p>
      <w:r>
        <w:rPr>
          <w:color w:val="777777"/>
          <w:sz w:val="16"/>
        </w:rPr>
        <w:t xml:space="preserve">p336 · att1 p.39  </w:t>
      </w:r>
      <w:r>
        <w:t>User. A clinical pharmacist, who can verify each entry against its linked source.</w:t>
      </w:r>
    </w:p>
    <w:p>
      <w:r>
        <w:rPr>
          <w:color w:val="777777"/>
          <w:sz w:val="16"/>
        </w:rPr>
        <w:t xml:space="preserve">p337 · att1 p.39  </w:t>
      </w:r>
      <w:r>
        <w:t>Characterizability. Output constrained to extracted entries, each linked to a source.</w:t>
      </w:r>
    </w:p>
    <w:p>
      <w:r>
        <w:rPr>
          <w:color w:val="777777"/>
          <w:sz w:val="16"/>
        </w:rPr>
        <w:t xml:space="preserve">p338 · att1 p.39  </w:t>
      </w:r>
      <w:r>
        <w:t>Profile and evidence. Lower. Faithfulness benchmarking, including specifically the omission of material entries.</w:t>
      </w:r>
    </w:p>
    <w:p>
      <w:r>
        <w:rPr>
          <w:color w:val="777777"/>
          <w:sz w:val="16"/>
        </w:rPr>
        <w:t xml:space="preserve">p339 · att1 p.39  </w:t>
      </w:r>
      <w:r>
        <w:t>Example B2. Notifying a wearer of possible atrial 2brillation — Function. Analyzes a single-lead electrocardiogram from a wearable device and notifies the wearer of possible atrial fibrillation.</w:t>
      </w:r>
    </w:p>
    <w:p>
      <w:r>
        <w:rPr>
          <w:color w:val="777777"/>
          <w:sz w:val="16"/>
        </w:rPr>
        <w:t xml:space="preserve">p340 · att1 p.39  </w:t>
      </w:r>
      <w:r>
        <w:t>Significance. Generating a detection.</w:t>
      </w:r>
    </w:p>
    <w:p>
      <w:r>
        <w:rPr>
          <w:color w:val="777777"/>
          <w:sz w:val="16"/>
        </w:rPr>
        <w:t xml:space="preserve">p341 · att1 p.39  </w:t>
      </w:r>
      <w:r>
        <w:t>Condition. Serious.</w:t>
      </w:r>
    </w:p>
    <w:p>
      <w:r>
        <w:rPr>
          <w:color w:val="777777"/>
          <w:sz w:val="16"/>
        </w:rPr>
        <w:t xml:space="preserve">p342 · att1 p.39  </w:t>
      </w:r>
      <w:r>
        <w:t>User. The wearer, who cannot evaluate the output or its basis; applicability is clear where the instruction is to seek clinical evaluation.</w:t>
      </w:r>
    </w:p>
    <w:p>
      <w:r>
        <w:rPr>
          <w:color w:val="777777"/>
          <w:sz w:val="16"/>
        </w:rPr>
        <w:t xml:space="preserve">p343 · att1 p.39  </w:t>
      </w:r>
      <w:r>
        <w:t>Characterizability. Reproducible output within a defined set of rhythm classes, from a defined input.</w:t>
      </w:r>
    </w:p>
    <w:p>
      <w:r>
        <w:rPr>
          <w:color w:val="777777"/>
          <w:sz w:val="16"/>
        </w:rPr>
        <w:t xml:space="preserve">p344 · att1 p.39  </w:t>
      </w:r>
      <w:r>
        <w:t>Profile and evidence. Moderate. Quantified uncertainty with structured deferral — for example, reporting an inconclusive result for a degraded signal rather than a classification.</w:t>
      </w:r>
    </w:p>
    <w:p>
      <w:r>
        <w:rPr>
          <w:color w:val="777777"/>
          <w:sz w:val="16"/>
        </w:rPr>
        <w:t xml:space="preserve">p345 · att1 p.39  </w:t>
      </w:r>
      <w:r>
        <w:t>Example B3. Early warning of clinical deterioration in intensive care — Function. Computes a score estimating the risk of clinical deterioration from vital signs and laboratory values, and alerts the care team.</w:t>
      </w:r>
    </w:p>
    <w:p>
      <w:r>
        <w:rPr>
          <w:color w:val="777777"/>
          <w:sz w:val="16"/>
        </w:rPr>
        <w:t xml:space="preserve">p346 · att1 p.39  </w:t>
      </w:r>
      <w:r>
        <w:t>Significance. Generating a detection.</w:t>
      </w:r>
    </w:p>
    <w:p>
      <w:r>
        <w:rPr>
          <w:color w:val="777777"/>
          <w:sz w:val="16"/>
        </w:rPr>
        <w:t xml:space="preserve">p347 · att1 p.39  </w:t>
      </w:r>
      <w:r>
        <w:t>Condition. Critical.</w:t>
      </w:r>
    </w:p>
    <w:p>
      <w:r>
        <w:rPr>
          <w:color w:val="777777"/>
          <w:sz w:val="16"/>
        </w:rPr>
        <w:t xml:space="preserve">p348 · att1 p.40  </w:t>
      </w:r>
      <w:r>
        <w:t>User. An intensivist, who can partly evaluate the output against the clinical picture, but typically not its basis; applicability is good, since the alert enters an established pathway.</w:t>
      </w:r>
    </w:p>
    <w:p>
      <w:r>
        <w:rPr>
          <w:color w:val="777777"/>
          <w:sz w:val="16"/>
        </w:rPr>
        <w:t xml:space="preserve">p349 · att1 p.40  </w:t>
      </w:r>
      <w:r>
        <w:t>Characterizability. Reproducible output from defined inputs.</w:t>
      </w:r>
    </w:p>
    <w:p>
      <w:r>
        <w:rPr>
          <w:color w:val="777777"/>
          <w:sz w:val="16"/>
        </w:rPr>
        <w:t xml:space="preserve">p350 · att1 p.40  </w:t>
      </w:r>
      <w:r>
        <w:t>Profile and evidence. Moderate to higher. Validation of alert performance at the operating thresholds actually used; quantified uncertainty communicated with each score. This is the kind of risk score the discussion paper treats as non-directive; at high values it functions as a direction to act, which is why we propose grading by significance rather than by directiveness.</w:t>
      </w:r>
    </w:p>
    <w:p>
      <w:r>
        <w:rPr>
          <w:color w:val="777777"/>
          <w:sz w:val="16"/>
        </w:rPr>
        <w:t xml:space="preserve">p351 · att1 p.40  </w:t>
      </w:r>
      <w:r>
        <w:t>Example B4. A consumer application assessing skin lesions from photographs — Function. Assesses a photograph of a skin lesion taken by the user and indicates whether clinical evaluation is advisable.</w:t>
      </w:r>
    </w:p>
    <w:p>
      <w:r>
        <w:rPr>
          <w:color w:val="777777"/>
          <w:sz w:val="16"/>
        </w:rPr>
        <w:t xml:space="preserve">p352 · att1 p.40  </w:t>
      </w:r>
      <w:r>
        <w:t>Significance. Generating a diagnosis.</w:t>
      </w:r>
    </w:p>
    <w:p>
      <w:r>
        <w:rPr>
          <w:color w:val="777777"/>
          <w:sz w:val="16"/>
        </w:rPr>
        <w:t xml:space="preserve">p353 · att1 p.40  </w:t>
      </w:r>
      <w:r>
        <w:t>Condition. Potentially critical, since a missed melanoma may be.</w:t>
      </w:r>
    </w:p>
    <w:p>
      <w:r>
        <w:rPr>
          <w:color w:val="777777"/>
          <w:sz w:val="16"/>
        </w:rPr>
        <w:t xml:space="preserve">p354 · att1 p.40  </w:t>
      </w:r>
      <w:r>
        <w:t>User. The user, who cannot evaluate the output or its basis; applicability depends on the clarity of the recommended next step.</w:t>
      </w:r>
    </w:p>
    <w:p>
      <w:r>
        <w:rPr>
          <w:color w:val="777777"/>
          <w:sz w:val="16"/>
        </w:rPr>
        <w:t xml:space="preserve">p355 · att1 p.40  </w:t>
      </w:r>
      <w:r>
        <w:t>Characterizability. If implemented with a stochastic model producing open-ended output: high. If implemented with a closed output set and an image-quality gate: lower.</w:t>
      </w:r>
    </w:p>
    <w:p>
      <w:r>
        <w:rPr>
          <w:color w:val="777777"/>
          <w:sz w:val="16"/>
        </w:rPr>
        <w:t xml:space="preserve">p356 · att1 p.40  </w:t>
      </w:r>
      <w:r>
        <w:t>Profile and evidence. Higher in either implementation, because the condition and the user keep the profile high; all three safeguards. Bounding the output reduces the characterizability burden but does not change the other dimensions.</w:t>
      </w:r>
    </w:p>
    <w:p>
      <w:r>
        <w:rPr>
          <w:color w:val="777777"/>
          <w:sz w:val="16"/>
        </w:rPr>
        <w:t xml:space="preserve">p357 · att1 p.40  </w:t>
      </w:r>
      <w:r>
        <w:t>Example B5. A conversational assistant advising patients whether to seek emergency care — Function. Converses with a patient about symptoms such as chest pain and advises whether to seek emergency care.</w:t>
      </w:r>
    </w:p>
    <w:p>
      <w:r>
        <w:rPr>
          <w:color w:val="777777"/>
          <w:sz w:val="16"/>
        </w:rPr>
        <w:t xml:space="preserve">p358 · att1 p.40  </w:t>
      </w:r>
      <w:r>
        <w:t>Significance. Generating a clinical-management determination.</w:t>
      </w:r>
    </w:p>
    <w:p>
      <w:r>
        <w:rPr>
          <w:color w:val="777777"/>
          <w:sz w:val="16"/>
        </w:rPr>
        <w:t xml:space="preserve">p359 · att1 p.40  </w:t>
      </w:r>
      <w:r>
        <w:t>Condition. Up to critical.</w:t>
      </w:r>
    </w:p>
    <w:p>
      <w:r>
        <w:rPr>
          <w:color w:val="777777"/>
          <w:sz w:val="16"/>
        </w:rPr>
        <w:t xml:space="preserve">p360 · att1 p.40  </w:t>
      </w:r>
      <w:r>
        <w:t>User. The patient.</w:t>
      </w:r>
    </w:p>
    <w:p>
      <w:r>
        <w:rPr>
          <w:color w:val="777777"/>
          <w:sz w:val="16"/>
        </w:rPr>
        <w:t xml:space="preserve">p361 · att1 p.40  </w:t>
      </w:r>
      <w:r>
        <w:t>Characterizability. Open-ended conversational input and variable output: high. A bounded implementation — structured symptom intake, a closed set of dispositions, and mandatory escalation for defined features — would be lower on this dimension.</w:t>
      </w:r>
    </w:p>
    <w:p>
      <w:r>
        <w:rPr>
          <w:color w:val="777777"/>
          <w:sz w:val="16"/>
        </w:rPr>
        <w:t xml:space="preserve">p362 · att1 p.40  </w:t>
      </w:r>
      <w:r>
        <w:t>Profile and evidence. Higher. All three safeguards; under-escalation and over-escalation evaluated as sensitivity and specificity for each condition, as proposed in Section III.E.</w:t>
      </w:r>
    </w:p>
    <w:p>
      <w:r>
        <w:rPr>
          <w:color w:val="777777"/>
          <w:sz w:val="16"/>
        </w:rPr>
        <w:t xml:space="preserve">p363 · att1 p.41  </w:t>
      </w:r>
      <w:r>
        <w:t>Appendix C. Bounding and Claim-Level Evaluation: Illustrative Examples — C1. Bounding the input and output space by intended use</w:t>
      </w:r>
    </w:p>
    <w:p>
      <w:r>
        <w:rPr>
          <w:color w:val="777777"/>
          <w:sz w:val="16"/>
        </w:rPr>
        <w:t xml:space="preserve">p364 · att1 p.41  </w:t>
      </w:r>
      <w:r>
        <w:t>Intended use Input bounding Output bounding — Summarizing clinical documentation — Defined document types and structured fields</w:t>
      </w:r>
    </w:p>
    <w:p>
      <w:r>
        <w:rPr>
          <w:color w:val="777777"/>
          <w:sz w:val="16"/>
        </w:rPr>
        <w:t xml:space="preserve">p365 · att1 p.41  </w:t>
      </w:r>
      <w:r>
        <w:t>Extractive output only; every assertion linked to its source — Applying a published guideline</w:t>
      </w:r>
    </w:p>
    <w:p>
      <w:r>
        <w:rPr>
          <w:color w:val="777777"/>
          <w:sz w:val="16"/>
        </w:rPr>
        <w:t xml:space="preserve">p366 · att1 p.41  </w:t>
      </w:r>
      <w:r>
        <w:t>Retrieval restricted to a curated, versioned corpus — Closed set of permitted recommendation categories</w:t>
      </w:r>
    </w:p>
    <w:p>
      <w:r>
        <w:rPr>
          <w:color w:val="777777"/>
          <w:sz w:val="16"/>
        </w:rPr>
        <w:t xml:space="preserve">p367 · att1 p.41  </w:t>
      </w:r>
      <w:r>
        <w:t>Drafting imaging reports — Closed finding vocabulary; report template; structured claims — Admissibility gate on modality, protocol, and quality; prespecified prompts</w:t>
      </w:r>
    </w:p>
    <w:p>
      <w:r>
        <w:rPr>
          <w:color w:val="777777"/>
          <w:sz w:val="16"/>
        </w:rPr>
        <w:t xml:space="preserve">p368 · att1 p.41  </w:t>
      </w:r>
      <w:r>
        <w:t>Conversational triage Topic scope with refusal; structured symptom intake — Closed set of dispositions; mandatory escalation rules</w:t>
      </w:r>
    </w:p>
    <w:p>
      <w:r>
        <w:rPr>
          <w:color w:val="777777"/>
          <w:sz w:val="16"/>
        </w:rPr>
        <w:t xml:space="preserve">p369 · att1 p.41  </w:t>
      </w:r>
      <w:r>
        <w:t>Closed set of detectable events — Analysis of wearable signals — Defined sensors and sampling rates; signal-quality gate</w:t>
      </w:r>
    </w:p>
    <w:p>
      <w:r>
        <w:rPr>
          <w:color w:val="777777"/>
          <w:sz w:val="16"/>
        </w:rPr>
        <w:t xml:space="preserve">p370 · att1 p.41  </w:t>
      </w:r>
      <w:r>
        <w:t>C2. Structure 2rst and text 2rst: drafting a knee MRI report — Structure first. The function emits a structured list of findings drawn from an allow-listed vocabulary — for each, the entity (for example, anterior cruciate ligament tear, meniscal tear, bone marrow edema, joint effusion), its location, and its certainty — and the narrative report is rendered from that list.</w:t>
      </w:r>
    </w:p>
    <w:p>
      <w:r>
        <w:rPr>
          <w:color w:val="777777"/>
          <w:sz w:val="16"/>
        </w:rPr>
        <w:t xml:space="preserve">p371 · att1 p.41  </w:t>
      </w:r>
      <w:r>
        <w:t>Evaluation scores the structured list directly against the reference standard. No extraction is needed.</w:t>
      </w:r>
    </w:p>
    <w:p>
      <w:r>
        <w:rPr>
          <w:color w:val="777777"/>
          <w:sz w:val="16"/>
        </w:rPr>
        <w:t xml:space="preserve">p372 · att1 p.41  </w:t>
      </w:r>
      <w:r>
        <w:t>Text first. The function emits a free-text report. A claim extractor produces the list of findings from the text. Before that list can be scored, the extractor is itself validated against findings extracted by radiologists from a held-out sample of reports, for both accuracy and coverage, including coverage of findings expressed in unanticipated phrasing.</w:t>
      </w:r>
    </w:p>
    <w:p>
      <w:r>
        <w:rPr>
          <w:color w:val="777777"/>
          <w:sz w:val="16"/>
        </w:rPr>
        <w:t xml:space="preserve">p373 · att1 p.41  </w:t>
      </w:r>
      <w:r>
        <w:t>C3. Measuring claim-level reproducibility — Method. Each case is evaluated twenty times under the deployed configuration, and again under clinically irrelevant perturbation — the clinical history reordered, the indication paraphrased, an irrelevant sentence added. For each finding, the proportion of runs in which the function makes the same claim is recorded.</w:t>
      </w:r>
    </w:p>
    <w:p>
      <w:r>
        <w:rPr>
          <w:color w:val="777777"/>
          <w:sz w:val="16"/>
        </w:rPr>
        <w:t xml:space="preserve">p374 · att1 p.41  </w:t>
      </w:r>
      <w:r>
        <w:t>Illustration. A claim that an anterior cruciate ligament tear is present, made in twenty of twenty runs and unchanged under perturbation, is reproducible. A claim of a possible meniscal tear, made in eleven of twenty runs, is not: the function cannot be said to make that claim reproducibly, whatever its accuracy on a single run.</w:t>
      </w:r>
    </w:p>
    <w:p>
      <w:r>
        <w:rPr>
          <w:color w:val="777777"/>
          <w:sz w:val="16"/>
        </w:rPr>
        <w:t xml:space="preserve">p375 · att1 p.42  </w:t>
      </w:r>
      <w:r>
        <w:t>Reporting. Claim-level agreement is reported per finding and stratified by clinical consequence, so that variability in a claim concerning a time-critical finding is visible rather than averaged away.</w:t>
      </w:r>
    </w:p>
    <w:p>
      <w:r>
        <w:rPr>
          <w:color w:val="777777"/>
          <w:sz w:val="16"/>
        </w:rPr>
        <w:t xml:space="preserve">p376 · att1 p.43  </w:t>
      </w:r>
      <w:r>
        <w:t>References — Preprint and non-peer-reviewed sources are identified as such.</w:t>
      </w:r>
    </w:p>
    <w:p>
      <w:r>
        <w:rPr>
          <w:color w:val="777777"/>
          <w:sz w:val="16"/>
        </w:rPr>
        <w:t xml:space="preserve">p377 · att1 p.43  </w:t>
      </w:r>
      <w:r>
        <w:t>1. U.S. Food and Drug Administration. Considerations for the Regulation of Generative AI-Enabled Medical Devices: Discussion Paper and Request for Feedback. Docket No. FDA-2026-N-7874. August 2026. https://www.fda.gov/media/194242/download</w:t>
      </w:r>
    </w:p>
    <w:p>
      <w:r>
        <w:rPr>
          <w:color w:val="777777"/>
          <w:sz w:val="16"/>
        </w:rPr>
        <w:t xml:space="preserve">p378 · att1 p.43  </w:t>
      </w:r>
      <w:r>
        <w:t>2. International Medical Device Regulators Forum, Software as a Medical Device Working Group. “Software as a Medical Device”: Possible Framework for Risk Categorization and Corresponding Considerations. IMDRF/SaMD WG/N12FINAL:2014. September 2014.</w:t>
      </w:r>
    </w:p>
    <w:p>
      <w:r>
        <w:rPr>
          <w:color w:val="777777"/>
          <w:sz w:val="16"/>
        </w:rPr>
        <w:t xml:space="preserve">p379 · att1 p.43  </w:t>
      </w:r>
      <w:r>
        <w:t>3. U.S. Food and Drug Administration. Software as a Medical Device (SAMD): Clinical Evaluation. Guidance for Industry and Food and Drug Administration Staff. December 2017.</w:t>
      </w:r>
    </w:p>
    <w:p>
      <w:r>
        <w:rPr>
          <w:color w:val="777777"/>
          <w:sz w:val="16"/>
        </w:rPr>
        <w:t xml:space="preserve">p380 · att1 p.43  </w:t>
      </w:r>
      <w:r>
        <w:t>4. U.S. Food and Drug Administration. Assessing the Credibility of Computational Modeling and Simulation in Medical Device Submissions. Guidance for Industry and Food and Drug Administration Staff. November 2023.</w:t>
      </w:r>
    </w:p>
    <w:p>
      <w:r>
        <w:rPr>
          <w:color w:val="777777"/>
          <w:sz w:val="16"/>
        </w:rPr>
        <w:t xml:space="preserve">p381 · att1 p.43  </w:t>
      </w:r>
      <w:r>
        <w:t>5. U.S. Food and Drug Administration. Considerations for the Use of Artificial Intelligence To Support Regulatory Decision- Making for Drug and Biological Products. Draft Guidance for Industry. January 2025.</w:t>
      </w:r>
    </w:p>
    <w:p>
      <w:r>
        <w:rPr>
          <w:color w:val="777777"/>
          <w:sz w:val="16"/>
        </w:rPr>
        <w:t xml:space="preserve">p382 · att1 p.43  </w:t>
      </w:r>
      <w:r>
        <w:t>6. MacMahon H, Naidich DP, Goo JM, et al. Guidelines for Management of Incidental Pulmonary Nodules Detected on CT Images: From the Fleischner Society 2017. Radiology. 2017;284(1):228–243. doi:10.1148/radiol.2017161659</w:t>
      </w:r>
    </w:p>
    <w:p>
      <w:r>
        <w:rPr>
          <w:color w:val="777777"/>
          <w:sz w:val="16"/>
        </w:rPr>
        <w:t xml:space="preserve">p383 · att1 p.43  </w:t>
      </w:r>
      <w:r>
        <w:t>7. Guyatt G, Rennie D, Meade MO, Cook DJ, eds. Users’ Guides to the Medical Literature: A Manual for Evidence-Based Clinical Practice. 3rd ed. New York: McGraw-Hill Education; 2015.</w:t>
      </w:r>
    </w:p>
    <w:p>
      <w:r>
        <w:rPr>
          <w:color w:val="777777"/>
          <w:sz w:val="16"/>
        </w:rPr>
        <w:t xml:space="preserve">p384 · att1 p.43  </w:t>
      </w:r>
      <w:r>
        <w:t>8. U.S. Food and Drug Administration. Multiple Function Device Products: Policy and Considerations. Guidance for Industry and Food and Drug Administration Staff. July 2020.</w:t>
      </w:r>
    </w:p>
    <w:p>
      <w:r>
        <w:rPr>
          <w:color w:val="777777"/>
          <w:sz w:val="16"/>
        </w:rPr>
        <w:t xml:space="preserve">p385 · att1 p.43  </w:t>
      </w:r>
      <w:r>
        <w:t>9. Rashkin H, Nikolaev V, Lamm M, et al. Measuring Attribution in Natural Language Generation Models. Computational Linguistics. 2023;49(4):777–840. doi:10.1162/coli_a_00486</w:t>
      </w:r>
    </w:p>
    <w:p>
      <w:r>
        <w:rPr>
          <w:color w:val="777777"/>
          <w:sz w:val="16"/>
        </w:rPr>
        <w:t xml:space="preserve">p386 · att1 p.43  </w:t>
      </w:r>
      <w:r>
        <w:t>10. Maynez J, Narayan S, Bohnet B, McDonald R. On Faithfulness and Factuality in Abstractive Summarization. Proceedings of the 58th Annual Meeting of the Association for Computational Linguistics. 2020:1906–1919.</w:t>
      </w:r>
    </w:p>
    <w:p>
      <w:r>
        <w:rPr>
          <w:color w:val="777777"/>
          <w:sz w:val="16"/>
        </w:rPr>
        <w:t xml:space="preserve">p387 · att1 p.43  </w:t>
      </w:r>
      <w:r>
        <w:t>11. Ji Z, Lee N, Frieske R, et al. Survey of Hallucination in Natural Language Generation. ACM Computing Surveys. 2023;55(12):Article 248. doi:10.1145/3571730</w:t>
      </w:r>
    </w:p>
    <w:p>
      <w:r>
        <w:rPr>
          <w:color w:val="777777"/>
          <w:sz w:val="16"/>
        </w:rPr>
        <w:t xml:space="preserve">p388 · att1 p.43  </w:t>
      </w:r>
      <w:r>
        <w:t>12. Magesh V, Surani F, Dahl M, Suzgun M, Manning CD, Ho DE. Hallucination-Free? Assessing the Reliability of Leading AI Legal Research Tools. Journal of Empirical Legal Studies. 2025;22:216–242. doi:10.1111/jels.12413</w:t>
      </w:r>
    </w:p>
    <w:p>
      <w:r>
        <w:rPr>
          <w:color w:val="777777"/>
          <w:sz w:val="16"/>
        </w:rPr>
        <w:t xml:space="preserve">p389 · att1 p.43  </w:t>
      </w:r>
      <w:r>
        <w:t>13. Gao T, Yen H, Yu J, Chen D. Enabling Large Language Models to Generate Text with Citations. Proceedings of EMNLP. 2023:6465–6488. doi:10.18653/v1/2023.emnlp-main.398</w:t>
      </w:r>
    </w:p>
    <w:p>
      <w:r>
        <w:rPr>
          <w:color w:val="777777"/>
          <w:sz w:val="16"/>
        </w:rPr>
        <w:t xml:space="preserve">p390 · att1 p.43  </w:t>
      </w:r>
      <w:r>
        <w:t>14. U.S. Food and Drug Administration. Clinical Decision Support Software. Guidance for Industry and Food and Drug Administration Staff. January 2026.</w:t>
      </w:r>
    </w:p>
    <w:p>
      <w:r>
        <w:rPr>
          <w:color w:val="777777"/>
          <w:sz w:val="16"/>
        </w:rPr>
        <w:t xml:space="preserve">p391 · att1 p.43  </w:t>
      </w:r>
      <w:r>
        <w:t>15. Dratsch T, Chen X, Rezazade Mehrizi M, et al. Automation Bias in Mammography: The Impact of Artificial Intelligence BI-RADS Suggestions on Reader Performance. Radiology. 2023;307(4):e222176. doi:10.1148/radiol.222176</w:t>
      </w:r>
    </w:p>
    <w:p>
      <w:r>
        <w:rPr>
          <w:color w:val="777777"/>
          <w:sz w:val="16"/>
        </w:rPr>
        <w:t xml:space="preserve">p392 · att1 p.43  </w:t>
      </w:r>
      <w:r>
        <w:t>16. Jabbour S, Fouhey D, Shepard S, et al. Measuring the Impact of AI in the Diagnosis of Hospitalized Patients: A Randomized Clinical Vignette Survey Study. JAMA. 2023;330(23):2275–2284. doi:10.1001/jama.2023.22295</w:t>
      </w:r>
    </w:p>
    <w:p>
      <w:r>
        <w:rPr>
          <w:color w:val="777777"/>
          <w:sz w:val="16"/>
        </w:rPr>
        <w:t xml:space="preserve">p393 · att1 p.43  </w:t>
      </w:r>
      <w:r>
        <w:t>17. Gong EJ, Bang CS, Lee JJ, Baik GH. Knowledge-Practice Performance Gap in Clinical Large Language Models: Systematic Review of 39 Benchmarks. Journal of Medical Internet Research. 2025;27:e84120. doi:10.2196/84120</w:t>
      </w:r>
    </w:p>
    <w:p>
      <w:r>
        <w:rPr>
          <w:color w:val="777777"/>
          <w:sz w:val="16"/>
        </w:rPr>
        <w:t xml:space="preserve">p394 · att1 p.43  </w:t>
      </w:r>
      <w:r>
        <w:t>18. Vishwanath K, Alyakin A, Alber DA, Lee JV, Kondziolka D, Oermann EK. Medical large language models are easily distracted. arXiv:2504.01201. 2025. [Preprint]</w:t>
      </w:r>
    </w:p>
    <w:p>
      <w:r>
        <w:rPr>
          <w:color w:val="777777"/>
          <w:sz w:val="16"/>
        </w:rPr>
        <w:t xml:space="preserve">p395 · att1 p.43  </w:t>
      </w:r>
      <w:r>
        <w:t>19. Zakka C, Shad R, Chaurasia A, et al. Almanac — Retrieval-Augmented Language Models for Clinical Medicine. NEJM AI. 2024;1(2):AIoa2300068. doi:10.1056/AIoa2300068</w:t>
      </w:r>
    </w:p>
    <w:p>
      <w:r>
        <w:rPr>
          <w:color w:val="777777"/>
          <w:sz w:val="16"/>
        </w:rPr>
        <w:t xml:space="preserve">p396 · att1 p.43  </w:t>
      </w:r>
      <w:r>
        <w:t>20. Pan L, Zhang Y, Yang Q, Li T, Chen Z. Long-tailed Medical Diagnosis with Relation-aware Representation Learning and Iterative Classifier Calibration. Computers in Biology and Medicine. 2025;188:109772. doi:10.1016/j.compbiomed.2025.109772</w:t>
      </w:r>
    </w:p>
    <w:p>
      <w:r>
        <w:rPr>
          <w:color w:val="777777"/>
          <w:sz w:val="16"/>
        </w:rPr>
        <w:t xml:space="preserve">p397 · att1 p.43  </w:t>
      </w:r>
      <w:r>
        <w:t>21. Geng S, Josifoski M, Peyrard M, West R. Grammar-Constrained Decoding for Structured NLP Tasks without Finetuning. Proceedings of EMNLP. 2023:10932–10952. doi:10.18653/v1/2023.emnlp-main.674</w:t>
      </w:r>
    </w:p>
    <w:p>
      <w:r>
        <w:rPr>
          <w:color w:val="777777"/>
          <w:sz w:val="16"/>
        </w:rPr>
        <w:t xml:space="preserve">p398 · att1 p.43  </w:t>
      </w:r>
      <w:r>
        <w:t>22. Scholak T, Schucher N, Bahdanau D. PICARD: Parsing Incrementally for Constrained Auto-Regressive Decoding from Language Models. Proceedings of EMNLP. 2021:9895–9901. doi:10.18653/v1/2021.emnlp-main.779</w:t>
      </w:r>
    </w:p>
    <w:p>
      <w:r>
        <w:rPr>
          <w:color w:val="777777"/>
          <w:sz w:val="16"/>
        </w:rPr>
        <w:t xml:space="preserve">p399 · att1 p.43  </w:t>
      </w:r>
      <w:r>
        <w:t>23. Willard BT, Louf R. Efficient Guided Generation for Large Language Models. arXiv:2307.09702. 2023. [Preprint]</w:t>
      </w:r>
    </w:p>
    <w:p>
      <w:r>
        <w:rPr>
          <w:color w:val="777777"/>
          <w:sz w:val="16"/>
        </w:rPr>
        <w:t xml:space="preserve">p400 · att1 p.44  </w:t>
      </w:r>
      <w:r>
        <w:t>24. Inan H, Upasani K, Chi J, et al. Llama Guard: LLM-based Input-Output Safeguard for Human-AI Conversations. arXiv:2312.06674. 2023. [Technical report]</w:t>
      </w:r>
    </w:p>
    <w:p>
      <w:r>
        <w:rPr>
          <w:color w:val="777777"/>
          <w:sz w:val="16"/>
        </w:rPr>
        <w:t xml:space="preserve">p401 · att1 p.44  </w:t>
      </w:r>
      <w:r>
        <w:t>25. Rebedea T, Dinu R, Sreedhar M, Parisien C, Cohen J. NeMo Guardrails: A Toolkit for Controllable and Safe LLM Applications with Programmable Rails. Proceedings of EMNLP: System Demonstrations. 2023:431–445. doi:10.18653/v1/2023.emnlp-demo.40</w:t>
      </w:r>
    </w:p>
    <w:p>
      <w:r>
        <w:rPr>
          <w:color w:val="777777"/>
          <w:sz w:val="16"/>
        </w:rPr>
        <w:t xml:space="preserve">p402 · att1 p.44  </w:t>
      </w:r>
      <w:r>
        <w:t>26. Park K, Wang J, Berg-Kirkpatrick T, Polikarpova N, D’Antoni L. Grammar-Aligned Decoding. Advances in Neural Information Processing Systems. 2024. arXiv:2405.21047</w:t>
      </w:r>
    </w:p>
    <w:p>
      <w:r>
        <w:rPr>
          <w:color w:val="777777"/>
          <w:sz w:val="16"/>
        </w:rPr>
        <w:t xml:space="preserve">p403 · att1 p.44  </w:t>
      </w:r>
      <w:r>
        <w:t>27. Geng S, Cooper H, Moskal M, et al. JSONSchemaBench: A Rigorous Benchmark of Structured Outputs for Language Models. arXiv:2501.10868. 2025. [Preprint]</w:t>
      </w:r>
    </w:p>
    <w:p>
      <w:r>
        <w:rPr>
          <w:color w:val="777777"/>
          <w:sz w:val="16"/>
        </w:rPr>
        <w:t xml:space="preserve">p404 · att1 p.44  </w:t>
      </w:r>
      <w:r>
        <w:t>28. Zhang S, Zhao J, Dong H, et al. When Grammar Guides the Attack: Uncovering Control-Plane Vulnerabilities in LLMs with Structured Output. arXiv:2503.24191v3. 2026. [Preprint; to appear at ACM CCS 2026]</w:t>
      </w:r>
    </w:p>
    <w:p>
      <w:r>
        <w:rPr>
          <w:color w:val="777777"/>
          <w:sz w:val="16"/>
        </w:rPr>
        <w:t xml:space="preserve">p405 · att1 p.44  </w:t>
      </w:r>
      <w:r>
        <w:t>29. 21 CFR 860.7, Determination of safety and effectiveness, including paragraph (c)(2), definition of valid scientific evidence.</w:t>
      </w:r>
    </w:p>
    <w:p>
      <w:r>
        <w:rPr>
          <w:color w:val="777777"/>
          <w:sz w:val="16"/>
        </w:rPr>
        <w:t xml:space="preserve">p406 · att1 p.44  </w:t>
      </w:r>
      <w:r>
        <w:t>30. U.S. Food and Drug Administration. Technical Performance Assessment of Quantitative Imaging in Radiological Device Premarket Submissions. Guidance for Industry and Food and Drug Administration Staff. June 2022. https://www.fda.gov/media/123271/download</w:t>
      </w:r>
    </w:p>
    <w:p>
      <w:r>
        <w:rPr>
          <w:color w:val="777777"/>
          <w:sz w:val="16"/>
        </w:rPr>
        <w:t xml:space="preserve">p407 · att1 p.44  </w:t>
      </w:r>
      <w:r>
        <w:t>31. U.S. Food and Drug Administration. De Novo Classification Request for IDx-DR (DEN180001): Decision Summary. 21 CFR 886.1100, Retinal diagnostic software device; Class II; product code PIB. April 2018. https://www.accessdata.fda.gov/cdrh_docs/reviews/DEN180001.pdf</w:t>
      </w:r>
    </w:p>
    <w:p>
      <w:r>
        <w:rPr>
          <w:color w:val="777777"/>
          <w:sz w:val="16"/>
        </w:rPr>
        <w:t xml:space="preserve">p408 · att1 p.44  </w:t>
      </w:r>
      <w:r>
        <w:t>32. Abràmoff MD, Lavin PT, Birch M, Shah N, Folk JC. Pivotal trial of an autonomous AI-based diagnostic system for detection of diabetic retinopathy in primary care offices. npj Digital Medicine. 2018;1:39. doi:10.1038/s41746-018- 0040-6</w:t>
      </w:r>
    </w:p>
    <w:p>
      <w:r>
        <w:rPr>
          <w:color w:val="777777"/>
          <w:sz w:val="16"/>
        </w:rPr>
        <w:t xml:space="preserve">p409 · att1 p.44  </w:t>
      </w:r>
      <w:r>
        <w:t>33. U.S. Food and Drug Administration. Executive Summary for the Digital Health Advisory Committee Meeting: Total Product Lifecycle Considerations for Generative AI-Enabled Devices. November 2024. https://www.fda.gov/media/182871/download</w:t>
      </w:r>
    </w:p>
    <w:p>
      <w:r>
        <w:rPr>
          <w:color w:val="777777"/>
          <w:sz w:val="16"/>
        </w:rPr>
        <w:t xml:space="preserve">p410 · att1 p.44  </w:t>
      </w:r>
      <w:r>
        <w:t>34. U.S. Food and Drug Administration. Consideration of Uncertainty in Making Benefit-Risk Determinations in Medical Device Premarket Approvals, De Novo Classifications, and Humanitarian Device Exemptions. Guidance for Industry and Food and Drug Administration Staff. August 2019.</w:t>
      </w:r>
    </w:p>
    <w:p>
      <w:r>
        <w:rPr>
          <w:color w:val="777777"/>
          <w:sz w:val="16"/>
        </w:rPr>
        <w:t xml:space="preserve">p411 · att1 p.44  </w:t>
      </w:r>
      <w:r>
        <w:t>35. He H, Thinking Machines Lab. Defeating Nondeterminism in LLM Inference. Thinking Machines Lab: Connectionism. September 2025. [Industry technical report; not peer-reviewed] https://thinkingmachines.ai/blog/defeatingnondeterminism-in-llm-inference/</w:t>
      </w:r>
    </w:p>
    <w:p>
      <w:r>
        <w:rPr>
          <w:color w:val="777777"/>
          <w:sz w:val="16"/>
        </w:rPr>
        <w:t xml:space="preserve">p412 · att1 p.44  </w:t>
      </w:r>
      <w:r>
        <w:t>36. Vara. Vara Receives World-First CE Certification for Autonomous AI in Breast Cancer Screening. Business Wire, September 2, 2026; as reported in: Vara receives CE mark for first autonomous breast cancer screening. MedTech Dive. September 2026. https://www.medtechdive.com/news/vara-receives-ce-mark-for-first-autonomous-breastcancer-screening/829696/</w:t>
      </w:r>
    </w:p>
    <w:p>
      <w:r>
        <w:rPr>
          <w:color w:val="777777"/>
          <w:sz w:val="16"/>
        </w:rPr>
        <w:t xml:space="preserve">p413 · att1 p.44  </w:t>
      </w:r>
      <w:r>
        <w:t>37. U.S. Food and Drug Administration. Marketing Submission Recommendations for a Predetermined Change Control Plan for Artificial Intelligence-Enabled Device Software Functions. Guidance for Industry and Food and Drug Administration Staff. August 2025.</w:t>
      </w:r>
    </w:p>
    <w:p>
      <w:r>
        <w:rPr>
          <w:color w:val="777777"/>
          <w:sz w:val="16"/>
        </w:rPr>
        <w:t xml:space="preserve">p414 · att1 p.44  </w:t>
      </w:r>
      <w:r>
        <w:t>38. Kadavath S, Conerly T, Askell A, et al. Language Models (Mostly) Know What They Know. arXiv:2207.05221. 2022. [Preprint]</w:t>
      </w:r>
    </w:p>
    <w:p>
      <w:r>
        <w:rPr>
          <w:color w:val="777777"/>
          <w:sz w:val="16"/>
        </w:rPr>
        <w:t xml:space="preserve">p415 · att1 p.44  </w:t>
      </w:r>
      <w:r>
        <w:t>39. Eisemann N, Bunk S, Mukama T, et al. Nationwide Real-World Implementation of AI for Cancer Detection in Population- Based Mammography Screening. Nature Medicine. 2025;31(3):917–924. doi:10.1038/s41591-024-03408-6</w:t>
      </w:r>
    </w:p>
    <w:p>
      <w:r>
        <w:rPr>
          <w:color w:val="777777"/>
          <w:sz w:val="16"/>
        </w:rPr>
        <w:t xml:space="preserve">p416 · att1 p.44  </w:t>
      </w:r>
      <w:r>
        <w:t>40. Zhang Y, Chen L, Zhao W, et al. Vision-Language Models vs Autonomous AI Agents for Anterior Capsular Radial Folds: A Diagnostic Study. medRxiv. 2026. doi:10.64898/2026.01.15.26344200. [Preprint]</w:t>
      </w:r>
    </w:p>
    <w:p>
      <w:r>
        <w:rPr>
          <w:color w:val="777777"/>
          <w:sz w:val="16"/>
        </w:rPr>
        <w:t xml:space="preserve">p417 · att1 p.44  </w:t>
      </w:r>
      <w:r>
        <w:t>41. Avakian A. Vision–Language Models as an Integrative Layer for Clinical Artificial Intelligence in Radiology: A Systems- Level Perspective. Clinical Imaging. 2026;136:110841. doi:10.1016/j.clinimag.2026.110841</w:t>
      </w:r>
    </w:p>
    <w:p>
      <w:r>
        <w:rPr>
          <w:color w:val="777777"/>
          <w:sz w:val="16"/>
        </w:rPr>
        <w:t xml:space="preserve">p418 · att1 p.44  </w:t>
      </w:r>
      <w:r>
        <w:t>42. Mayumu N, Khan Z, Stephens M, Mukala P, Oroumchian F. RVLM: Recursive Vision-Language Models with Adaptive Depth. arXiv:2603.24224. 2026. [Preprint]</w:t>
      </w:r>
    </w:p>
    <w:p>
      <w:r>
        <w:rPr>
          <w:color w:val="777777"/>
          <w:sz w:val="16"/>
        </w:rPr>
        <w:t xml:space="preserve">p419 · att1 p.44  </w:t>
      </w:r>
      <w:r>
        <w:t>43. U.S. Food and Drug Administration. The 510(k) Program: Evaluating Substantial Equivalence in Premarket Notifications [510(k)]. Guidance for Industry and Food and Drug Administration Staff. July 2014.</w:t>
      </w:r>
    </w:p>
    <w:p>
      <w:r>
        <w:rPr>
          <w:color w:val="777777"/>
          <w:sz w:val="16"/>
        </w:rPr>
        <w:t xml:space="preserve">p420 · att1 p.44  </w:t>
      </w:r>
      <w:r>
        <w:t>44. Oakden-Rayner L, Dunnmon J, Carneiro G, Ré C. Hidden Stratification Causes Clinically Meaningful Failures in Machine Learning for Medical Imaging. Proceedings of the ACM Conference on Health, Inference, and Learning. 2020:151– 159. doi:10.1145/3368555.3384468</w:t>
      </w:r>
    </w:p>
    <w:p>
      <w:r>
        <w:rPr>
          <w:color w:val="777777"/>
          <w:sz w:val="16"/>
        </w:rPr>
        <w:t xml:space="preserve">p421 · att1 p.44  </w:t>
      </w:r>
      <w:r>
        <w:t>45. D’Amour A, Heller K, Moldovan D, et al. Underspecification Presents Challenges for Credibility in Modern Machine Learning. Journal of Machine Learning Research. 2022;23(226):1–61.</w:t>
      </w:r>
    </w:p>
    <w:p>
      <w:r>
        <w:rPr>
          <w:color w:val="777777"/>
          <w:sz w:val="16"/>
        </w:rPr>
        <w:t xml:space="preserve">p422 · att1 p.45  </w:t>
      </w:r>
      <w:r>
        <w:t>46. Windecker D, Baj G, Shiri I, et al. Generalizability of FDA-Approved AI-Enabled Medical Devices for Clinical Use. JAMA Network Open. 2025;8(4):e258052. doi:10.1001/jamanetworkopen.2025.8052</w:t>
      </w:r>
    </w:p>
    <w:p>
      <w:r>
        <w:rPr>
          <w:color w:val="777777"/>
          <w:sz w:val="16"/>
        </w:rPr>
        <w:t xml:space="preserve">p423 · att1 p.45  </w:t>
      </w:r>
      <w:r>
        <w:t>47. Zech JR, Badgeley MA, Liu M, Costa AB, Titano JJ, Oermann EK. Variable Generalization Performance of a Deep Learning Model to Detect Pneumonia in Chest Radiographs: A Cross-Sectional Study. PLOS Medicine. 2018;15(11):e1002683. doi:10.1371/journal.pmed.1002683</w:t>
      </w:r>
    </w:p>
    <w:p>
      <w:r>
        <w:rPr>
          <w:color w:val="777777"/>
          <w:sz w:val="16"/>
        </w:rPr>
        <w:t xml:space="preserve">p424 · att1 p.45  </w:t>
      </w:r>
      <w:r>
        <w:t>48. Badano A, Graff CG, Badal A, et al. Evaluation of Digital Breast Tomosynthesis as Replacement of Full-Field Digital Mammography Using an In Silico Imaging Trial. JAMA Network Open. 2018;1(7):e185474. doi:10.1001/jamanetworkopen.2018.5474</w:t>
      </w:r>
    </w:p>
    <w:p>
      <w:r>
        <w:rPr>
          <w:color w:val="777777"/>
          <w:sz w:val="16"/>
        </w:rPr>
        <w:t xml:space="preserve">p425 · att1 p.45  </w:t>
      </w:r>
      <w:r>
        <w:t>49. U.S. Food and Drug Administration. Medical Device Development Tools (MDDT). Program webpage. Accessed September 2026. https://www.fda.gov/medical-devices/medical-device-development-tools-mddt</w:t>
      </w:r>
    </w:p>
    <w:p>
      <w:r>
        <w:rPr>
          <w:color w:val="777777"/>
          <w:sz w:val="16"/>
        </w:rPr>
        <w:t xml:space="preserve">p426 · att1 p.45  </w:t>
      </w:r>
      <w:r>
        <w:t>50. Cognita Imaging. Cognita Imaging Receives $1.29 Million FDA Contract to Test New Approach to Evaluating Generative AI in Radiology. Business Wire. September 16, 2026. https://www.businesswire.com/news/home/20260916329852/en/</w:t>
      </w:r>
    </w:p>
    <w:p>
      <w:r>
        <w:rPr>
          <w:color w:val="777777"/>
          <w:sz w:val="16"/>
        </w:rPr>
        <w:t xml:space="preserve">p427 · att1 p.45  </w:t>
      </w:r>
      <w:r>
        <w:t>51. National Institute of Standards and Technology. Face Technology Evaluations — FRTE/FATE. Program webpage. Accessed September 2026. https://www.nist.gov/programs-projects/face-technology-evaluations-frtefate</w:t>
      </w:r>
    </w:p>
    <w:p>
      <w:r>
        <w:rPr>
          <w:color w:val="777777"/>
          <w:sz w:val="16"/>
        </w:rPr>
        <w:t xml:space="preserve">p428 · att1 p.45  </w:t>
      </w:r>
      <w:r>
        <w:t>52. U.S. Food and Drug Administration. Qualification of Medical Device Development Tools. Guidance for Industry, Tool Developers, and Food and Drug Administration Staff. July 2023. https://www.fda.gov/media/87134/download</w:t>
      </w:r>
    </w:p>
    <w:p>
      <w:r>
        <w:rPr>
          <w:color w:val="777777"/>
          <w:sz w:val="16"/>
        </w:rPr>
        <w:t xml:space="preserve">p429 · att1 p.45  </w:t>
      </w:r>
      <w:r>
        <w:t>53. Wen PY, Macdonald DR, Reardon DA, et al. Updated Response Assessment Criteria for High-Grade Gliomas: Response Assessment in Neuro-Oncology Working Group. Journal of Clinical Oncology. 2010;28(11):1963–1972. doi:10.1200/JCO.2009.26.3541</w:t>
      </w:r>
    </w:p>
    <w:p>
      <w:r>
        <w:rPr>
          <w:color w:val="777777"/>
          <w:sz w:val="16"/>
        </w:rPr>
        <w:t xml:space="preserve">p430 · att1 p.45  </w:t>
      </w:r>
      <w:r>
        <w:t>54. Wingerchuk DM, Banwell B, Bennett JL, et al. International Consensus Diagnostic Criteria for Neuromyelitis Optica Spectrum Disorders. Neurology. 2015;85(2):177–189. doi:10.1212/WNL.0000000000001729</w:t>
      </w:r>
    </w:p>
    <w:p>
      <w:pPr>
        <w:pStyle w:val="Heading1"/>
        <w:pageBreakBefore/>
      </w:pPr>
      <w:r>
        <w:t>FDA-2026-N-7874-0127</w:t>
      </w:r>
    </w:p>
    <w:p>
      <w:r>
        <w:t>Comment from Synapstak Ltd</w:t>
      </w:r>
    </w:p>
    <w:p>
      <w:r>
        <w:rPr>
          <w:color w:val="777777"/>
          <w:sz w:val="18"/>
        </w:rPr>
        <w:t>International Industry - I0022 · received 2026-09-28 · attachments: attachment_1.pdf (9 pp)</w:t>
      </w:r>
    </w:p>
    <w:p>
      <w:r>
        <w:rPr>
          <w:color w:val="777777"/>
          <w:sz w:val="16"/>
        </w:rPr>
        <w:t xml:space="preserve">p001 · body  </w:t>
      </w:r>
      <w:r>
        <w:t>Submitted on behalf of Synapstak Ltd (United Kingdom). Full comment attached.</w:t>
      </w:r>
    </w:p>
    <w:p>
      <w:r>
        <w:rPr>
          <w:color w:val="777777"/>
          <w:sz w:val="16"/>
        </w:rPr>
        <w:t xml:space="preserve">p002 · body  </w:t>
      </w:r>
      <w:r>
        <w:t>Summary. The two-axis framework is a sound heuristic, but the activity axis is assessed by assertion, from intended use and the substance of outputs. A more auditable basis is what the generative component is architecturally permitted to write and to initiate. A component that cannot write to the record of fact, cannot close its own predictions, cannot initiate an irreversible action except through a deterministic gate, and cannot weigh a stop command is held at a declared activity level by construction, whatever its outputs say and however a conversation drifts. I call this arrangement a write-authority partition and define it by seven verifiable properties in the attachment. In ISO 14971:2019 terms (clause 7.1, Annex A.2.7.1) it is inherently safe design; most current GenAI guardrails are protective measures or information for safety.</w:t>
      </w:r>
    </w:p>
    <w:p>
      <w:r>
        <w:rPr>
          <w:color w:val="777777"/>
          <w:sz w:val="16"/>
        </w:rPr>
        <w:t xml:space="preserve">p003 · body  </w:t>
      </w:r>
      <w:r>
        <w:t>The comment is written to be read with others on this docket: 0052 (the test a safeguard must meet to count at stratification), 0054 (separating evidence from inference), 0100 (a deployer's request that architectural controls count as evidence), 0061 (field observations of self-authored device records), and 0076 and 0094 (opposing positions on postmarket reliance).</w:t>
      </w:r>
    </w:p>
    <w:p>
      <w:r>
        <w:rPr>
          <w:color w:val="777777"/>
          <w:sz w:val="16"/>
        </w:rPr>
        <w:t xml:space="preserve">p004 · body  </w:t>
      </w:r>
      <w:r>
        <w:t>Recommendations (Questions 1, 2, 5, 7, 9, 18–26): Treat the generative component's write authority as the basis on which activity-axis placement is claimed and verified.</w:t>
      </w:r>
    </w:p>
    <w:p>
      <w:r>
        <w:rPr>
          <w:color w:val="777777"/>
          <w:sz w:val="16"/>
        </w:rPr>
        <w:t xml:space="preserve">p005 · body  </w:t>
      </w:r>
      <w:r>
        <w:t>In S.3, distinguish computed from generated confidence and treat generated confidence presented as computed as a safety failure; add a Record Integrity benchmarking element verifying no write path from the component to the record of fact, that unmet predictions surface as failures, and that monitors are passive.</w:t>
      </w:r>
    </w:p>
    <w:p>
      <w:r>
        <w:rPr>
          <w:color w:val="777777"/>
          <w:sz w:val="16"/>
        </w:rPr>
        <w:t xml:space="preserve">p006 · body  </w:t>
      </w:r>
      <w:r>
        <w:t>Bind competency evidence to a build fingerprint over the whole deployed configuration; fingerprint change is the re-benchmarking trigger, including for third-party model changes.</w:t>
      </w:r>
    </w:p>
    <w:p>
      <w:r>
        <w:rPr>
          <w:color w:val="777777"/>
          <w:sz w:val="16"/>
        </w:rPr>
        <w:t xml:space="preserve">p007 · body  </w:t>
      </w:r>
      <w:r>
        <w:t>Postmarket reliance is defensible where the monitored record is honest by construction, and not otherwise; supervisory agents must satisfy the same partition and pass a passivity test.</w:t>
      </w:r>
    </w:p>
    <w:p>
      <w:r>
        <w:rPr>
          <w:color w:val="777777"/>
          <w:sz w:val="16"/>
        </w:rPr>
        <w:t xml:space="preserve">p008 · body  </w:t>
      </w:r>
      <w:r>
        <w:t>For agentic devices: gates on irreversible actions act on witnessed state, not the agent's account; acts are recorded with their consequences; stops are reflexes outside deliberation; the audit log is one the agent cannot write.</w:t>
      </w:r>
    </w:p>
    <w:p>
      <w:r>
        <w:rPr>
          <w:color w:val="777777"/>
          <w:sz w:val="16"/>
        </w:rPr>
        <w:t xml:space="preserve">p009 · body  </w:t>
      </w:r>
      <w:r>
        <w:t>Add a write-authority declaration to the model card, re-verified whenever the fingerprint changes.</w:t>
      </w:r>
    </w:p>
    <w:p>
      <w:r>
        <w:rPr>
          <w:color w:val="777777"/>
          <w:sz w:val="16"/>
        </w:rPr>
        <w:t xml:space="preserve">p010 · body  </w:t>
      </w:r>
      <w:r>
        <w:t>Limits are stated in the attachment: the partition protects the record, not the world; it does not reduce confabulation; it does not protect inputs to the deterministic layer; and it does not keep design documentation in step with the build.</w:t>
      </w:r>
    </w:p>
    <w:p>
      <w:r>
        <w:rPr>
          <w:color w:val="777777"/>
          <w:sz w:val="16"/>
        </w:rPr>
        <w:t xml:space="preserve">p011 · att1 p.1  </w:t>
      </w:r>
      <w:r>
        <w:t>Comment on Docket No. FDA-2026-N-7874 — Considerations for the Regulation of Generative AI-Enabled Medical Devices: Discussion Paper and Request for Feedback (CDRH, August 2026)</w:t>
      </w:r>
    </w:p>
    <w:p>
      <w:r>
        <w:rPr>
          <w:color w:val="777777"/>
          <w:sz w:val="16"/>
        </w:rPr>
        <w:t xml:space="preserve">p012 · att1 p.1  </w:t>
      </w:r>
      <w:r>
        <w:t>Submitted by: Nicholas P M (Nik) Baker, Chartered FCIPD Organisation: Synapstak Ltd, London, United Kingdom Submitted to: Dockets Management Staff (HFA-305), Food and Drug Administration, via https://www.regulations.gov Date: 28th September 2026</w:t>
      </w:r>
    </w:p>
    <w:p>
      <w:r>
        <w:rPr>
          <w:color w:val="777777"/>
          <w:sz w:val="16"/>
        </w:rPr>
        <w:t xml:space="preserve">p013 · att1 p.1  </w:t>
      </w:r>
      <w:r>
        <w:t>To the Center for Devices and Radiological Health: Thank you for the opportunity to comment. I am a learning-strategy and operationalexcellence consultant with three decades across regulated and safety-critical sectors, currently medical device manufacturing, and the founder of a small research company working on developmental learning in artificial agents. I comment on behalf of Synapstak Ltd and not for any client, on one topic only: architecture-level risk controls for fallible generative components. I do not comment on clinical questions, and nothing below claims that any control reduces a model's rate of confabulation. The claim is narrower and, I think, more useful to the framework the paper proposes: controls can bound where a fallible component's errors are able to land, and can make every error visible in a record the component cannot corrupt.</w:t>
      </w:r>
    </w:p>
    <w:p>
      <w:r>
        <w:rPr>
          <w:color w:val="777777"/>
          <w:sz w:val="16"/>
        </w:rPr>
        <w:t xml:space="preserve">p014 · att1 p.1  </w:t>
      </w:r>
      <w:r>
        <w:t>I have read the comments posted to this docket before submitting, and mine is written to be read with them. Several submissions have already identified, from different directions, the fault this comment addresses: Comment 0052 sets out the test a safeguard must meet before it can count at the risk-stratification stage; Comment 0054 proposes the architectural principle of separating recorded evidence from model-generated inference; Comment 0100, from a company operating a generative triage product at scale, asks that the evaluation framework recognise architectural risk controls as evidence in their own right; Comment 0061 reports field observations of what happens when a device's own account of its actions is the only record of them; and Comments 0076 and 0094 take opposing positions on how much weight postmarket monitoring can carry. Where I cite these I do so by docket number and in paraphrase, and I have tried to represent each as its author argues it. My contribution is a construction rather than a further diagnosis.</w:t>
      </w:r>
    </w:p>
    <w:p>
      <w:r>
        <w:rPr>
          <w:color w:val="777777"/>
          <w:sz w:val="16"/>
        </w:rPr>
        <w:t xml:space="preserve">p015 · att1 p.1  </w:t>
      </w:r>
      <w:r>
        <w:t>Part I identifies what the paper gets right and should keep. Part II offers recommendations, each tied to those strengths. Part III maps the recommendations to the numbered questions.</w:t>
      </w:r>
    </w:p>
    <w:p>
      <w:r>
        <w:rPr>
          <w:color w:val="777777"/>
          <w:sz w:val="16"/>
        </w:rPr>
        <w:t xml:space="preserve">p016 · att1 p.1  </w:t>
      </w:r>
      <w:r>
        <w:t>One idea runs through everything below. The paper assesses where a function sits on the activity axis by its intended use and by the substance of its outputs. There is a more auditable basis: what the generative component is architecturally permitted to write and to initiate. A component that cannot write to the record of fact, cannot close its own predictions, cannot initiate an irreversible action except through a deterministic gate, and cannot weigh a stop command is held at a declared activity level by construction, whatever its outputs say and however a conversation drifts. I call this arrangement a write-authority partition. In the terms of ISO 14971:2019, whose clause 7.1 orders risk control options as inherently safe design and manufacture first, protective measures in the device second, and information for safety third, and whose Annex A.2.7.1 explains that order on the ground that protective measures can fail or be circumvented and information may not be followed, the partition is a control of the first kind. Most current guardrails for generative components, prompting, output filtering, disclaimers, are of the second and third kinds.</w:t>
      </w:r>
    </w:p>
    <w:p>
      <w:r>
        <w:rPr>
          <w:color w:val="777777"/>
          <w:sz w:val="16"/>
        </w:rPr>
        <w:t xml:space="preserve">p017 · att1 p.2  </w:t>
      </w:r>
      <w:r>
        <w:t>Comment 0061 offers a measurement of exactly that ordering: a written rule naming a specific failure mode was in the assistant's working context when the same failure recurred less than four hours later, from which its author concludes that an acceptance criterion satisfiable by a system prompt or an operator policy should not be credited as satisfied. FDA's own guidance on benefit-risk in product availability, compliance and enforcement decisions (December 2016) asks the same question of any mitigation in Appendix D: whether it is a matter of design, labelling or training. The paper is right that labelling does not move a function on the activity axis. Design does.</w:t>
      </w:r>
    </w:p>
    <w:p>
      <w:r>
        <w:rPr>
          <w:color w:val="777777"/>
          <w:sz w:val="16"/>
        </w:rPr>
        <w:t xml:space="preserve">p018 · att1 p.2  </w:t>
      </w:r>
      <w:r>
        <w:t>Two levels should be kept apart throughout, as Comment 0052 urges: the regulatory stratification that sets the level of oversight for a defined device, and product-specific risk management under ISO 14971 across the lifecycle. The partition is relevant at both, and differently. At stratification it is a binding characteristic of the device that constrains what the function can do; in risk management it is a clause 7.1 control whose residual risks must themselves be assessed. Nothing below asks CDRH to credit a control the manufacturer merely intends to build.</w:t>
      </w:r>
    </w:p>
    <w:p>
      <w:r>
        <w:rPr>
          <w:color w:val="777777"/>
          <w:sz w:val="16"/>
        </w:rPr>
        <w:t xml:space="preserve">p019 · att1 p.2  </w:t>
      </w:r>
      <w:r>
        <w:t>Part I. What the discussion paper gets right — S1. The object of evaluation is the deployed configuration, not the model. Section V.A is explicit that the device as configured for real-world use is what is evaluated, and Section VII.A that a Foundation Model Master File would not authorise the underlying model for any intended use. Every recommendation below depends on this position; a control that lives in the harness can only be evaluated if the harness is what is evaluated.</w:t>
      </w:r>
    </w:p>
    <w:p>
      <w:r>
        <w:rPr>
          <w:color w:val="777777"/>
          <w:sz w:val="16"/>
        </w:rPr>
        <w:t xml:space="preserve">p020 · att1 p.2  </w:t>
      </w:r>
      <w:r>
        <w:t>S2. Directiveness is a matter of substance, and disclaimers do not reduce it. Section IV's positions that directiveness does not turn on words such as "recommend", and that a "talk to your doctor" statement does not make an output less directive, are correct. The same logic, run the other way, is the basis of Recommendation 1: what a function can do is fixed by its architecture, not by its wording, and architecture can be inspected.</w:t>
      </w:r>
    </w:p>
    <w:p>
      <w:r>
        <w:rPr>
          <w:color w:val="777777"/>
          <w:sz w:val="16"/>
        </w:rPr>
        <w:t xml:space="preserve">p021 · att1 p.2  </w:t>
      </w:r>
      <w:r>
        <w:t>S3. Risk is assessed across conversational trajectories. Section IV's treatment of migration from informational to action-directing over an exchange, and Appendix A's recognition in S.2 that a device can drift out of scope cumulatively, are the right way to think about boundaries. Recommendation 1 offers a way to make migration a recorded event rather than an emergent property.</w:t>
      </w:r>
    </w:p>
    <w:p>
      <w:r>
        <w:rPr>
          <w:color w:val="777777"/>
          <w:sz w:val="16"/>
        </w:rPr>
        <w:t xml:space="preserve">p022 · att1 p.2  </w:t>
      </w:r>
      <w:r>
        <w:t>S4. Adjudicators must be structurally independent, including when the adjudicator is an LLM. Section V.B.2 names the two most likely sources of bias, a sponsor grading its own device and a model grading its own outputs. Recommendation 2 extends the same principle to a model grading its own confidence.</w:t>
      </w:r>
    </w:p>
    <w:p>
      <w:r>
        <w:rPr>
          <w:color w:val="777777"/>
          <w:sz w:val="16"/>
        </w:rPr>
        <w:t xml:space="preserve">p023 · att1 p.2  </w:t>
      </w:r>
      <w:r>
        <w:t>S5. False confidence is a safety failure, and variation in safety-critical behaviour is a failure. Appendix A's S.3 treats presenting uncertain information with false confidence as a safety failure; R.1 treats variation in escalation, refusal or diagnostic conclusion across repeated runs as failure rather than noise. Both are right, and both are stronger as construction properties than as benchmark scores (Recommendations 2 and 3).</w:t>
      </w:r>
    </w:p>
    <w:p>
      <w:r>
        <w:rPr>
          <w:color w:val="777777"/>
          <w:sz w:val="16"/>
        </w:rPr>
        <w:t xml:space="preserve">p024 · att1 p.2  </w:t>
      </w:r>
      <w:r>
        <w:t>S6. The premarket benchmark is the baseline for re-benchmarking, and third-party model changes are named as a problem. Sections VI.C and VII.A recognise that a change to the underlying model may be initiated by a developer rather than the manufacturer. Recommendation 3 gives that problem a mechanical trigger.</w:t>
      </w:r>
    </w:p>
    <w:p>
      <w:r>
        <w:rPr>
          <w:color w:val="777777"/>
          <w:sz w:val="16"/>
        </w:rPr>
        <w:t xml:space="preserve">p025 · att1 p.3  </w:t>
      </w:r>
      <w:r>
        <w:t>S7. The paper is candid about postmarket reliance and about supervisory agents. Question 18 asks openly whether premarket uncertainty should be traded for postmarket monitoring, and Question 20 asks about the reliability of a machine-based supervisor rather than assuming it. Recommendation 4 takes both questions at their word.</w:t>
      </w:r>
    </w:p>
    <w:p>
      <w:r>
        <w:rPr>
          <w:color w:val="777777"/>
          <w:sz w:val="16"/>
        </w:rPr>
        <w:t xml:space="preserve">p026 · att1 p.3  </w:t>
      </w:r>
      <w:r>
        <w:t>Part II. Recommendations — The write-authority partition, defined once — The recommendations refer to a single arrangement with seven properties. Each is a property of construction, verifiable on the deployed configuration.</w:t>
      </w:r>
    </w:p>
    <w:p>
      <w:r>
        <w:rPr>
          <w:color w:val="777777"/>
          <w:sz w:val="16"/>
        </w:rPr>
        <w:t xml:space="preserve">p027 · att1 p.3  </w:t>
      </w:r>
      <w:r>
        <w:t>1. Records are partitioned by author. Witnessed outcomes, what the world, the sensor, the user or a downstream system actually returned, are written only by deterministic mechanisms from observed events. The generative component writes only proposals, predictions and derivations, to its own record. It never writes an outcome, and the two records are not merged. 2. The write path carries an honesty invariant. The record of fact cannot represent as confirmed anything not confirmed by a witnessed event. This is a guaranteed property of the recording mechanism, identical from the first step and verified by test; it is not a trained or prompted behaviour. 3. A prediction is closed only by a witnessed entry. A proposal is resolved as held or failed only against the record of fact, never against another proposal. An unmet prediction is recorded as failed and is never silently dropped. 4. Confidence is computed, not generated. Certainty about a thing is a reading over recorded outcomes concerning it; certainty about a rule rises when a prediction made from it holds and falls when one fails. Neither is a self-report by the model, and neither is fed back to the model as a bias toward its own best-supported belief. 5. Stops and irreversible-action gates are reflexes, not inputs. A stop command, a safety-envelope breach or an irreversible-action checkpoint is interpreted by a deterministic layer and executed without consulting the generative component. Each such intervention is logged in its own record. 6. Observation is shown to be passive. Any monitor is demonstrated, by running the same episode with and without it, to leave outcomes, timing and records identical. 7. Every run declares what it was made of. Each run carries a build fingerprint: a digest over every module its behaviour depends on, including model version, prompts, retrieval configuration, orchestration logic and gates. Runs with different fingerprints are different systems and are not compared on their numbers.</w:t>
      </w:r>
    </w:p>
    <w:p>
      <w:r>
        <w:rPr>
          <w:color w:val="777777"/>
          <w:sz w:val="16"/>
        </w:rPr>
        <w:t xml:space="preserve">p028 · att1 p.3  </w:t>
      </w:r>
      <w:r>
        <w:t>R1. Treat architectural containment as the operationalisation of the activity axis (Questions 1, 2, 5)</w:t>
      </w:r>
    </w:p>
    <w:p>
      <w:r>
        <w:rPr>
          <w:color w:val="777777"/>
          <w:sz w:val="16"/>
        </w:rPr>
        <w:t xml:space="preserve">p029 · att1 p.3  </w:t>
      </w:r>
      <w:r>
        <w:t>This follows from S1, S2 and S3. Comment 0076 (R1) argues that the two-axis framework measures the consequence of relying on an output but not the data flow that produced it. The same shape of gap exists on the other axis: the framework measures how directive an output is, but not what the component that produced it is permitted to do. Both are dimensions of what the device can do rather than what it says, and both are more stable than output wording. I recommend that CDRH treat the generative component's write authority, as defined above, as the basis on which activity-axis placement is claimed and verified. A component with no path to the record of fact and no path to action except through a deterministic gate cannot be action-taking, however its outputs read.</w:t>
      </w:r>
    </w:p>
    <w:p>
      <w:r>
        <w:rPr>
          <w:color w:val="777777"/>
          <w:sz w:val="16"/>
        </w:rPr>
        <w:t xml:space="preserve">p030 · att1 p.4  </w:t>
      </w:r>
      <w:r>
        <w:t>Comment 0052 supplies the test such a claim should have to meet. It proposes that a safeguard may be credited at the stratification stage only where it is already an inherent or binding part of the defined device or intended workflow, and that safeguards so credited should be defined, enforceable, verifiable, clinically realistic and maintained across the lifecycle; anticipated controls a manufacturer expects to add later should not reduce a device's initial criticality. The write-authority partition is designed to meet that test rather than to be exempted from it: each of the seven properties is a property of the deployed configuration, each is verifiable by a structural test (R2), and property 7 is what shows it has been maintained. Comment 0052's own factor list already includes traceability of an output to source information and the availability of independent review before reliance; a record the generative component cannot write is what makes both of those checkable rather than asserted. Comment 0054 argues the same separation as an architectural principle, keeping source evidence distinguishable from model-generated inference and placing deterministic safety controls beside the generative layer. I agree with that principle and propose the construction that enforces it: rather than a verification layer that checks outputs for improper conversion of inference into fact, an arrangement in which there is no write path by which inference can become recorded fact at all.</w:t>
      </w:r>
    </w:p>
    <w:p>
      <w:r>
        <w:rPr>
          <w:color w:val="777777"/>
          <w:sz w:val="16"/>
        </w:rPr>
        <w:t xml:space="preserve">p031 · att1 p.4  </w:t>
      </w:r>
      <w:r>
        <w:t>Comment 0100 makes the same case from a deployer's position, and with the framework's own vocabulary: it observes that GenAI-enabled devices differ fundamentally in where the generative component sits, describes a hybrid architecture in which deterministic, protocolanchored logic governs escalation and disposition while the model handles communication, and asks that R.1, S.2 and S.3 permit such properties to be demonstrated through architectural verification plus targeted testing rather than exhaustive sampling, which it calls a different and often stronger form of evidence rather than a lower bar. I agree, and the write-authority partition is complementary to that architecture rather than an alternative to it. Comment 0100 contains the clinical decision; the partition contains the record and the irreversible act. A device can have both, and a hybrid architecture inside the partition has deterministic dispositions and an honest account of what it did. What Comments 0052 and 0100 together leave open is the question this comment answers: if architectural controls are to count, what exactly must be verified. The seven properties and R2's tests are one answer. Under this arrangement multi-turn migration (Question 5) stops being emergent: a proposal that a gate refused is a logged event, risk across trajectories can be assessed on the record of refusals and interventions, and the intended use of a conversational device can be characterised by what its gates permit, which is fixed, rather than by what the model tends to say, which is not.</w:t>
      </w:r>
    </w:p>
    <w:p>
      <w:r>
        <w:rPr>
          <w:color w:val="777777"/>
          <w:sz w:val="16"/>
        </w:rPr>
        <w:t xml:space="preserve">p032 · att1 p.4  </w:t>
      </w:r>
      <w:r>
        <w:t>R2. Distinguish computed from generated confidence, and add a Record Integrity benchmarking element (Questions 7, 9)</w:t>
      </w:r>
    </w:p>
    <w:p>
      <w:r>
        <w:rPr>
          <w:color w:val="777777"/>
          <w:sz w:val="16"/>
        </w:rPr>
        <w:t xml:space="preserve">p033 · att1 p.4  </w:t>
      </w:r>
      <w:r>
        <w:t>This follows from S4 and S5. Comment 0076 (R5, the fourth break in the credentialing analogy) makes the essential observation: a model's expressed uncertainty is a generated output, as capable of confabulation as any other, and deferral should not be accepted as a safeguard on the strength of the device stating that it is uncertain. I agree, and I would go one step further than testing around the problem. A confidence value that is computed over recorded outcomes cannot represent evidence that does not exist, because there is nothing for it to be computed from; a confidence value the model generates can. I recommend that S.3 distinguish the two explicitly, and that generated confidence presented as if computed be treated as a distinct safety failure, in the same class as false confidence itself. Comment 0021 makes the case for why this matters beyond isolated outputs: it reports that these systems fail less through a single incorrect answer than through omission, harmful agreement with the user, and drift over months, and notes that a single upstream model change altered that behaviour across every product built on it. Agreement and drift are precisely what a computed reading cannot perform, because it is a function of what was recorded rather than of what the user appeared to want.</w:t>
      </w:r>
    </w:p>
    <w:p>
      <w:r>
        <w:rPr>
          <w:color w:val="777777"/>
          <w:sz w:val="16"/>
        </w:rPr>
        <w:t xml:space="preserve">p034 · att1 p.5  </w:t>
      </w:r>
      <w:r>
        <w:t>I also recommend a Record Integrity element under Generalizability, verifying on the deployed configuration that there is no path from the generative component to the record of fact, that unmet predictions surface as recorded failures, and that attached monitors are passive (property 6). These are structural tests. They scale, they do not depend on clinical scenario coverage, and they are the precondition for every other element being measured on an honest record. On R.1, reproducibility is largely a property of the harness rather than the model: with fixed seeds and a fixed fingerprint, identical episodes should return identical records, and that should be tested on the harness, separately from the model's own stochasticity.</w:t>
      </w:r>
    </w:p>
    <w:p>
      <w:r>
        <w:rPr>
          <w:color w:val="777777"/>
          <w:sz w:val="16"/>
        </w:rPr>
        <w:t xml:space="preserve">p035 · att1 p.5  </w:t>
      </w:r>
      <w:r>
        <w:t>R3. Bind competency evidence to a build fingerprint, and make fingerprint change the re-benchmarking trigger (Questions 22, 23, 24)</w:t>
      </w:r>
    </w:p>
    <w:p>
      <w:r>
        <w:rPr>
          <w:color w:val="777777"/>
          <w:sz w:val="16"/>
        </w:rPr>
        <w:t xml:space="preserve">p036 · att1 p.5  </w:t>
      </w:r>
      <w:r>
        <w:t>This follows from S1 and S6. Comment 0076 (R4, and its "identity and continuity" argument) is right that a credentialed device is a configuration that can be altered at any time, in every instance at once, without re-examination, and right to ask for version pinning, change notification and re-benchmarking before a new version reaches patients. What those measures need is a mechanical definition of "the same device". The build fingerprint (property 7) is that definition: any change to any module the device's behaviour depends on, including a change initiated by a third-party developer, produces a new fingerprint, which the manufacturer can detect without the developer's cooperation and which defines the point at which re-benchmarking against the premarket baseline is owed. This is not a new kind of control. FDA's draft guidance on AI-enabled device software functions (January 2025) already recommends cryptographic hashes as a data-integrity check; a fingerprint extends the same instrument from the data to the deployed configuration. On Question 22, the fingerprint also gives a principled split: changes that leave the gating and recording layers untouched are candidates for management within the quality system; changes that touch those layers are not, because they change what the component is permitted to do. Comments 0055 and 0100 set out the same requirement from the deploying side: fixed production versions, continuous version records, regression testing before migration, detection of unexpected behaviour changes, common log and version formats, and, in 0100's account of having once lost an upstream vendor outright, shadow-mode gating of new model versions against a prespecified regression battery and architectural containment that keeps safety-critical logic outside the third-party model so that upstream change becomes a bounded problem. The fingerprint's split of changes into those that touch the gating and recording layers and those that do not is that boundedness stated as a test. A fingerprint computed over the whole deployed configuration rather than the model alone is what makes those records complete, since a prompt or orchestration change with the model held constant is otherwise invisible to them.</w:t>
      </w:r>
    </w:p>
    <w:p>
      <w:r>
        <w:rPr>
          <w:color w:val="777777"/>
          <w:sz w:val="16"/>
        </w:rPr>
        <w:t xml:space="preserve">p037 · att1 p.6  </w:t>
      </w:r>
      <w:r>
        <w:t>R4. Postmarket monitoring requires a record the device cannot write, and supervisory agents must satisfy the same partition (Questions 18, 19, 20, 21)</w:t>
      </w:r>
    </w:p>
    <w:p>
      <w:r>
        <w:rPr>
          <w:color w:val="777777"/>
          <w:sz w:val="16"/>
        </w:rPr>
        <w:t xml:space="preserve">p038 · att1 p.6  </w:t>
      </w:r>
      <w:r>
        <w:t>This follows from S7, and it is where the docket divides. Comment 0094 argues that postmarket monitoring, not expanded premarket evidence, should be the primary mechanism for managing residual uncertainty, on the ground that a device which evolves after deployment is better tracked by continuous signal than by a point-in-time study, and at lower fixed cost to smaller innovators. Comment 0100 takes the same side with conditions: prespecified triggers for re-benchmarking, independent clinician adjudication of sampled real-world interactions, and premarket evidence remaining primary for actiontaking functions at high consequence. Comment 0076 (R2) argues the opposite, that surveillance is structurally weaker than the paper implies, because GenAI failure modes have no established reporting taxonomy, no detection method and no natural reporter, since the patient may never learn an output was wrong. Both are right about different things, and the disagreement resolves on a question neither addresses: what the monitoring reads.</w:t>
      </w:r>
    </w:p>
    <w:p>
      <w:r>
        <w:rPr>
          <w:color w:val="777777"/>
          <w:sz w:val="16"/>
        </w:rPr>
        <w:t xml:space="preserve">p039 · att1 p.6  </w:t>
      </w:r>
      <w:r>
        <w:t>A record built on properties 1 to 3 answers 0076's first two objections directly: a confabulation becomes a prediction closed as failed, a scope breach becomes a gate refusal, a safety intervention becomes an entry in the interventions record, and each is a countable event with a timestamp, whether or not any human noticed. That is a reporting taxonomy and a detection method, generated by the device as it runs. Comment 0061 shows what the alternative looks like in the field: where an agentic device writes persistent state about a user and reads it back in later sessions as established, with nothing comparing that state against source, the store becomes self-authored authority, and on direct audit every entry the system itself flagged as doubtful proved wrong. A monitoring programme reading such a store is reading the device's account of itself. So the position of 0094 and 0100 is sound where the record is honest by construction and unsafe where it is not, and I would put that, rather than device class alone, at the centre of the answer to Question 18. Comment 0100's own programme depends on it: sampled review of realworld interactions is review of a record, and its value turns on who was able to write that record. In the terms of FDA's 2016 benefit-risk guidance, this raises the detectability of a nonconformity, which that guidance lists as a risk factor in its own right. Accepting greater premarket uncertainty (Question 18) is defensible only where the record being monitored is honest by construction; monitoring a record the model can write to is monitoring the model's account of itself. I recommend that a device performance monitoring plan for a GenAI-enabled function, which the January 2025 draft guidance places in the Risk Management File within the Software Documentation section, state the write authority of every component that touches the monitored record.</w:t>
      </w:r>
    </w:p>
    <w:p>
      <w:r>
        <w:rPr>
          <w:color w:val="777777"/>
          <w:sz w:val="16"/>
        </w:rPr>
        <w:t xml:space="preserve">p040 · att1 p.6  </w:t>
      </w:r>
      <w:r>
        <w:t>On supervisory agents (Question 20), Comment 0076 (R9) is right that a supervisor is a generative system with the same failure modes as the device it supervises. The remedy is the same partition: a supervisory agent may read every record and may write nothing to the record of fact, and it must pass the passivity test (property 6) before its readings are admitted as postmarket evidence. Its reliability then becomes a question about a bounded component with a defined write authority, which is answerable. On Question 21, a record with these properties is also what lets clinicians and institutions contribute signal without absorbing accountability: they read a record the manufacturer remains responsible for.</w:t>
      </w:r>
    </w:p>
    <w:p>
      <w:r>
        <w:rPr>
          <w:color w:val="777777"/>
          <w:sz w:val="16"/>
        </w:rPr>
        <w:t xml:space="preserve">p041 · att1 p.7  </w:t>
      </w:r>
      <w:r>
        <w:t>R5. For agentic devices, gate irreversible actions on witnessed state, log acts with their consequences, and keep stops outside the agent's deliberation (Question 26)</w:t>
      </w:r>
    </w:p>
    <w:p>
      <w:r>
        <w:rPr>
          <w:color w:val="777777"/>
          <w:sz w:val="16"/>
        </w:rPr>
        <w:t xml:space="preserve">p042 · att1 p.7  </w:t>
      </w:r>
      <w:r>
        <w:t>This follows from S3. Comment 0076 (R9) asks for a human checkpoint before any irreversible action, an immutable audit log of every action and its inputs, and a hard boundary on tools. Comment 0054 proposes that agentic systems be regulated by their authority to act, with graduated controls and audit requirements as autonomy rises, which is the same idea stated as a scale. I support both and add three conditions that make them hold. The audit log must be one the agent cannot write, or it is the agent's account of what it did. Comment 0061 makes this concrete: in an agentic device the human sees a summary of a sequence, the intermediate steps are observable only through the device's own report, and once the session ends that report is the only surviving trace; where the report is unreliable, every postmarket mechanism in Section VI is reading an instrument that is not connected to what it is meant to measure, and would continue to return normal results. Irreversible-action gates must act on witnessed state from the record of fact, not on the agent's own account of the task, because an agent that can treat a predicted intermediate result as a recorded one can build an entire action sequence on things that never happened. And the record should hold each act paired with its witnessed consequence, so that later planning draws on recorded act-consequence pairs rather than on the agent's beliefs about what its actions do. Stops remain reflexes (property 5): interpreted by a deterministic layer, not inputs the agent can weigh, negotiate or learn its way around.</w:t>
      </w:r>
    </w:p>
    <w:p>
      <w:r>
        <w:rPr>
          <w:color w:val="777777"/>
          <w:sz w:val="16"/>
        </w:rPr>
        <w:t xml:space="preserve">p043 · att1 p.7  </w:t>
      </w:r>
      <w:r>
        <w:t>R6. Declare write authority on the model card (Questions 9, 25) — This follows from S1. The January 2025 draft guidance proposes a model card (Appendix E) and transparency design considerations (Appendix B) for AI-enabled device software functions, and Comment 0076 (R3) argues that a model card for a marketed device should be public, since characterised limitations are labelling rather than trade secret. I recommend one addition to the model card for any GenAI-enabled function: a field declaring the generative component's write authority, stating what it can write and initiate and what it cannot, and naming the deterministic mechanisms that hold the rest. This makes the partition auditable through an instrument FDA has already proposed, at the cost of a few lines, and it is the piece of information a reviewer, a clinician or a patient would most want when deciding how far to rely on an output. One condition follows from R3: the declaration is a claim about a particular configuration, and it should be re-verified against the deployed build whenever the fingerprint changes, using the Record Integrity tests of R2, rather than carried forward as a standing statement.</w:t>
      </w:r>
    </w:p>
    <w:p>
      <w:r>
        <w:rPr>
          <w:color w:val="777777"/>
          <w:sz w:val="16"/>
        </w:rPr>
        <w:t xml:space="preserve">p044 · att1 p.7  </w:t>
      </w:r>
      <w:r>
        <w:t>What the partition does not do — ISO 14971:2019 clause 7.5 requires that risks arising from a risk control measure be assessed, and this control has them. The partition does not reduce the rate of confabulation; the generative component remains as fallible and as opaque per decision as it was. It protects the record, not the world: a wrong proposal that passes a gate still acts, and the partition's contribution is that the outcome is witnessed and the prediction is marked failed. It does not protect the inputs to the deterministic layer from corruption, which is a cybersecurity problem in its own right and should be treated under the existing premarket cybersecurity guidance. And it does not keep design documentation in step with the build: the fingerprint binds the record to the software that produced it, not the design history to that software, and a configuration can pass every structural test while the documents describing it have silently gone stale. That is a documentation discipline, not a property of the partition, and it is why R6's declaration must be re-verified rather than trusted. It is one control among several, placed first in the clause 7.1 order because it is a property of design, and it should be evaluated as such and not as a guarantee.</w:t>
      </w:r>
    </w:p>
    <w:p>
      <w:r>
        <w:rPr>
          <w:color w:val="777777"/>
          <w:sz w:val="16"/>
        </w:rPr>
        <w:t xml:space="preserve">p045 · att1 p.8  </w:t>
      </w:r>
      <w:r>
        <w:t>Evidence — The properties above were developed in a small pre-registered research programme in which a simple learning agent, not a language model and not a medical device, operates inside this arrangement in a simulated environment. The programme is not clinical and makes no clinical claim; it is offered as a worked example that the partition can be constructed and tested end to end with a model-agnostic component in the fallible slot.</w:t>
      </w:r>
    </w:p>
    <w:p>
      <w:r>
        <w:rPr>
          <w:color w:val="777777"/>
          <w:sz w:val="16"/>
        </w:rPr>
        <w:t xml:space="preserve">p046 · att1 p.8  </w:t>
      </w:r>
      <w:r>
        <w:t>Part of that record is public. An integration audit of the programme's first fourteen iterations (Baker, 2026, preprint, DOI 10.5281/zenodo.20084997; code, pre-registrations and batch outputs at github.com/RancidShack/developmental-agent under the MIT licence) verifies three of the properties directly: identical runs at matched seeds, identical records with the recorder on and off, and pre-registration before code. The remaining properties have been built and verified in subsequent iterations of the same programme that are not yet published. Documentation of those is available to CDRH on request.</w:t>
      </w:r>
    </w:p>
    <w:p>
      <w:r>
        <w:rPr>
          <w:color w:val="777777"/>
          <w:sz w:val="16"/>
        </w:rPr>
        <w:t xml:space="preserve">p047 · att1 p.8  </w:t>
      </w:r>
      <w:r>
        <w:t>Part III. Cross-reference to discussion questions — Question(s) Topic Addressed in — 1, 2 Additional risk dimensions; directiveness continuum R1</w:t>
      </w:r>
    </w:p>
    <w:p>
      <w:r>
        <w:rPr>
          <w:color w:val="777777"/>
          <w:sz w:val="16"/>
        </w:rPr>
        <w:t xml:space="preserve">p048 · att1 p.8  </w:t>
      </w:r>
      <w:r>
        <w:t>5 Multi-turn trajectories R1 — 7, 9 Competency-based approach; benchmarking elements (S.3, R.1, Record Integrity) R2</w:t>
      </w:r>
    </w:p>
    <w:p>
      <w:r>
        <w:rPr>
          <w:color w:val="777777"/>
          <w:sz w:val="16"/>
        </w:rPr>
        <w:t xml:space="preserve">p049 · att1 p.8  </w:t>
      </w:r>
      <w:r>
        <w:t>18, 19 Premarket versus postmarket balance; monitoring approaches R4 — 20 Machine-based supervisory agents R4</w:t>
      </w:r>
    </w:p>
    <w:p>
      <w:r>
        <w:rPr>
          <w:color w:val="777777"/>
          <w:sz w:val="16"/>
        </w:rPr>
        <w:t xml:space="preserve">p050 · att1 p.8  </w:t>
      </w:r>
      <w:r>
        <w:t>21 Ecosystem roles without diffusing accountability R4 — 22, 23, 24 Postmarket modifications; PCCPs; third-party model changes R3</w:t>
      </w:r>
    </w:p>
    <w:p>
      <w:r>
        <w:rPr>
          <w:color w:val="777777"/>
          <w:sz w:val="16"/>
        </w:rPr>
        <w:t xml:space="preserve">p051 · att1 p.8  </w:t>
      </w:r>
      <w:r>
        <w:t>25 Foundation Model Master Files; model cards R6 — 26 Agentic systems R5</w:t>
      </w:r>
    </w:p>
    <w:p>
      <w:r>
        <w:rPr>
          <w:color w:val="777777"/>
          <w:sz w:val="16"/>
        </w:rPr>
        <w:t xml:space="preserve">p052 · att1 p.8  </w:t>
      </w:r>
      <w:r>
        <w:t>Closing — The paper's strongest commitments, evaluating the deployed configuration, refusing to let wording stand in for substance, assessing risk across trajectories, and asking honestly what postmarket reliance would require, all point the same way: toward controls that are properties of the device as built, verifiable on the device as built, and independent of what the model says about itself. Several comments on this docket have converged on that direction from different starting points, and I read the write-authority partition as the construction they imply: a test for crediting a safeguard, a principle of separating evidence from inference, a deployer's request that architecture count as evidence, a field record of what follows when the separation is absent, and a condition under which postmarket reliance is defensible. The control itself is not new in kind; it is what ISO 14971 has asked for first since before generative AI existed. I would be glad to discuss any of this with CDRH staff.</w:t>
      </w:r>
    </w:p>
    <w:p>
      <w:r>
        <w:rPr>
          <w:color w:val="777777"/>
          <w:sz w:val="16"/>
        </w:rPr>
        <w:t xml:space="preserve">p053 · att1 p.9  </w:t>
      </w:r>
      <w:r>
        <w:t>Respectfully submitted,</w:t>
      </w:r>
    </w:p>
    <w:p>
      <w:r>
        <w:rPr>
          <w:color w:val="777777"/>
          <w:sz w:val="16"/>
        </w:rPr>
        <w:t xml:space="preserve">p054 · att1 p.9  </w:t>
      </w:r>
      <w:r>
        <w:t>Nicholas P M Baker Synapstak Ltd</w:t>
      </w:r>
    </w:p>
    <w:p>
      <w:pPr>
        <w:pStyle w:val="Heading1"/>
        <w:pageBreakBefore/>
      </w:pPr>
      <w:r>
        <w:t>FDA-2026-N-7874-0128</w:t>
      </w:r>
    </w:p>
    <w:p>
      <w:r>
        <w:t>Comment from Tianrui Huang</w:t>
      </w:r>
    </w:p>
    <w:p>
      <w:r>
        <w:rPr>
          <w:color w:val="777777"/>
          <w:sz w:val="18"/>
        </w:rPr>
        <w:t>Device Industry - C0012 · received 2026-09-28 · attachments: attachment_1.pdf (3 pp)</w:t>
      </w:r>
    </w:p>
    <w:p>
      <w:r>
        <w:rPr>
          <w:color w:val="777777"/>
          <w:sz w:val="16"/>
        </w:rPr>
        <w:t xml:space="preserve">p001 · body  </w:t>
      </w:r>
      <w:r>
        <w:t>I am a developer of AI-powered virtual reality (VR) software (software as an investigational device) for clinical exposure-based therapy delivery. The comments below are offered from my perspective and not as my company, which is a sponsor developing a generative AI-enabled VR platform used by clinicians to create exposure-based therapeutic content (e.g., objects, environments, AI-voiced avatars) for anxiety and OCD-spectrum disorders. I appreciate CDRH's early engagement on this topic and offer the following responses to selected discussion questions where my experience raises considerations I believe are not yet fully captured in the paper.</w:t>
      </w:r>
    </w:p>
    <w:p>
      <w:r>
        <w:rPr>
          <w:color w:val="777777"/>
          <w:sz w:val="16"/>
        </w:rPr>
        <w:t xml:space="preserve">p002 · att1 p.1  </w:t>
      </w:r>
      <w:r>
        <w:t>Comments on FDA-2026-N-7874: "Considerations for the Regulation of Generative AI-Enabled Medical Devices: Discussion Paper and Request for Feedback"</w:t>
      </w:r>
    </w:p>
    <w:p>
      <w:r>
        <w:rPr>
          <w:color w:val="777777"/>
          <w:sz w:val="16"/>
        </w:rPr>
        <w:t xml:space="preserve">p003 · att1 p.1  </w:t>
      </w:r>
      <w:r>
        <w:t>Submitted by: Tianrui Huang, a developer of AI-powered virtual reality (VR) software (software as an investigational device) for clinical exposure-based therapy delivery.</w:t>
      </w:r>
    </w:p>
    <w:p>
      <w:r>
        <w:rPr>
          <w:color w:val="777777"/>
          <w:sz w:val="16"/>
        </w:rPr>
        <w:t xml:space="preserve">p004 · att1 p.1  </w:t>
      </w:r>
      <w:r>
        <w:t>The comments below are offered from my perspective and not as my company, which is a sponsor developing a generative AI-enabled VR platform used by clinicians to create exposure-based therapeutic content (e.g., objects, environments, AI-voiced avatars) for anxiety and OCD-spectrum disorders. I appreciate CDRH's early engagement on this topic and offer the following responses to selected discussion questions where my experience raises considerations I believe are not yet fully captured in the paper.</w:t>
      </w:r>
    </w:p>
    <w:p>
      <w:r>
        <w:rPr>
          <w:color w:val="777777"/>
          <w:sz w:val="16"/>
        </w:rPr>
        <w:t xml:space="preserve">p005 · att1 p.1  </w:t>
      </w:r>
      <w:r>
        <w:t>Response to Question 2 (directiveness of informational functions) — In my system, developed with clinicians, the clinician prompts the generative AI to create specific exposure scenarios to trigger the patient before the patient is exposed to the generative output of the AI. The information output is better characterized as clinician-directed content generation and not a device-initiated recommendation to the patient. The clinician remains in full control at all times as the point of clinical judgment, with the clinician deciding what the AI generates based on the clinical prompt, and then the clinician reviews the generated content as appropriate or not for the specific patient before it is shown to the patient.</w:t>
      </w:r>
    </w:p>
    <w:p>
      <w:r>
        <w:rPr>
          <w:color w:val="777777"/>
          <w:sz w:val="16"/>
        </w:rPr>
        <w:t xml:space="preserve">p006 · att1 p.1  </w:t>
      </w:r>
      <w:r>
        <w:t>I would suggest CDRH's framework to distinguish devices where the clinician is the recipient and approver of a directive output from generative AI from devices where directive output directly reaches the patient, without a clinician in between as the intervening clinical decision point. The presence and timing of this clinician review step, where a clinician previews and approves each generation before patient exposure, should sit lower on the activity axis than one that generates and delivers generative output content autonomously.</w:t>
      </w:r>
    </w:p>
    <w:p>
      <w:r>
        <w:rPr>
          <w:color w:val="777777"/>
          <w:sz w:val="16"/>
        </w:rPr>
        <w:t xml:space="preserve">p007 · att1 p.1  </w:t>
      </w:r>
      <w:r>
        <w:t>Response to Question 4 (generalist vs. specialist HCP-facing) — Incorporating specialist-scope limitation into risk assessment for HCP-facing functions is important, as devices intended for trained clinicians in a defined modality (such as exposure and response prevention - ERP) rather than any licensed mental health clinician have a materially different risk profile than a general-use clinical tool. The specialist’s training allows them to supply contextual judgement (such as calibration of exposure intensity) that a device is not independently responsible for. It would be important for CDRH to allow sponsors to define and restrict user populations by modality-specific training or credentialing, with labeling and access controls as a mitigation, as they can allow for the lowering of a device's risk tier, rather than treating all HCP-facing functions as a single undifferentiated category.</w:t>
      </w:r>
    </w:p>
    <w:p>
      <w:r>
        <w:rPr>
          <w:color w:val="777777"/>
          <w:sz w:val="16"/>
        </w:rPr>
        <w:t xml:space="preserve">p008 · att1 p.2  </w:t>
      </w:r>
      <w:r>
        <w:t>Response to Question 9 (benchmarking structure adequacy) — The four proposed categories (Safety, Clinical Proficiency, Generalizability, Agentic) implicitly assume that provoking distress, anxiety, or negative affect in the patient is itself a safety failure to be minimized. But for device categories whose intended therapeutic mechanism is the controlled generation of distress-inducing content, such as AI-generated exposure scenarios for anxiety and OCD-spectrum disorders, this assumption doesn't hold.S.1 to S.3, as currently framed, would misclassify correctly functioning devices as unsafe.</w:t>
      </w:r>
    </w:p>
    <w:p>
      <w:r>
        <w:rPr>
          <w:color w:val="777777"/>
          <w:sz w:val="16"/>
        </w:rPr>
        <w:t xml:space="preserve">p009 · att1 p.2  </w:t>
      </w:r>
      <w:r>
        <w:t>I would recommend either: (A) A distinct benchmarking sub-element such as "therapeutic calibration," evaluating whether generated content produces intensity appropriate to the prescribed exposure hierarchy and patient tolerance, as opposed to either under-triggering (therapeutically inert) or over-triggering (harmful, retraumatizing)​ (B) Explicit guidance that S.1–S.3 be reinterpreted per-device based on the sponsor's stated therapeutic mechanism, with acceptance criteria defined against the intended intensity profile rather than a universal "avoid distress" baseline.</w:t>
      </w:r>
    </w:p>
    <w:p>
      <w:r>
        <w:rPr>
          <w:color w:val="777777"/>
          <w:sz w:val="16"/>
        </w:rPr>
        <w:t xml:space="preserve">p010 · att1 p.2  </w:t>
      </w:r>
      <w:r>
        <w:t>Response to Question 12 (combining benchmarking and clinical confirmation) — I would urge CDRH to add flexibility to this framework for small and early-stage sponsors, such as academic-affiliated development teams, which may not be able to support separate benchmarking and clinical confirmation evidence tracks.</w:t>
      </w:r>
    </w:p>
    <w:p>
      <w:r>
        <w:rPr>
          <w:color w:val="777777"/>
          <w:sz w:val="16"/>
        </w:rPr>
        <w:t xml:space="preserve">p011 · att1 p.2  </w:t>
      </w:r>
      <w:r>
        <w:t>A prospective feasibility-stage clinical study, using validated, standardized clinical outcome measures appropriate to the therapeutic area, should, where the study design and endpoints are prespecified with appropriate rigor, be permitted to serve double duty: generating both clinical confirmation evidence and benchmarking-equivalent performance data. Requiring fully independent evidence-generation efforts for both tracks risks concentrating generative AI medical device development among only the largest, best-capitalized sponsors, and would disadvantage precisely the academic and early-stage innovators who are often first to explore novel clinical applications of this technology. A combined evidence pathway, scaled to the device's risk tier, would better serve CDRH's stated least-burdensome principle without compromising on evidentiary rigor.</w:t>
      </w:r>
    </w:p>
    <w:p>
      <w:r>
        <w:rPr>
          <w:color w:val="777777"/>
          <w:sz w:val="16"/>
        </w:rPr>
        <w:t xml:space="preserve">p012 · att1 p.2  </w:t>
      </w:r>
      <w:r>
        <w:t>Response to Question 17 (novel architectures, generalizability of competency-based approach) — An important distinction for CDRH to note is generative AI systems that produce output (text, image, audio, 3D/VR environments, avatar behavior) from predictive or generative world models that simulate or forecast environmental state dynamics, commonly called World Models. These AI models are architecturally and functionally distinct, as content-generation device central risks are the appropriateness, calibration, and safety of what it produces in response to a clinical prompt, evaluated primarily through the Safety and Clinical Proficiency elements described in Section V.B. For a world-model device, the central risk surface is the fidelity and reliability of its predictive/simulated dynamics over time, which is evaluated more likely through the Generalizability and Robustness elements (R.1–R.2) and may warrant benchmarking approaches closer to those used for predictive AI-enabled devices generally.</w:t>
      </w:r>
    </w:p>
    <w:p>
      <w:r>
        <w:rPr>
          <w:color w:val="777777"/>
          <w:sz w:val="16"/>
        </w:rPr>
        <w:t xml:space="preserve">p013 · att1 p.3  </w:t>
      </w:r>
      <w:r>
        <w:t>Treating both under a single "generative AI" umbrella risks either over-specifying evaluation requirements for content-generation devices (importing world-model-style dynamic validity testing where it doesn't apply) or under-specifying them for world models (importing content-appropriateness benchmarks that don't capture predictive fidelity risk). The competency-based framework would benefit from including an explicit branching point distinguishing these two categories before benchmarking elements are selected.</w:t>
      </w:r>
    </w:p>
    <w:p>
      <w:pPr>
        <w:pStyle w:val="Heading1"/>
        <w:pageBreakBefore/>
      </w:pPr>
      <w:r>
        <w:t>FDA-2026-N-7874-0129</w:t>
      </w:r>
    </w:p>
    <w:p>
      <w:r>
        <w:t>Comment from Tianrui Huang</w:t>
      </w:r>
    </w:p>
    <w:p>
      <w:r>
        <w:rPr>
          <w:color w:val="777777"/>
          <w:sz w:val="18"/>
        </w:rPr>
        <w:t>Device Industry - C0012 · received 2026-09-28 · attachments: attachment_1.pdf (3 pp)</w:t>
      </w:r>
    </w:p>
    <w:p>
      <w:r>
        <w:rPr>
          <w:color w:val="777777"/>
          <w:sz w:val="16"/>
        </w:rPr>
        <w:t xml:space="preserve">p001 · body  </w:t>
      </w:r>
      <w:r>
        <w:t>I am a developer of AI-powered virtual reality (VR) software (software as an investigational device) for clinical exposure-based therapy delivery. The comments below are offered from my perspective and not as my company Yellow XR Inc., which is a sponsor developing a generative AI-enabled VR platform used by clinicians to create exposure-based therapeutic content (e.g., objects, environments, AI-voiced avatars) for anxiety and OCD-spectrum disorders.</w:t>
      </w:r>
    </w:p>
    <w:p>
      <w:r>
        <w:rPr>
          <w:color w:val="777777"/>
          <w:sz w:val="16"/>
        </w:rPr>
        <w:t xml:space="preserve">p002 · body  </w:t>
      </w:r>
      <w:r>
        <w:t>I appreciate CDRH's early engagement on this topic and offer the following responses to selected discussion questions where my experience raises considerations I believe are not yet fully captured in the paper.</w:t>
      </w:r>
    </w:p>
    <w:p>
      <w:r>
        <w:rPr>
          <w:color w:val="777777"/>
          <w:sz w:val="16"/>
        </w:rPr>
        <w:t xml:space="preserve">p003 · att1 p.1  </w:t>
      </w:r>
      <w:r>
        <w:t>Comments on FDA-2026-N-7874: "Considerations for the Regulation of Generative AI-Enabled Medical Devices: Discussion Paper and Request for Feedback"</w:t>
      </w:r>
    </w:p>
    <w:p>
      <w:r>
        <w:rPr>
          <w:color w:val="777777"/>
          <w:sz w:val="16"/>
        </w:rPr>
        <w:t xml:space="preserve">p004 · att1 p.1  </w:t>
      </w:r>
      <w:r>
        <w:t>Submitted by: Tianrui Huang, a developer of AI-powered virtual reality (VR) software (software as an investigational device) for clinical exposure-based therapy delivery.</w:t>
      </w:r>
    </w:p>
    <w:p>
      <w:r>
        <w:rPr>
          <w:color w:val="777777"/>
          <w:sz w:val="16"/>
        </w:rPr>
        <w:t xml:space="preserve">p005 · att1 p.1  </w:t>
      </w:r>
      <w:r>
        <w:t>The comments below are offered from my perspective and not as my company, which is a sponsor developing a generative AI-enabled VR platform used by clinicians to create exposure-based therapeutic content (e.g., objects, environments, AI-voiced avatars) for anxiety and OCD-spectrum disorders. I appreciate CDRH's early engagement on this topic and offer the following responses to selected discussion questions where my experience raises considerations I believe are not yet fully captured in the paper.</w:t>
      </w:r>
    </w:p>
    <w:p>
      <w:r>
        <w:rPr>
          <w:color w:val="777777"/>
          <w:sz w:val="16"/>
        </w:rPr>
        <w:t xml:space="preserve">p006 · att1 p.1  </w:t>
      </w:r>
      <w:r>
        <w:t>Response to Question 2 (directiveness of informational functions) — In my system, developed with clinicians, the clinician prompts the generative AI to create specific exposure scenarios to trigger the patient before the patient is exposed to the generative output of the AI. The information output is better characterized as clinician-directed content generation and not a device-initiated recommendation to the patient. The clinician remains in full control at all times as the point of clinical judgment, with the clinician deciding what the AI generates based on the clinical prompt, and then the clinician reviews the generated content as appropriate or not for the specific patient before it is shown to the patient.</w:t>
      </w:r>
    </w:p>
    <w:p>
      <w:r>
        <w:rPr>
          <w:color w:val="777777"/>
          <w:sz w:val="16"/>
        </w:rPr>
        <w:t xml:space="preserve">p007 · att1 p.1  </w:t>
      </w:r>
      <w:r>
        <w:t>I would suggest CDRH's framework to distinguish devices where the clinician is the recipient and approver of a directive output from generative AI from devices where directive output directly reaches the patient, without a clinician in between as the intervening clinical decision point. The presence and timing of this clinician review step, where a clinician previews and approves each generation before patient exposure, should sit lower on the activity axis than one that generates and delivers generative output content autonomously.</w:t>
      </w:r>
    </w:p>
    <w:p>
      <w:r>
        <w:rPr>
          <w:color w:val="777777"/>
          <w:sz w:val="16"/>
        </w:rPr>
        <w:t xml:space="preserve">p008 · att1 p.1  </w:t>
      </w:r>
      <w:r>
        <w:t>Response to Question 4 (generalist vs. specialist HCP-facing) — Incorporating specialist-scope limitation into risk assessment for HCP-facing functions is important, as devices intended for trained clinicians in a defined modality (such as exposure and response prevention - ERP) rather than any licensed mental health clinician have a materially different risk profile than a general-use clinical tool. The specialist’s training allows them to supply contextual judgement (such as calibration of exposure intensity) that a device is not independently responsible for. It would be important for CDRH to allow sponsors to define and restrict user populations by modality-specific training or credentialing, with labeling and access controls as a mitigation, as they can allow for the lowering of a device's risk tier, rather than treating all HCP-facing functions as a single undifferentiated category.</w:t>
      </w:r>
    </w:p>
    <w:p>
      <w:r>
        <w:rPr>
          <w:color w:val="777777"/>
          <w:sz w:val="16"/>
        </w:rPr>
        <w:t xml:space="preserve">p009 · att1 p.2  </w:t>
      </w:r>
      <w:r>
        <w:t>Response to Question 9 (benchmarking structure adequacy) — The four proposed categories (Safety, Clinical Proficiency, Generalizability, Agentic) implicitly assume that provoking distress, anxiety, or negative affect in the patient is itself a safety failure to be minimized. But for device categories whose intended therapeutic mechanism is the controlled generation of distress-inducing content, such as AI-generated exposure scenarios for anxiety and OCD-spectrum disorders, this assumption doesn't hold.S.1 to S.3, as currently framed, would misclassify correctly functioning devices as unsafe.</w:t>
      </w:r>
    </w:p>
    <w:p>
      <w:r>
        <w:rPr>
          <w:color w:val="777777"/>
          <w:sz w:val="16"/>
        </w:rPr>
        <w:t xml:space="preserve">p010 · att1 p.2  </w:t>
      </w:r>
      <w:r>
        <w:t>I would recommend either: (A) A distinct benchmarking sub-element such as "therapeutic calibration," evaluating whether generated content produces intensity appropriate to the prescribed exposure hierarchy and patient tolerance, as opposed to either under-triggering (therapeutically inert) or over-triggering (harmful, retraumatizing)​ (B) Explicit guidance that S.1–S.3 be reinterpreted per-device based on the sponsor's stated therapeutic mechanism, with acceptance criteria defined against the intended intensity profile rather than a universal "avoid distress" baseline.</w:t>
      </w:r>
    </w:p>
    <w:p>
      <w:r>
        <w:rPr>
          <w:color w:val="777777"/>
          <w:sz w:val="16"/>
        </w:rPr>
        <w:t xml:space="preserve">p011 · att1 p.2  </w:t>
      </w:r>
      <w:r>
        <w:t>Response to Question 12 (combining benchmarking and clinical confirmation) — I would urge CDRH to add flexibility to this framework for small and early-stage sponsors, such as academic-affiliated development teams, which may not be able to support separate benchmarking and clinical confirmation evidence tracks.</w:t>
      </w:r>
    </w:p>
    <w:p>
      <w:r>
        <w:rPr>
          <w:color w:val="777777"/>
          <w:sz w:val="16"/>
        </w:rPr>
        <w:t xml:space="preserve">p012 · att1 p.2  </w:t>
      </w:r>
      <w:r>
        <w:t>A prospective feasibility-stage clinical study, using validated, standardized clinical outcome measures appropriate to the therapeutic area, should, where the study design and endpoints are prespecified with appropriate rigor, be permitted to serve double duty: generating both clinical confirmation evidence and benchmarking-equivalent performance data. Requiring fully independent evidence-generation efforts for both tracks risks concentrating generative AI medical device development among only the largest, best-capitalized sponsors, and would disadvantage precisely the academic and early-stage innovators who are often first to explore novel clinical applications of this technology. A combined evidence pathway, scaled to the device's risk tier, would better serve CDRH's stated least-burdensome principle without compromising on evidentiary rigor.</w:t>
      </w:r>
    </w:p>
    <w:p>
      <w:r>
        <w:rPr>
          <w:color w:val="777777"/>
          <w:sz w:val="16"/>
        </w:rPr>
        <w:t xml:space="preserve">p013 · att1 p.2  </w:t>
      </w:r>
      <w:r>
        <w:t>Response to Question 17 (novel architectures, generalizability of competency-based approach) — An important distinction for CDRH to note is generative AI systems that produce output (text, image, audio, 3D/VR environments, avatar behavior) from predictive or generative world models that simulate or forecast environmental state dynamics, commonly called World Models. These AI models are architecturally and functionally distinct, as content-generation device central risks are the appropriateness, calibration, and safety of what it produces in response to a clinical prompt, evaluated primarily through the Safety and Clinical Proficiency elements described in Section V.B. For a world-model device, the central risk surface is the fidelity and reliability of its predictive/simulated dynamics over time, which is evaluated more likely through the Generalizability and Robustness elements (R.1–R.2) and may warrant benchmarking approaches closer to those used for predictive AI-enabled devices generally.</w:t>
      </w:r>
    </w:p>
    <w:p>
      <w:r>
        <w:rPr>
          <w:color w:val="777777"/>
          <w:sz w:val="16"/>
        </w:rPr>
        <w:t xml:space="preserve">p014 · att1 p.3  </w:t>
      </w:r>
      <w:r>
        <w:t>Treating both under a single "generative AI" umbrella risks either over-specifying evaluation requirements for content-generation devices (importing world-model-style dynamic validity testing where it doesn't apply) or under-specifying them for world models (importing content-appropriateness benchmarks that don't capture predictive fidelity risk). The competency-based framework would benefit from including an explicit branching point distinguishing these two categories before benchmarking elements are selected.</w:t>
      </w:r>
    </w:p>
    <w:p>
      <w:pPr>
        <w:pStyle w:val="Heading1"/>
        <w:pageBreakBefore/>
      </w:pPr>
      <w:r>
        <w:t>FDA-2026-N-7874-0130</w:t>
      </w:r>
    </w:p>
    <w:p>
      <w:r>
        <w:t>Comment from Skovos</w:t>
      </w:r>
    </w:p>
    <w:p>
      <w:r>
        <w:rPr>
          <w:color w:val="777777"/>
          <w:sz w:val="18"/>
        </w:rPr>
        <w:t>Private Industry - C0003 · received 2026-09-29 · attachments: attachment_1.pdf (3 pp)</w:t>
      </w:r>
    </w:p>
    <w:p>
      <w:r>
        <w:rPr>
          <w:color w:val="777777"/>
          <w:sz w:val="16"/>
        </w:rPr>
        <w:t xml:space="preserve">p001 · body  </w:t>
      </w:r>
      <w:r>
        <w:t>Comment of Skovos on FDA-2026-N-7874, Considerations for the Regulation of Generative AI-Enabled Medical Devices. Skovos builds governance tooling that hospitals and clinics use to run AI tools and AI agents after they go live. Our comment responds to Questions 18 through 22, 24, and 26 on postmarket monitoring, change control, and agentic devices, from the deploying institution's point of view. In short: a generative AI device is safe in use only where the institution can list it, limit it, log it, and stop it. We recommend the Center name those four capabilities (an inventory, written permissions checked at the time of action, an audit trail the institution owns, and an institution-controlled stop) as expectations for postmarket monitoring, and require that manufacturers make them possible for deployers. Please see the attached comment for our full responses. Will Haver, Founder, Skovos, will@skovos.ai</w:t>
      </w:r>
    </w:p>
    <w:p>
      <w:r>
        <w:rPr>
          <w:color w:val="777777"/>
          <w:sz w:val="16"/>
        </w:rPr>
        <w:t xml:space="preserve">p002 · att1 p.1  </w:t>
      </w:r>
      <w:r>
        <w:t>Comment of Skovos on FDA-2026-N-7874: Considerations for the Regulation of Generative AI-Enabled Medical Devices</w:t>
      </w:r>
    </w:p>
    <w:p>
      <w:r>
        <w:rPr>
          <w:color w:val="777777"/>
          <w:sz w:val="16"/>
        </w:rPr>
        <w:t xml:space="preserve">p003 · att1 p.1  </w:t>
      </w:r>
      <w:r>
        <w:t>September 29, 2026 — Submitted via regulations.gov — Skovos builds governance tooling that hospitals and clinics use to run AI tools and AI agents after they go live. Our vantage point is the day after deployment: what the institution needs in place to know what an AI system is doing, to limit what it can do, and to stop it. We appreciate the Center's decision to seek early input, and we agree with the paper's premise that generative AI devices, and especially agentic ones, will need more of the safety case to be carried after market than before it. Our comments respond to Questions 18 through 22, 24, and 26, which concern postmarket monitoring, change control, and agentic devices. We do not offer views on the premarket evidence questions beyond how they connect to post-deployment controls.</w:t>
      </w:r>
    </w:p>
    <w:p>
      <w:r>
        <w:rPr>
          <w:color w:val="777777"/>
          <w:sz w:val="16"/>
        </w:rPr>
        <w:t xml:space="preserve">p004 · att1 p.1  </w:t>
      </w:r>
      <w:r>
        <w:t>Question 18: conditions for relying more on postmarket monitoring — Greater reliance on postmarket monitoring is reasonable only if the monitoring can actually happen at the site of use. In practice that depends on four things being present at the deploying institution, whatever the manufacturer's own program looks like.</w:t>
      </w:r>
    </w:p>
    <w:p>
      <w:r>
        <w:rPr>
          <w:color w:val="777777"/>
          <w:sz w:val="16"/>
        </w:rPr>
        <w:t xml:space="preserve">p005 · att1 p.1  </w:t>
      </w:r>
      <w:r>
        <w:t>First, an inventory. The institution can name every generative AI function in use, the version in production, an accountable owner, and the clinical settings it is authorized for. Without this, a signal from monitoring cannot be traced to a deployment, and a recall cannot be executed.</w:t>
      </w:r>
    </w:p>
    <w:p>
      <w:r>
        <w:rPr>
          <w:color w:val="777777"/>
          <w:sz w:val="16"/>
        </w:rPr>
        <w:t xml:space="preserve">p006 · att1 p.1  </w:t>
      </w:r>
      <w:r>
        <w:t>Second, written permissions. What the device is allowed to read, write, order, or send is recorded before use and checked when the action occurs, not reconstructed afterward. For a chat or summarization function this is simple. For an agentic function it is the entire safety case.</w:t>
      </w:r>
    </w:p>
    <w:p>
      <w:r>
        <w:rPr>
          <w:color w:val="777777"/>
          <w:sz w:val="16"/>
        </w:rPr>
        <w:t xml:space="preserve">p007 · att1 p.1  </w:t>
      </w:r>
      <w:r>
        <w:t>Third, an audit trail that the institution owns. A complete, tamper-evident record of inputs, outputs, and actions, held in the institution's custody rather than only in the manufacturer's systems. Manufacturer telemetry is valuable, but a hospital cannot investigate an event, respond to a patient, or answer a regulator from logs it has to request.</w:t>
      </w:r>
    </w:p>
    <w:p>
      <w:r>
        <w:rPr>
          <w:color w:val="777777"/>
          <w:sz w:val="16"/>
        </w:rPr>
        <w:t xml:space="preserve">p008 · att1 p.1  </w:t>
      </w:r>
      <w:r>
        <w:t>Fourth, a way to stop the device. The institution can suspend or revoke a device's ability to act immediately, on its own authority, and the stop is recorded with who did it and why.</w:t>
      </w:r>
    </w:p>
    <w:p>
      <w:r>
        <w:rPr>
          <w:color w:val="777777"/>
          <w:sz w:val="16"/>
        </w:rPr>
        <w:t xml:space="preserve">p009 · att1 p.1  </w:t>
      </w:r>
      <w:r>
        <w:t>We suggest the Center state these as outcomes a monitoring program must support (the deployer can produce the inventory, the log, and proof of the stop) rather than as prescribed technology. Where a device type cannot support them, for example because it acts through channels the institution cannot observe or interrupt, reduced premarket evidence would not be appropriate.</w:t>
      </w:r>
    </w:p>
    <w:p>
      <w:r>
        <w:rPr>
          <w:color w:val="777777"/>
          <w:sz w:val="16"/>
        </w:rPr>
        <w:t xml:space="preserve">p010 · att1 p.1  </w:t>
      </w:r>
      <w:r>
        <w:t>Question 19: approaches to postmarket performance evaluation — Periodic re-benchmarking, sample-based clinician review, and degradation monitoring all depend on the deployer being able to select records from a complete log. We recommend that the Center treat log completeness and custody as a precondition for any of the three approaches. Two additions would help. Triggering events for reassessment should include changes on the deployer's side, such as a new EHR version, a new clinical workflow, or a new patient population, not only changes to the model. And sample-based review should include a sample of denied or out-of-scope actions, since the pattern of what a device tried to do and was prevented from doing is often the earliest signal of drift.</w:t>
      </w:r>
    </w:p>
    <w:p>
      <w:r>
        <w:rPr>
          <w:color w:val="777777"/>
          <w:sz w:val="16"/>
        </w:rPr>
        <w:t xml:space="preserve">p011 · att1 p.2  </w:t>
      </w:r>
      <w:r>
        <w:t>Question 20: machine-based supervisory agents — Supervisory agents can help, with two cautions. A supervisor built and controlled by the same manufacturer as the device it supervises does not give the institution independent assurance. And a supervisor that can only observe, but not enforce, adds reporting without adding safety. We suggest the Center consider supervision that sits at the point where the device acts on institutional systems, is configured by the institution, and can deny an out-of-scope action rather than only record it. The supervisor itself should be inventoried, permissioned, logged, and stoppable in the same way as the device.</w:t>
      </w:r>
    </w:p>
    <w:p>
      <w:r>
        <w:rPr>
          <w:color w:val="777777"/>
          <w:sz w:val="16"/>
        </w:rPr>
        <w:t xml:space="preserve">p012 · att1 p.2  </w:t>
      </w:r>
      <w:r>
        <w:t>Question 21: roles of healthcare institutions without diffusing manufacturer accountability — The cleanest division is by what each party can see. The manufacturer is accountable for the device's performance against its intended use and for acting on signals. The institution is accountable for the conditions of use: which functions are enabled, for whom, with what permissions, and with what record. Institutions should not be asked to validate models. They should be expected to keep the inventory, the permissions, the log, and the stop control, and to share log extracts with the manufacturer on request. Stating these institutional duties plainly would make manufacturer accountability clearer, not weaker, because it removes the argument that a failure was invisible to everyone.</w:t>
      </w:r>
    </w:p>
    <w:p>
      <w:r>
        <w:rPr>
          <w:color w:val="777777"/>
          <w:sz w:val="16"/>
        </w:rPr>
        <w:t xml:space="preserve">p013 · att1 p.2  </w:t>
      </w:r>
      <w:r>
        <w:t>Questions 22 and 24: modifications and third-party foundation model changes — A deployer cannot manage modification risk it does not know about. We recommend that any change-control approach require the manufacturer to notify deployers of model, prompt, or tool changes before they take effect in production, with a version identifier the deployer can record in its inventory. For foundation model changes initiated by a third party, the same notification obligation should flow through the manufacturer, and the manufacturer should be able to pin or roll back the model version on the deployer's behalf. Contract terms are helpful, but the practical control is technical: the deployer's ability to see the version that is running and to stop it if the version changed without notice.</w:t>
      </w:r>
    </w:p>
    <w:p>
      <w:r>
        <w:rPr>
          <w:color w:val="777777"/>
          <w:sz w:val="16"/>
        </w:rPr>
        <w:t xml:space="preserve">p014 · att1 p.2  </w:t>
      </w:r>
      <w:r>
        <w:t>Question 26: agentic devices — For agentic functions, the reduced opportunity for human review should be offset by controls on action rather than only by evidence about outputs. We suggest acceptance criteria and oversight for agentic devices include: a declared set of actions and data scopes the agent may use, with everything else denied by default; a check of each action against that set at the time it occurs; a record of every action taken and every action denied; and an institution-controlled stop that takes effect on the next action. These controls are familiar from how institutions already govern human and system accounts, and they can be verified without access to the model.</w:t>
      </w:r>
    </w:p>
    <w:p>
      <w:r>
        <w:rPr>
          <w:color w:val="777777"/>
          <w:sz w:val="16"/>
        </w:rPr>
        <w:t xml:space="preserve">p015 · att1 p.2  </w:t>
      </w:r>
      <w:r>
        <w:t>Summary — Whatever the premarket path, a generative AI device is safe in use only where the institution can list it, limit it, log it, and stop it. We encourage the Center to name those four capabilities as expectations for postmarket monitoring of generative AI devices, and to require that manufacturers make them possible for deployers. We would be glad to discuss any of this further.</w:t>
      </w:r>
    </w:p>
    <w:p>
      <w:r>
        <w:rPr>
          <w:color w:val="777777"/>
          <w:sz w:val="16"/>
        </w:rPr>
        <w:t xml:space="preserve">p016 · att1 p.2  </w:t>
      </w:r>
      <w:r>
        <w:t>Will Haver — Founder, Skovos will@skovos.ai</w:t>
      </w:r>
    </w:p>
    <w:p>
      <w:pPr>
        <w:pStyle w:val="Heading1"/>
        <w:pageBreakBefore/>
      </w:pPr>
      <w:r>
        <w:t>FDA-2026-N-7874-0131</w:t>
      </w:r>
    </w:p>
    <w:p>
      <w:r>
        <w:t>Comment from ALEXANDER BARRETT</w:t>
      </w:r>
    </w:p>
    <w:p>
      <w:r>
        <w:rPr>
          <w:color w:val="777777"/>
          <w:sz w:val="18"/>
        </w:rPr>
        <w:t>Academia - E0007 · received 2026-09-30 · attachments: attachment_1.pdf (7 pp)</w:t>
      </w:r>
    </w:p>
    <w:p>
      <w:r>
        <w:rPr>
          <w:color w:val="777777"/>
          <w:sz w:val="16"/>
        </w:rPr>
        <w:t xml:space="preserve">p001 · body  </w:t>
      </w:r>
      <w:r>
        <w:t>Comment by Alexander D. Barrett, Senior Fellow, Verida Charter Foundation (ORCID 0009-0003-0359-3163) on "Considerations for the Regulation of Generative AI-Enabled Medical Devices." The full comment is attached.</w:t>
      </w:r>
    </w:p>
    <w:p>
      <w:r>
        <w:rPr>
          <w:color w:val="777777"/>
          <w:sz w:val="16"/>
        </w:rPr>
        <w:t xml:space="preserve">p002 · body  </w:t>
      </w:r>
      <w:r>
        <w:t>I research how evidence of a decision travels across organizational boundaries. I am the lead author of an open specification for portable decision evidence: signed records carrying the provenance, authority, and human oversight of a decision to a party that must rely on it without being able to re-derive it. The work began in insurance and regulated trade. Seven of CDRH's questions turn on the same structure. My research base is weighted toward insurance and trade; I claim no health-sector fieldwork, and nothing in the comment rests on any.</w:t>
      </w:r>
    </w:p>
    <w:p>
      <w:r>
        <w:rPr>
          <w:color w:val="777777"/>
          <w:sz w:val="16"/>
        </w:rPr>
        <w:t xml:space="preserve">p003 · body  </w:t>
      </w:r>
      <w:r>
        <w:t>Q1, additional risk dimensions. Reversibility should be represented, but as a gate on Question 18 trade rather than as a third axis. Monitoring detects an error after the action has occurred; where the action is irreversible, detection is not a remedy. Severity does not carry this. Holding activity constant, a severe-but-reversible harm sits at the top of the consequences axis, and a limited-but-irreversible harm at the bottom, so the grid places the case monitoring could remedy where it attracts most premarket scrutiny. The case monitoring cannot remedy where it attracts least. Where the two diverge, severity orders them the wrong way round. A function declaring an irreversible action should be ineligible for reduced premarket evidence regardless of severity.</w:t>
      </w:r>
    </w:p>
    <w:p>
      <w:r>
        <w:rPr>
          <w:color w:val="777777"/>
          <w:sz w:val="16"/>
        </w:rPr>
        <w:t xml:space="preserve">p004 · body  </w:t>
      </w:r>
      <w:r>
        <w:t>Q2, the directiveness continuum. An axis defined over the wording of an output can be moved by rewording it without changing anything a user can do, which is why it cannot give manufacturers the predictability CDRH seeks. Defining the axis over the function's effect on the user's choice set fixes this: presents options, ranks options, filters options, selects option, executes. That property is determined by design before any output text exists. It also explains, rather than asserts, why a "talk to your doctor" statement changes nothing. The continuum as drawn has no rung for omission, which is a substantive gap: a device that narrows a differential by dropping entries directs action by subtraction, is more directive than one that ranks, and is invisible to any wording-based measure.</w:t>
      </w:r>
    </w:p>
    <w:p>
      <w:r>
        <w:rPr>
          <w:color w:val="777777"/>
          <w:sz w:val="16"/>
        </w:rPr>
        <w:t xml:space="preserve">p005 · body  </w:t>
      </w:r>
      <w:r>
        <w:t>Q19, postmarket performance. Periodic re-benchmarking, sample-based clinician review, and degradation monitoring each produce a rate, and none as described requires the population it was computed over to be stated. I offer a finding rather than a recommendation: the specification I work on shipped four released schemas carrying values over populations it never required anyone to state. The defect survived review because a ratio looks complete. The remedy carries no patient data, and the check that reaches silent sampling must sit at the level of the source rather than the record, because records never ingested never enter the total considered.</w:t>
      </w:r>
    </w:p>
    <w:p>
      <w:r>
        <w:rPr>
          <w:color w:val="777777"/>
          <w:sz w:val="16"/>
        </w:rPr>
        <w:t xml:space="preserve">p006 · body  </w:t>
      </w:r>
      <w:r>
        <w:t>Q20, machine supervisory agents. The first-order risk is not agent unreliability but that a record proving a review process ran becomes indistinguishable from a record proving a human exercised judgment. Four mechanical properties prevent this: the oversight classification must be re-derivable from the signed record rather than stored as a label; the record must commit by hash to what the reviewer actually saw; it must state whether the reviewer was itself model-assisted; and absence must read as absence rather than as a silent pass.</w:t>
      </w:r>
    </w:p>
    <w:p>
      <w:r>
        <w:rPr>
          <w:color w:val="777777"/>
          <w:sz w:val="16"/>
        </w:rPr>
        <w:t xml:space="preserve">p007 · body  </w:t>
      </w:r>
      <w:r>
        <w:t>Q24, third-party model changes. A regime recognizing only vendor-issued notices depends on vendor cooperation, which CDRH itself doubts at Q25. Recording who authored a change notice makes deployer-side detection a first-class evidentiary act and makes vendor silence visible. Manufacturers should demonstrate detection capability rather than only a contractual clause, and resumption of reliance on a withdrawn model version should be fail-closed.</w:t>
      </w:r>
    </w:p>
    <w:p>
      <w:r>
        <w:rPr>
          <w:color w:val="777777"/>
          <w:sz w:val="16"/>
        </w:rPr>
        <w:t xml:space="preserve">p008 · body  </w:t>
      </w:r>
      <w:r>
        <w:t>Q25, Foundation Model Master Files. The incentive problem is a disclosure-form problem. A Master File asking for documents will be met with documents written to be safe to hand over. Commitments by hash to specific results let a developer surrender less and commit to more. This is the lesson of the PIP implant case, which is a device lesson: a valid certificate against a quality management system, checked against the paperwork rather than the artifact. Expectations should scale by whether independent re-evaluation of the model is possible at all.</w:t>
      </w:r>
    </w:p>
    <w:p>
      <w:r>
        <w:rPr>
          <w:color w:val="777777"/>
          <w:sz w:val="16"/>
        </w:rPr>
        <w:t xml:space="preserve">p009 · body  </w:t>
      </w:r>
      <w:r>
        <w:t>Q26, agentic devices. A checkpoint that could not run must not read as one that passed; undeclared machine involvement must read as undeclared; each action should commit to which input origins were in context; and the length of an action sequence should be committed, since a signed chain can otherwise be truncated and still verify.</w:t>
      </w:r>
    </w:p>
    <w:p>
      <w:r>
        <w:rPr>
          <w:color w:val="777777"/>
          <w:sz w:val="16"/>
        </w:rPr>
        <w:t xml:space="preserve">p010 · body  </w:t>
      </w:r>
      <w:r>
        <w:t>I would welcome correction on any point, particularly from reviewers with the clinical grounding I lack.</w:t>
      </w:r>
    </w:p>
    <w:p>
      <w:r>
        <w:rPr>
          <w:color w:val="777777"/>
          <w:sz w:val="16"/>
        </w:rPr>
        <w:t xml:space="preserve">p011 · att1 p.1  </w:t>
      </w:r>
      <w:r>
        <w:t>Comment on Docket FDA-2026-N-7874 — Re: Considerations for the Regulation of Generative AI-Enabled Medical Devices: Discussion Paper and Request for Feedback(CDRH Digital Health Center of Excellence, 18 August 2026)</w:t>
      </w:r>
    </w:p>
    <w:p>
      <w:r>
        <w:rPr>
          <w:color w:val="777777"/>
          <w:sz w:val="16"/>
        </w:rPr>
        <w:t xml:space="preserve">p012 · att1 p.1  </w:t>
      </w:r>
      <w:r>
        <w:t>Submitted by: Alexander D. Barrett, Senior Fellow, Verida Charter Foundation ORCID 0009-0003-0359- 3163Date:[DATE OF FILING]</w:t>
      </w:r>
    </w:p>
    <w:p>
      <w:r>
        <w:rPr>
          <w:color w:val="777777"/>
          <w:sz w:val="16"/>
        </w:rPr>
        <w:t xml:space="preserve">p013 · att1 p.1  </w:t>
      </w:r>
      <w:r>
        <w:t>Introduction — I research how evidence of a decision travels across organizational boundaries. I am the lead author of an open, vendor-neutral specification for portable decision evidence: signed, canonicalized artifacts that carry the provenance, authority, and human oversight of a decision from the party that made it to a party that must rely on it without being able to re-derive it. The work began in insurance and regulated trade, where one firm routinely acts on a decision another firm made. Several of the questions in this discussion paper turn on the same structure.</w:t>
      </w:r>
    </w:p>
    <w:p>
      <w:r>
        <w:rPr>
          <w:color w:val="777777"/>
          <w:sz w:val="16"/>
        </w:rPr>
        <w:t xml:space="preserve">p014 · att1 p.1  </w:t>
      </w:r>
      <w:r>
        <w:t>I address seven questions: 1, 2, 19, 20, 24, 25, and 26. I have no standing on the clinical, statistical, and programdesign questions and do not address them. The paper expressly permits partial responses.</w:t>
      </w:r>
    </w:p>
    <w:p>
      <w:r>
        <w:rPr>
          <w:color w:val="777777"/>
          <w:sz w:val="16"/>
        </w:rPr>
        <w:t xml:space="preserve">p015 · att1 p.1  </w:t>
      </w:r>
      <w:r>
        <w:t>Two limits should frame everything below. First, my research base is weighted toward insurance and regulated trade. I claim no health-sector fieldwork and nothing here rests on any. Second, the specification I describe supplies the evidentiary frame around a result. It runs no evaluations, accredits no evaluators, sets no thresholds, and contains no clinical content. Three of the ten proposed benchmarking elements, covering clinical knowledge, information gathering, and quantitative analysis, are outside its reach entirely.</w:t>
      </w:r>
    </w:p>
    <w:p>
      <w:r>
        <w:rPr>
          <w:color w:val="777777"/>
          <w:sz w:val="16"/>
        </w:rPr>
        <w:t xml:space="preserve">p016 · att1 p.1  </w:t>
      </w:r>
      <w:r>
        <w:t>Summary of recommendations — 1. Q1.Carry reversibility as a declared property of the function, and make an irreversible action disqualifying for the premarket-for-postmarket trade contemplated in Question 18, rather than adding a third axis to the grid.</w:t>
      </w:r>
    </w:p>
    <w:p>
      <w:r>
        <w:rPr>
          <w:color w:val="777777"/>
          <w:sz w:val="16"/>
        </w:rPr>
        <w:t xml:space="preserve">p017 · att1 p.1  </w:t>
      </w:r>
      <w:r>
        <w:t>2. Q2.Define the activity axis over the function's effect on the user's choice set rather than over the wording of its output. Add a rung for omission, which the current continuum does not represent at all.</w:t>
      </w:r>
    </w:p>
    <w:p>
      <w:r>
        <w:rPr>
          <w:color w:val="777777"/>
          <w:sz w:val="16"/>
        </w:rPr>
        <w:t xml:space="preserve">p018 · att1 p.1  </w:t>
      </w:r>
      <w:r>
        <w:t>3. Q19.Require any postmarket performance figure to be accompanied by a stated population, including a declaration of whether the sources it was drawn from are wholly accounted for, and a count of any that are not.</w:t>
      </w:r>
    </w:p>
    <w:p>
      <w:r>
        <w:rPr>
          <w:color w:val="777777"/>
          <w:sz w:val="16"/>
        </w:rPr>
        <w:t xml:space="preserve">p019 · att1 p.1  </w:t>
      </w:r>
      <w:r>
        <w:t>4. Q20.Permit machine supervisory agents only where their output is structurally incapable of being read downstream as a record of human judgment.</w:t>
      </w:r>
    </w:p>
    <w:p>
      <w:r>
        <w:rPr>
          <w:color w:val="777777"/>
          <w:sz w:val="16"/>
        </w:rPr>
        <w:t xml:space="preserve">p020 · att1 p.1  </w:t>
      </w:r>
      <w:r>
        <w:t>5. Q24.Recognize a deployer-observed change notice as evidence on equal footing with a vendor-issued one, and require detection capability rather than only a contractual clause.</w:t>
      </w:r>
    </w:p>
    <w:p>
      <w:r>
        <w:rPr>
          <w:color w:val="777777"/>
          <w:sz w:val="16"/>
        </w:rPr>
        <w:t xml:space="preserve">p021 · att1 p.1  </w:t>
      </w:r>
      <w:r>
        <w:t>6. Q25.Structure the voluntary Master File around hash-anchored commitments to specific results rather than descriptions of process, and scale expectations by whether independent re-evaluation of the model is possible at all.</w:t>
      </w:r>
    </w:p>
    <w:p>
      <w:r>
        <w:rPr>
          <w:color w:val="777777"/>
          <w:sz w:val="16"/>
        </w:rPr>
        <w:t xml:space="preserve">p022 · att1 p.1  </w:t>
      </w:r>
      <w:r>
        <w:t>7. Q26.For agentic devices, require a checkpoint that cannot be distinguished from one that passed, that undeclared machine involvement read as undeclared, and that each action commit to its input origins and to the length of the sequence it belongs to.</w:t>
      </w:r>
    </w:p>
    <w:p>
      <w:r>
        <w:rPr>
          <w:color w:val="777777"/>
          <w:sz w:val="16"/>
        </w:rPr>
        <w:t xml:space="preserve">p023 · att1 p.2  </w:t>
      </w:r>
      <w:r>
        <w:t>Question 1. Additional dimensions for the risk framework — CDRH asks whether additional dimensions should be represented, naming first "the reversibility of a resulting action," then downstream safeguards, time pressure, and traceability of the output.</w:t>
      </w:r>
    </w:p>
    <w:p>
      <w:r>
        <w:rPr>
          <w:color w:val="777777"/>
          <w:sz w:val="16"/>
        </w:rPr>
        <w:t xml:space="preserve">p024 · att1 p.2  </w:t>
      </w:r>
      <w:r>
        <w:t>Reversibility should be represented, but not as a third axis. It should be a gate on the trade contemplated in Question 18.</w:t>
      </w:r>
    </w:p>
    <w:p>
      <w:r>
        <w:rPr>
          <w:color w:val="777777"/>
          <w:sz w:val="16"/>
        </w:rPr>
        <w:t xml:space="preserve">p025 · att1 p.2  </w:t>
      </w:r>
      <w:r>
        <w:t>Question 18 asks whether FDA might accept greater premarket uncertainty in exchange for greater reliance on postmarket monitoring. Monitoring is a detection mechanism. It operates after the action has occurred. Where the action can be wound back, detection is most of the remedy: the device is corrected, the patient is re-treated, and the residual harm is the delay. Where the action cannot be wound back, detection is not a remedy at all. It converts an unknown harm into a known one and leaves the patient exactly where they were.</w:t>
      </w:r>
    </w:p>
    <w:p>
      <w:r>
        <w:rPr>
          <w:color w:val="777777"/>
          <w:sz w:val="16"/>
        </w:rPr>
        <w:t xml:space="preserve">p026 · att1 p.2  </w:t>
      </w:r>
      <w:r>
        <w:t>Severity does not capture this. The grid separates the two cases, but it separates them by severity, and severity does not govern the Question 18 trade. Holding activity constant, as the paper's own pairing does, the consequences axis runs from limited through moderate to severe: a severe-but-reversible harm sits at the top of that axis, and a limited-but-irreversible harm sits at the bottom. Of those two, the function the grid places highest, and which would therefore attract the most premarket scrutiny, is the one postmarket monitoring could in fact remedy; the function it places lowest is the one monitoring cannot remedy at all. Severity does not merely fail to carry reversibility. Where the two diverge, it orders them the wrong way round.</w:t>
      </w:r>
    </w:p>
    <w:p>
      <w:r>
        <w:rPr>
          <w:color w:val="777777"/>
          <w:sz w:val="16"/>
        </w:rPr>
        <w:t xml:space="preserve">p027 · att1 p.2  </w:t>
      </w:r>
      <w:r>
        <w:t>The practical recommendation is therefore narrow. A function should declare a reversibility class for the action it authorizes, on three ordered values: reversible, where the action can be wound back to its prior state without residue; partially reversible, where it can be substantially undone but leaves residue; and irreversible. A function declaring irreversible would be ineligible for reduced premarket evidence regardless of where it sits on the consequences axis, because the mechanism that would justify the reduction cannot operate on it.</w:t>
      </w:r>
    </w:p>
    <w:p>
      <w:r>
        <w:rPr>
          <w:color w:val="777777"/>
          <w:sz w:val="16"/>
        </w:rPr>
        <w:t xml:space="preserve">p028 · att1 p.2  </w:t>
      </w:r>
      <w:r>
        <w:t>The paper already reaches for this distinction. Proposed benchmarking element A.1 says the element "also considers ... compliance with human-oversight checkpoints before irreversible or high-consequence actions." Irreversibility is therefore already doing work in CDRH's own thinking. But it does that work inside a single illustrative element that would apply to agentic devices alone, rather than in the risk framework that governs everything. The recommendation is to carry it where it bears weight.</w:t>
      </w:r>
    </w:p>
    <w:p>
      <w:r>
        <w:rPr>
          <w:color w:val="777777"/>
          <w:sz w:val="16"/>
        </w:rPr>
        <w:t xml:space="preserve">p029 · att1 p.2  </w:t>
      </w:r>
      <w:r>
        <w:t>On the other three dimensions, CDRH names them briefly. Downstream safeguards are measurable as a ratio between the rate at which a system detects and rolls back a harmful output and the rate at which that output propagates past the point of recall, declared across a stated boundary. Time pressure is a property of the operating conditions rather than of the output, and is best recorded as its own coarse band, deliberately independent of the device's confidence in any given result: a device may be well calibrated and still be deployed into conditions that leave no room to act on its uncertainty. Traceability to primary sources is well served by recording which method produced an explanation alongside a hash commitment to the explanation itself, so that a reviewer can later obtain the original and confirm it has not changed, without the explanation needing to travel with every output.</w:t>
      </w:r>
    </w:p>
    <w:p>
      <w:r>
        <w:rPr>
          <w:color w:val="777777"/>
          <w:sz w:val="16"/>
        </w:rPr>
        <w:t xml:space="preserve">p030 · att1 p.2  </w:t>
      </w:r>
      <w:r>
        <w:t>Question 2. The directiveness continuum — CDRH asks what characteristics of an output could modify risk, and what would give manufacturers "sufficient clarity and predictability," while recognizing that directiveness is a continuum rather than a binary.</w:t>
      </w:r>
    </w:p>
    <w:p>
      <w:r>
        <w:rPr>
          <w:color w:val="777777"/>
          <w:sz w:val="16"/>
        </w:rPr>
        <w:t xml:space="preserve">p031 · att1 p.3  </w:t>
      </w:r>
      <w:r>
        <w:t>The difficulty CDRH names is structural rather than editorial. The paper observes that directiveness "may depend on the substance and context of the output, not solely on whether it uses words such as 'recommend,' 'should,' or 'consider,'" and that a patient-facing output "may not become any less directive because it includes a 'talk to your doctor' ... statement."</w:t>
      </w:r>
    </w:p>
    <w:p>
      <w:r>
        <w:rPr>
          <w:color w:val="777777"/>
          <w:sz w:val="16"/>
        </w:rPr>
        <w:t xml:space="preserve">p032 · att1 p.3  </w:t>
      </w:r>
      <w:r>
        <w:t>Both observations are consequences of one fact: any axis defined over the wording of an output can be moved by rewording the output, without changing anything the user can do. That is precisely why such an axis cannot deliver the predictability CDRH wants. A manufacturer cannot know its classification until the copy is final; the classification moves when the copy is edited, and a reviewer cannot reproduce the classification without rereading the text.</w:t>
      </w:r>
    </w:p>
    <w:p>
      <w:r>
        <w:rPr>
          <w:color w:val="777777"/>
          <w:sz w:val="16"/>
        </w:rPr>
        <w:t xml:space="preserve">p033 · att1 p.3  </w:t>
      </w:r>
      <w:r>
        <w:t>The axis should instead be defined over the function's effect on the user's choice set. That property is fixed by the design of the function, is determinable before any output text exists, and does not move when the text is rewritten. Five ordered values are sufficient:</w:t>
      </w:r>
    </w:p>
    <w:p>
      <w:r>
        <w:rPr>
          <w:color w:val="777777"/>
          <w:sz w:val="16"/>
        </w:rPr>
        <w:t xml:space="preserve">p034 · att1 p.3  </w:t>
      </w:r>
      <w:r>
        <w:t>Value The function Applied to CDRH's lisinopril examples — Presents options Supplies information; the choice set is unchanged</w:t>
      </w:r>
    </w:p>
    <w:p>
      <w:r>
        <w:rPr>
          <w:color w:val="777777"/>
          <w:sz w:val="16"/>
        </w:rPr>
        <w:t xml:space="preserve">p035 · att1 p.3  </w:t>
      </w:r>
      <w:r>
        <w:t>"lisinopril dosages are sometimes increased when blood pressure remains above the treatment goal"</w:t>
      </w:r>
    </w:p>
    <w:p>
      <w:r>
        <w:rPr>
          <w:color w:val="777777"/>
          <w:sz w:val="16"/>
        </w:rPr>
        <w:t xml:space="preserve">p036 · att1 p.3  </w:t>
      </w:r>
      <w:r>
        <w:t>Ranks options Weights or orders the choice set; all options remain visible — "in situations similar to this, clinicians often increase the lisinopril dosage"</w:t>
      </w:r>
    </w:p>
    <w:p>
      <w:r>
        <w:rPr>
          <w:color w:val="777777"/>
          <w:sz w:val="16"/>
        </w:rPr>
        <w:t xml:space="preserve">p037 · att1 p.3  </w:t>
      </w:r>
      <w:r>
        <w:t>Filters options Removes options from view (see below) — Selects option Identifies one option as the one to take</w:t>
      </w:r>
    </w:p>
    <w:p>
      <w:r>
        <w:rPr>
          <w:color w:val="777777"/>
          <w:sz w:val="16"/>
        </w:rPr>
        <w:t xml:space="preserve">p038 · att1 p.3  </w:t>
      </w:r>
      <w:r>
        <w:t>"I recommend increasing the lisinopril dosage"; "increase the lisinopril from 10 mg to 20 mg daily"</w:t>
      </w:r>
    </w:p>
    <w:p>
      <w:r>
        <w:rPr>
          <w:color w:val="777777"/>
          <w:sz w:val="16"/>
        </w:rPr>
        <w:t xml:space="preserve">p039 · att1 p.3  </w:t>
      </w:r>
      <w:r>
        <w:t>Executes Performs the action Writing the order — Under this measure, a "talk to your doctor" statement appended to a specific instruction changes nothing, because the choice set is unchanged. That is the result CDRH says it wants, and it follows from the measure rather than having to be asserted as an exception.</w:t>
      </w:r>
    </w:p>
    <w:p>
      <w:r>
        <w:rPr>
          <w:color w:val="777777"/>
          <w:sz w:val="16"/>
        </w:rPr>
        <w:t xml:space="preserve">p040 · att1 p.3  </w:t>
      </w:r>
      <w:r>
        <w:t>The continuum as currently drawn has no rung for omission, and this is a substantive gap. A device that narrows a differential by dropping entries, or that returns three options where five were applicable, is directing action by subtraction. It is more directive than a device that ranks, because the user can re-weight a ranking they can see but cannot recover an option they were never shown. No wording-based measure detects this at all: the output of a filtering device reads as neutral information. This matters most for the measurement and signal-processing functions the paper separately flags, where the user cannot independently evaluate the basis for the output, and where a device would be classified as non-directive today.</w:t>
      </w:r>
    </w:p>
    <w:p>
      <w:r>
        <w:rPr>
          <w:color w:val="777777"/>
          <w:sz w:val="16"/>
        </w:rPr>
        <w:t xml:space="preserve">p041 · att1 p.3  </w:t>
      </w:r>
      <w:r>
        <w:t>This also answers Question 5. Because one ladder spans informational and action-taking functions, a multi-turn device that migrates from non-directive to action-directing traverses rungs on a single axis; its intended use can be characterized as the highest rung it is designed to reach, rather than requiring a category boundary to be readjudicated mid-conversation.</w:t>
      </w:r>
    </w:p>
    <w:p>
      <w:r>
        <w:rPr>
          <w:color w:val="777777"/>
          <w:sz w:val="16"/>
        </w:rPr>
        <w:t xml:space="preserve">p042 · att1 p.4  </w:t>
      </w:r>
      <w:r>
        <w:t>Question 19. Postmarket performance evaluation — CDRH proposes periodic re-benchmarking, sample-based clinician review, and performance degradation monitoring.</w:t>
      </w:r>
    </w:p>
    <w:p>
      <w:r>
        <w:rPr>
          <w:color w:val="777777"/>
          <w:sz w:val="16"/>
        </w:rPr>
        <w:t xml:space="preserve">p043 · att1 p.4  </w:t>
      </w:r>
      <w:r>
        <w:t>Each produces a rate. None of the three, as described, requires stating the population over which the rate was computed. Two rates computed over differently constituted populations are not comparable, and nothing in either number reveals the difference. A re-benchmarking result cannot be compared to its premarket baseline unless both declare their denominators.</w:t>
      </w:r>
    </w:p>
    <w:p>
      <w:r>
        <w:rPr>
          <w:color w:val="777777"/>
          <w:sz w:val="16"/>
        </w:rPr>
        <w:t xml:space="preserve">p044 · att1 p.4  </w:t>
      </w:r>
      <w:r>
        <w:t>I offer this as a finding, not a recommendation. The specification I work on shipped four released schemas carrying values derived from populations it never required anyone to state: an attestation carrying a ratio, two carrying bands, and one carrying a count. In every case, the numerator traveled, and the denominator did not. The defect survived review because a ratio looks complete on its face. If it can pass unnoticed in a specification written specifically to make evidence checkable, it will pass unnoticed in a postmarket monitoring plan.</w:t>
      </w:r>
    </w:p>
    <w:p>
      <w:r>
        <w:rPr>
          <w:color w:val="777777"/>
          <w:sz w:val="16"/>
        </w:rPr>
        <w:t xml:space="preserve">p045 · att1 p.4  </w:t>
      </w:r>
      <w:r>
        <w:t>The remedy is cheap and carries no patient data. Any postmarket performance figure should be accompanied by a declaration of the population it was computed over, containing: a commitment to the inclusion criterion, the total considered, the number included, the records excluded with the ground for each exclusion, and, critically, a declaration of whether the sources the population was drawn from are wholly accounted for, with a count of any that are not.</w:t>
      </w:r>
    </w:p>
    <w:p>
      <w:r>
        <w:rPr>
          <w:color w:val="777777"/>
          <w:sz w:val="16"/>
        </w:rPr>
        <w:t xml:space="preserve">p046 · att1 p.4  </w:t>
      </w:r>
      <w:r>
        <w:t>Two checks follow, and neither requires additional disclosure. The first is arithmetic: the number included plus the declared exclusions should equal the total considered, and any shortfall is undeclared exclusion. That defect is invisible element by element, because every individual figure in a shaped population is well formed; only the arithmetic exposes it.</w:t>
      </w:r>
    </w:p>
    <w:p>
      <w:r>
        <w:rPr>
          <w:color w:val="777777"/>
          <w:sz w:val="16"/>
        </w:rPr>
        <w:t xml:space="preserve">p047 · att1 p.4  </w:t>
      </w:r>
      <w:r>
        <w:t>The second reaches silent sampling, and it has to sit at the level of the source rather than the record. A monitoring program that quietly stops ingesting a subset of real-world outputs never brings those records inside the total it considered, so the arithmetic balances; every element is well formed. The rate stays stable, reassuring, and entirely misleading. No count computed within the declared bounds will reach it. An operator can state honestly that a stream exists and is not covered without knowing how many records are in it, which is exactly what it cannot do record by record. None of this requires anyone to act in bad faith.</w:t>
      </w:r>
    </w:p>
    <w:p>
      <w:r>
        <w:rPr>
          <w:color w:val="777777"/>
          <w:sz w:val="16"/>
        </w:rPr>
        <w:t xml:space="preserve">p048 · att1 p.4  </w:t>
      </w:r>
      <w:r>
        <w:t>Question 20. Machine-based supervisory agents — CDRH asks whether supervisory agents can facilitate postmarket monitoring, and what considerations apply to "the evaluation and reliability of the supervisory agent itself."</w:t>
      </w:r>
    </w:p>
    <w:p>
      <w:r>
        <w:rPr>
          <w:color w:val="777777"/>
          <w:sz w:val="16"/>
        </w:rPr>
        <w:t xml:space="preserve">p049 · att1 p.4  </w:t>
      </w:r>
      <w:r>
        <w:t>The reliability of the agent is the second-order question. The first-order risk is that a record proving a review process ran is indistinguishable, downstream, from a record proving a human exercised judgment. Once a supervisory agent emits monitoring records at volume, every party reading those records later, including FDA, is reading process receipts. Nothing in their form says whether anyone was positioned to disagree with the device.</w:t>
      </w:r>
    </w:p>
    <w:p>
      <w:r>
        <w:rPr>
          <w:color w:val="777777"/>
          <w:sz w:val="16"/>
        </w:rPr>
        <w:t xml:space="preserve">p050 · att1 p.4  </w:t>
      </w:r>
      <w:r>
        <w:t>This failure mode does not require anyone to act deceptively. It is what happens by default when the artifact does not carry the distinction.</w:t>
      </w:r>
    </w:p>
    <w:p>
      <w:r>
        <w:rPr>
          <w:color w:val="777777"/>
          <w:sz w:val="16"/>
        </w:rPr>
        <w:t xml:space="preserve">p051 · att1 p.4  </w:t>
      </w:r>
      <w:r>
        <w:t>If supervisory agents are permitted, I recommend that their output be required to be structurally incapable of being read as human judgment. Four properties achieve this, and all four are mechanical:</w:t>
      </w:r>
    </w:p>
    <w:p>
      <w:r>
        <w:rPr>
          <w:color w:val="777777"/>
          <w:sz w:val="16"/>
        </w:rPr>
        <w:t xml:space="preserve">p052 · att1 p.5  </w:t>
      </w:r>
      <w:r>
        <w:t>8. The oversight classification must be re-derivable from the signed record, never a stored label. A stored label is exactly how a process receipt comes to read as judgment, and relabelling requires no intent.</w:t>
      </w:r>
    </w:p>
    <w:p>
      <w:r>
        <w:rPr>
          <w:color w:val="777777"/>
          <w:sz w:val="16"/>
        </w:rPr>
        <w:t xml:space="preserve">p053 · att1 p.5  </w:t>
      </w:r>
      <w:r>
        <w:t>9. The record must commit to what the reviewer actually saw, by hash, so that substituting the inputs after review or replaying an approval onto a different decision is detectable by a party with no access to either system.</w:t>
      </w:r>
    </w:p>
    <w:p>
      <w:r>
        <w:rPr>
          <w:color w:val="777777"/>
          <w:sz w:val="16"/>
        </w:rPr>
        <w:t xml:space="preserve">p054 · att1 p.5  </w:t>
      </w:r>
      <w:r>
        <w:t>10. The record must state whether the reviewer was itself model-assisted. This is the Question 20 case, and it is the field that distinguishes a supervisory agent's output from a clinician's at a glance.</w:t>
      </w:r>
    </w:p>
    <w:p>
      <w:r>
        <w:rPr>
          <w:color w:val="777777"/>
          <w:sz w:val="16"/>
        </w:rPr>
        <w:t xml:space="preserve">p055 · att1 p.5  </w:t>
      </w:r>
      <w:r>
        <w:t>11. Absence must read as absence. Where no oversight evidence is present, the correct reading is "not attested," never a silent pass. Operator-self-signed oversight should be capped below the highest classification, because the operator is not independent of the thing being overseen.</w:t>
      </w:r>
    </w:p>
    <w:p>
      <w:r>
        <w:rPr>
          <w:color w:val="777777"/>
          <w:sz w:val="16"/>
        </w:rPr>
        <w:t xml:space="preserve">p056 · att1 p.5  </w:t>
      </w:r>
      <w:r>
        <w:t>The same logic bears on sample-based clinician review. A human in the loop who lacks the context, authority, evidence, or time to challenge an output has not preserved judgment. The institution has relocated liability. Telling the two apart requires recording not only what the reviewer did, but whether the reviewer was positioned to do it.</w:t>
      </w:r>
    </w:p>
    <w:p>
      <w:r>
        <w:rPr>
          <w:color w:val="777777"/>
          <w:sz w:val="16"/>
        </w:rPr>
        <w:t xml:space="preserve">p057 · att1 p.5  </w:t>
      </w:r>
      <w:r>
        <w:t>Question 24. Third-party foundation model changes — CDRH asks how a manufacturer can detect, evaluate, and respond to changes initiated by a third-party model developer, and what mechanisms could provide reasonable assurance.</w:t>
      </w:r>
    </w:p>
    <w:p>
      <w:r>
        <w:rPr>
          <w:color w:val="777777"/>
          <w:sz w:val="16"/>
        </w:rPr>
        <w:t xml:space="preserve">p058 · att1 p.5  </w:t>
      </w:r>
      <w:r>
        <w:t>A change-notice regime that recognizes only vendor-issued notices depends on vendor cooperation, which CDRH itself doubts in Question 25. The mechanism should therefore record who authored the notice. A record stating that the deployer observed a change and raised it makes deployer-side detection a first-class evidentiary act rather than an informal one, and it makes vendor silence visible as a pattern of deployer-authored notices rather than as an absence of evidence.</w:t>
      </w:r>
    </w:p>
    <w:p>
      <w:r>
        <w:rPr>
          <w:color w:val="777777"/>
          <w:sz w:val="16"/>
        </w:rPr>
        <w:t xml:space="preserve">p059 · att1 p.5  </w:t>
      </w:r>
      <w:r>
        <w:t>A workable notice carries the vendor, the model family, the version before and after, the class of change (update, withdrawal, subprocessor change, scope expansion), whether the deployer treats it as warranting governance review, when it takes effect, and a hash commitment to the vendor's own change documentation where any exists.</w:t>
      </w:r>
    </w:p>
    <w:p>
      <w:r>
        <w:rPr>
          <w:color w:val="777777"/>
          <w:sz w:val="16"/>
        </w:rPr>
        <w:t xml:space="preserve">p060 · att1 p.5  </w:t>
      </w:r>
      <w:r>
        <w:t>Two further recommendations follow.</w:t>
      </w:r>
    </w:p>
    <w:p>
      <w:r>
        <w:rPr>
          <w:color w:val="777777"/>
          <w:sz w:val="16"/>
        </w:rPr>
        <w:t xml:space="preserve">p061 · att1 p.5  </w:t>
      </w:r>
      <w:r>
        <w:t>Require demonstrated detection capability, not only a contractual clause. A contractual notification obligation is unenforceable given the speed of model changes and provides no evidence when it fails. A manufacturer should be able to show how it would notice an unannounced change, which in practice means periodic re-benchmarking against a fixed set with the model version recorded at each run.</w:t>
      </w:r>
    </w:p>
    <w:p>
      <w:r>
        <w:rPr>
          <w:color w:val="777777"/>
          <w:sz w:val="16"/>
        </w:rPr>
        <w:t xml:space="preserve">p062 · att1 p.5  </w:t>
      </w:r>
      <w:r>
        <w:t>Resumption of reliance should be fail-closed. Under the condition Question 23 describes, where the nature and scope of future modifications cannot be fully prespecified, the safe default is not a broader prespecification. It is that reliance on a withdrawn or suspect model version may not resume until an affirmative artifact exists recording what was re-established and by whom. Absence of that artifact should mean the version remains withdrawn. This inverts the usual default, under which reliance resumes quietly because nothing stopped it.</w:t>
      </w:r>
    </w:p>
    <w:p>
      <w:r>
        <w:rPr>
          <w:color w:val="777777"/>
          <w:sz w:val="16"/>
        </w:rPr>
        <w:t xml:space="preserve">p063 · att1 p.5  </w:t>
      </w:r>
      <w:r>
        <w:t>Question 25. Voluntary Foundation Model Master Files — CDRH asks what would make a voluntary Master File sufficiently useful given that "model developers may have limited incentive to disclose safety-relevant information."</w:t>
      </w:r>
    </w:p>
    <w:p>
      <w:r>
        <w:rPr>
          <w:color w:val="777777"/>
          <w:sz w:val="16"/>
        </w:rPr>
        <w:t xml:space="preserve">p064 · att1 p.6  </w:t>
      </w:r>
      <w:r>
        <w:t>The incentive problem is a disclosure-form problem. A developer's reluctance is usually not about the fact becoming known. It is about the artifact leaving their control: the evaluation transcripts, the per-item outcomes, the internal red-team findings. A Master File that asks for documents will be met with documents written to be safe to hand over.</w:t>
      </w:r>
    </w:p>
    <w:p>
      <w:r>
        <w:rPr>
          <w:color w:val="777777"/>
          <w:sz w:val="16"/>
        </w:rPr>
        <w:t xml:space="preserve">p065 · att1 p.6  </w:t>
      </w:r>
      <w:r>
        <w:t>A Master File built on hash commitments asks for something different. A developer commits to a specific result by publishing a digest of it while retaining the underlying record. The commitment is unrepudiable and dated. If FDA later needs the record, the commitment identifies exactly which record to request and proves it has not changed in the interim. The developer surrenders far less and commits to considerably more, which is the only combination that makes voluntary participation rational.</w:t>
      </w:r>
    </w:p>
    <w:p>
      <w:r>
        <w:rPr>
          <w:color w:val="777777"/>
          <w:sz w:val="16"/>
        </w:rPr>
        <w:t xml:space="preserve">p066 · att1 p.6  </w:t>
      </w:r>
      <w:r>
        <w:t>This is the lesson of the PIP implant case, and it is a device lesson. A valid certificate was issued against the manufacturer's quality management system, not against the implants. Between 1998 and 2008, the notified body made eight visits to the manufacturer's premises, each announced in advance, and never inspected the business records or ordered the devices inspected. Silicone that was not an approved material reached hundreds of thousands of women before the French authority established what had been used and prohibited the implants' marketing, sale and use in 2010. The failure was not an absent seal. A seal existed, was valid, and was worthless, because it certified the paperwork rather than the artifact and could not be checked against the thing it vouched for. A Master File that collects descriptions of a developer's evaluation process repeats that structure. A Master File that collects commitments to specific evaluation results binds to the artifact.</w:t>
      </w:r>
    </w:p>
    <w:p>
      <w:r>
        <w:rPr>
          <w:color w:val="777777"/>
          <w:sz w:val="16"/>
        </w:rPr>
        <w:t xml:space="preserve">p067 · att1 p.6  </w:t>
      </w:r>
      <w:r>
        <w:t>Two design points follow.</w:t>
      </w:r>
    </w:p>
    <w:p>
      <w:r>
        <w:rPr>
          <w:color w:val="777777"/>
          <w:sz w:val="16"/>
        </w:rPr>
        <w:t xml:space="preserve">p068 · att1 p.6  </w:t>
      </w:r>
      <w:r>
        <w:t>Scale expectations by whether independent re-evaluation is possible. A model distributed as open weights, or on premises, can be re-tested by any qualified party, and a Master File adds comparatively little. A model available only to parties the provider admits cannot be independently re-tested by anyone else, making a providersupplied or provider-commissioned attestation the only reliance artifact available. That is the gap the program exists to close. A Master File program that does not distinguish these cases will over-collect from the developers who need it least and under-collect from those who are the actual problem.</w:t>
      </w:r>
    </w:p>
    <w:p>
      <w:r>
        <w:rPr>
          <w:color w:val="777777"/>
          <w:sz w:val="16"/>
        </w:rPr>
        <w:t xml:space="preserve">p069 · att1 p.6  </w:t>
      </w:r>
      <w:r>
        <w:t>Make the prespecification CDRH already envisages verifiable after the fact. Section V.B.2 already envisages that sponsors would prespecify and justify acceptance criteria, and that test methods and acceptance criteria would be prespecified before testing. I am not proposing that principle; I am proposing a way to check it. Nothing in the paper gives a reviewer any means of confirming it was honored, and a principle no one can check is one a sponsor under pressure can quietly decline to follow—section VII. A does not carry the principle across to the benchmark results a Master File would hold at all. Where a Master File or a submission carries benchmark results, the pass and fail bounds should therefore be committed by hash at a recorded instant, ideally witnessed independently of the submitting party's own clock. This does not make a sponsor-developed benchmark independent. It makes one specific and otherwise invisible abuse falsifiable: moving the acceptance bar after seeing the score. That abuse is the one most available to a sponsor benchmarking its own device, and a reviewer comparing the anchoring instant against the evaluation period can detect it in seconds.</w:t>
      </w:r>
    </w:p>
    <w:p>
      <w:r>
        <w:rPr>
          <w:color w:val="777777"/>
          <w:sz w:val="16"/>
        </w:rPr>
        <w:t xml:space="preserve">p070 · att1 p.6  </w:t>
      </w:r>
      <w:r>
        <w:t>Question 26. Agentic devices — CDRH asks what additional considerations apply to agentic devices, and how the elevated risk of autonomous multi-step action, tool use, and reduced opportunity for human review should be reflected in acceptance criteria.</w:t>
      </w:r>
    </w:p>
    <w:p>
      <w:r>
        <w:rPr>
          <w:color w:val="777777"/>
          <w:sz w:val="16"/>
        </w:rPr>
        <w:t xml:space="preserve">p071 · att1 p.6  </w:t>
      </w:r>
      <w:r>
        <w:t>Four properties are worth requiring of the record an agentic device leaves behind. Each addresses a way an agentic run can look compliant while not being so, and none requires disclosing the content of the run.</w:t>
      </w:r>
    </w:p>
    <w:p>
      <w:r>
        <w:rPr>
          <w:color w:val="777777"/>
          <w:sz w:val="16"/>
        </w:rPr>
        <w:t xml:space="preserve">p072 · att1 p.7  </w:t>
      </w:r>
      <w:r>
        <w:t>12. A checkpoint that could not run must not read as one that passed. Where an oversight checkpoint was skipped, timed out, or was unreachable, the record should say so in terms distinguishable from a checkpoint that ran and approved. Absent that distinction, degraded operation is indistinguishable from clean operation in exactly the conditions where it matters.</w:t>
      </w:r>
    </w:p>
    <w:p>
      <w:r>
        <w:rPr>
          <w:color w:val="777777"/>
          <w:sz w:val="16"/>
        </w:rPr>
        <w:t xml:space="preserve">p073 · att1 p.7  </w:t>
      </w:r>
      <w:r>
        <w:t>13. Undeclared machine involvement must read as undeclared, not as human. Where a step's actor is not stated, the correct reading is that it is unknown. A record that omits the actor should not be readable as a record of human action, which is the default a reviewer will otherwise supply.</w:t>
      </w:r>
    </w:p>
    <w:p>
      <w:r>
        <w:rPr>
          <w:color w:val="777777"/>
          <w:sz w:val="16"/>
        </w:rPr>
        <w:t xml:space="preserve">p074 · att1 p.7  </w:t>
      </w:r>
      <w:r>
        <w:t>14. Each action should commit to which input origins were in context. Prompt injection reaching an agent through retrieved content or a tool result is not visible in the action itself. Committing to the origins in context at the moment of the action later distinguishes a device that was manipulated from one that malfunctioned.</w:t>
      </w:r>
    </w:p>
    <w:p>
      <w:r>
        <w:rPr>
          <w:color w:val="777777"/>
          <w:sz w:val="16"/>
        </w:rPr>
        <w:t xml:space="preserve">p075 · att1 p.7  </w:t>
      </w:r>
      <w:r>
        <w:t>15. The length of an action sequence should be committed. A signed chain of steps can be truncated after the fact, and a truncated chain can still verify perfectly. Committing to the expected length is what makes a cut chain detectable rather than merely shorter.</w:t>
      </w:r>
    </w:p>
    <w:p>
      <w:r>
        <w:rPr>
          <w:color w:val="777777"/>
          <w:sz w:val="16"/>
        </w:rPr>
        <w:t xml:space="preserve">p076 · att1 p.7  </w:t>
      </w:r>
      <w:r>
        <w:t>The first and second are the same structural point as Question 20: the failure is that an absence reads as a positive. The third and fourth are specific to multi-step autonomy, where the record is assembled over time and can be shaped by what it leaves out.</w:t>
      </w:r>
    </w:p>
    <w:p>
      <w:r>
        <w:rPr>
          <w:color w:val="777777"/>
          <w:sz w:val="16"/>
        </w:rPr>
        <w:t xml:space="preserve">p077 · att1 p.7  </w:t>
      </w:r>
      <w:r>
        <w:t>What I am and am not claiming.</w:t>
      </w:r>
    </w:p>
    <w:p>
      <w:r>
        <w:rPr>
          <w:color w:val="777777"/>
          <w:sz w:val="16"/>
        </w:rPr>
        <w:t xml:space="preserve">p078 · att1 p.7  </w:t>
      </w:r>
      <w:r>
        <w:t>The specification described above is licensed under Apache 2.0 for its schemas and reference code, and CC BY 4.0 for its prose. Its artifacts are canonicalized under RFC 8785, hashed with SHA-256, and signed with Ed25519, and it is hash-only by construction: commitments travel, content does not. The license terms above describe the terms the specification carries; I am not claiming here that it is publicly retrievable today.</w:t>
      </w:r>
    </w:p>
    <w:p>
      <w:r>
        <w:rPr>
          <w:color w:val="777777"/>
          <w:sz w:val="16"/>
        </w:rPr>
        <w:t xml:space="preserve">p079 · att1 p.7  </w:t>
      </w:r>
      <w:r>
        <w:t>It is not a broadly adopted public standard. There is no operational certification registry. The artifacts relevant to this comment differ in maturity, and each one's maturity is recorded and mechanically computed rather than asserted. I offer the vocabularies here as worked prior art demonstrating that the distinctions CDRH is contemplating can be made machine-checkable, not as a proposal that FDA adopt this particular specification.</w:t>
      </w:r>
    </w:p>
    <w:p>
      <w:r>
        <w:rPr>
          <w:color w:val="777777"/>
          <w:sz w:val="16"/>
        </w:rPr>
        <w:t xml:space="preserve">p080 · att1 p.7  </w:t>
      </w:r>
      <w:r>
        <w:t>Disclosure. This research is self-funded and received no external funding. To enable empirical validation, I built prototype implementations of the concepts described here; these are my personal intellectual property and may later be operated by a successor commercial entity. The specification itself remains openly licensed, so that any party holding a copy may implement it independently. A disclosure to the same effect appears in my June 2026 research paper.</w:t>
      </w:r>
    </w:p>
    <w:p>
      <w:r>
        <w:rPr>
          <w:color w:val="777777"/>
          <w:sz w:val="16"/>
        </w:rPr>
        <w:t xml:space="preserve">p081 · att1 p.7  </w:t>
      </w:r>
      <w:r>
        <w:t>Availability — A full crosswalk of all ten proposed benchmarking elements and all 26 discussion questions against specific artifacts, including the elements for which I have nothing to offer, is complete and available to CDRH staff on request. I would welcome correction on any point above, particularly from reviewers with the clinical grounding I lack.</w:t>
      </w:r>
    </w:p>
    <w:p>
      <w:r>
        <w:rPr>
          <w:color w:val="777777"/>
          <w:sz w:val="16"/>
        </w:rPr>
        <w:t xml:space="preserve">p082 · att1 p.7  </w:t>
      </w:r>
      <w:r>
        <w:t>Respectfully submitted,</w:t>
      </w:r>
    </w:p>
    <w:p>
      <w:r>
        <w:rPr>
          <w:color w:val="777777"/>
          <w:sz w:val="16"/>
        </w:rPr>
        <w:t xml:space="preserve">p083 · att1 p.7  </w:t>
      </w:r>
      <w:r>
        <w:t>Alexander D. Barrett: Senior Fellow, Verida Charter Foundation ORCID 0009-0003-0359-3163 adb@veridafoundation.org</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