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left"/>
      </w:pPr>
      <w:r>
        <w:t>PRISM</w:t>
      </w:r>
    </w:p>
    <w:p>
      <w:pPr>
        <w:pStyle w:val="Title"/>
        <w:spacing w:after="120"/>
      </w:pPr>
      <w:r>
        <w:t>Unified Data Model &amp;</w:t>
        <w:br/>
        <w:t>Cross-Engine Interface Specification</w:t>
      </w:r>
    </w:p>
    <w:p>
      <w:pPr>
        <w:pStyle w:val="Subtitle"/>
      </w:pPr>
      <w:r>
        <w:rPr>
          <w:color w:val="5B6573"/>
        </w:rPr>
        <w:t>Predictive Relocation &amp; Infrastructure Safety Matrix</w:t>
      </w:r>
    </w:p>
    <w:tbl>
      <w:tblPr>
        <w:tblW w:type="auto" w:w="0"/>
        <w:jc w:val="center"/>
        <w:tblLayout w:type="fixed"/>
        <w:tblLook w:firstColumn="1" w:firstRow="1" w:lastColumn="0" w:lastRow="0" w:noHBand="0" w:noVBand="1" w:val="04A0"/>
      </w:tblPr>
      <w:tblGrid>
        <w:gridCol w:w="10166"/>
      </w:tblGrid>
      <w:tr>
        <w:tc>
          <w:tcPr>
            <w:tcW w:type="dxa" w:w="10166"/>
            <w:shd w:fill="EAF3F8"/>
            <w:tcBorders>
              <w:top w:val="single" w:sz="12" w:color="1F4E79"/>
              <w:left w:val="single" w:sz="8" w:color="1F4E79"/>
              <w:bottom w:val="single" w:sz="8" w:color="1F4E79"/>
              <w:right w:val="single" w:sz="8" w:color="1F4E79"/>
            </w:tcBorders>
          </w:tcPr>
          <w:p>
            <w:pPr>
              <w:spacing w:after="40"/>
            </w:pPr>
            <w:r>
              <w:rPr>
                <w:b/>
                <w:color w:val="1F4E79"/>
                <w:sz w:val="21"/>
              </w:rPr>
              <w:t>Purpose of this artifact</w:t>
            </w:r>
          </w:p>
          <w:p>
            <w:pPr>
              <w:spacing w:after="20"/>
            </w:pPr>
            <w:r>
              <w:rPr>
                <w:color w:val="263238"/>
                <w:sz w:val="18"/>
              </w:rPr>
              <w:t>Convert the six PRISM R&amp;D knowledge packages and the cross-engine synthesis into one explicit engineering contract: canonical entities, ownership, field semantics, state/time rules, inter-engine payloads, event propagation, snapshots, scenario isolation and prototype API boundaries.</w:t>
            </w:r>
          </w:p>
        </w:tc>
      </w:tr>
    </w:tbl>
    <w:p>
      <w:pPr>
        <w:spacing w:after="40"/>
      </w:pPr>
    </w:p>
    <w:p>
      <w:pPr>
        <w:jc w:val="center"/>
      </w:pPr>
      <w:r>
        <w:drawing>
          <wp:inline xmlns:a="http://schemas.openxmlformats.org/drawingml/2006/main" xmlns:pic="http://schemas.openxmlformats.org/drawingml/2006/picture">
            <wp:extent cx="5989320" cy="1416877"/>
            <wp:docPr id="1" name="Picture 1" descr="Figure 1. PRISM system contract: HAZARD to HUMAN to PRIORITY to CAPACITY to RELOCATION to ACTION, with Engine 6 as the integration backbone and Engine 5 as the adaptation layer." title="Figure 1. PRISM system contract"/>
            <wp:cNvGraphicFramePr>
              <a:graphicFrameLocks noChangeAspect="1"/>
            </wp:cNvGraphicFramePr>
            <a:graphic>
              <a:graphicData uri="http://schemas.openxmlformats.org/drawingml/2006/picture">
                <pic:pic>
                  <pic:nvPicPr>
                    <pic:cNvPr id="0" name="system_contract.png"/>
                    <pic:cNvPicPr/>
                  </pic:nvPicPr>
                  <pic:blipFill>
                    <a:blip r:embed="rId11"/>
                    <a:stretch>
                      <a:fillRect/>
                    </a:stretch>
                  </pic:blipFill>
                  <pic:spPr>
                    <a:xfrm>
                      <a:off x="0" y="0"/>
                      <a:ext cx="5989320" cy="1416877"/>
                    </a:xfrm>
                    <a:prstGeom prst="rect"/>
                  </pic:spPr>
                </pic:pic>
              </a:graphicData>
            </a:graphic>
          </wp:inline>
        </w:drawing>
      </w:r>
    </w:p>
    <w:p>
      <w:pPr>
        <w:jc w:val="center"/>
      </w:pPr>
      <w:r>
        <w:rPr>
          <w:i/>
          <w:color w:val="666666"/>
          <w:sz w:val="17"/>
        </w:rPr>
        <w:t>Figure 1. PRISM system contract: HAZARD → HUMAN → PRIORITY → CAPACITY → RELOCATION → ACTION, with E6 as the shared integration backbone and E5 as the adaptation layer.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shd w:fill="1F4E79"/>
          </w:tcPr>
          <w:p>
            <w:pPr>
              <w:spacing w:after="20"/>
              <w:jc w:val="center"/>
            </w:pPr>
            <w:r/>
            <w:r>
              <w:rPr>
                <w:rFonts w:ascii="Aptos" w:hAnsi="Aptos"/>
                <w:b/>
                <w:color w:val="FFFFFF"/>
                <w:sz w:val="18"/>
              </w:rPr>
              <w:t>Attribute</w:t>
            </w:r>
          </w:p>
        </w:tc>
        <w:tc>
          <w:tcPr>
            <w:tcW w:type="dxa" w:w="7200"/>
            <w:vAlign w:val="center"/>
            <w:shd w:fill="1F4E79"/>
          </w:tcPr>
          <w:p>
            <w:pPr>
              <w:spacing w:after="20"/>
              <w:jc w:val="center"/>
            </w:pPr>
            <w:r/>
            <w:r>
              <w:rPr>
                <w:rFonts w:ascii="Aptos" w:hAnsi="Aptos"/>
                <w:b/>
                <w:color w:val="FFFFFF"/>
                <w:sz w:val="18"/>
              </w:rPr>
              <w:t>Value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System</w:t>
            </w:r>
          </w:p>
        </w:tc>
        <w:tc>
          <w:tcPr>
            <w:tcW w:type="dxa" w:w="72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PRISM — Predictive Relocation &amp; Infrastructure Safety Matrix</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Artifact</w:t>
            </w:r>
          </w:p>
        </w:tc>
        <w:tc>
          <w:tcPr>
            <w:tcW w:type="dxa" w:w="72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Unified Data Model &amp; Cross-Engine Interface Specification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Version</w:t>
            </w:r>
          </w:p>
        </w:tc>
        <w:tc>
          <w:tcPr>
            <w:tcW w:type="dxa" w:w="72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v1.0 Draft / Integration Baseline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Status</w:t>
            </w:r>
          </w:p>
        </w:tc>
        <w:tc>
          <w:tcPr>
            <w:tcW w:type="dxa" w:w="72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Prototype engineering specification; exact implementation choices remain testable/configurable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Basis</w:t>
            </w:r>
          </w:p>
        </w:tc>
        <w:tc>
          <w:tcPr>
            <w:tcW w:type="dxa" w:w="72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Engines 1–6 R&amp;D packages + PRISM Cross-Engine Synthesis v1.0</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Primary use</w:t>
            </w:r>
          </w:p>
        </w:tc>
        <w:tc>
          <w:tcPr>
            <w:tcW w:type="dxa" w:w="72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System architecture, prototype implementation and eventual master AI build specification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Prototype posture</w:t>
            </w:r>
          </w:p>
        </w:tc>
        <w:tc>
          <w:tcPr>
            <w:tcW w:type="dxa" w:w="72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Software-first; modular monolith; PostgreSQL/PostGIS; public/synthetic data; human-in-the-loop</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Decision authority</w:t>
            </w:r>
          </w:p>
        </w:tc>
        <w:tc>
          <w:tcPr>
            <w:tcW w:type="dxa" w:w="72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8"/>
              </w:rPr>
              <w:t>Authorized human authorities review/override recommendations</w:t>
            </w:r>
          </w:p>
        </w:tc>
      </w:tr>
    </w:tbl>
    <w:p>
      <w:pPr>
        <w:spacing w:after="40"/>
      </w:pPr>
    </w:p>
    <w:p>
      <w:pPr>
        <w:spacing w:before="200"/>
      </w:pPr>
      <w:r>
        <w:rPr>
          <w:b/>
          <w:color w:val="1F4E79"/>
        </w:rPr>
        <w:t xml:space="preserve">Important reading rule: </w:t>
      </w:r>
      <w:r>
        <w:t>This artifact makes previously conceptual interfaces explicit enough to build against, but it does not pretend that unresolved empirical choices (for example exact hazard thresholds or final optimization weights) have been scientifically validated. Those items are identified as configurable or open decisions.</w:t>
      </w:r>
    </w:p>
    <w:p>
      <w:r>
        <w:br w:type="page"/>
      </w:r>
    </w:p>
    <w:p>
      <w:pPr>
        <w:pStyle w:val="Heading1"/>
      </w:pPr>
      <w:r>
        <w:t>0. Document Control &amp; Reading Guide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vAlign w:val="center"/>
            <w:shd w:fill="1F4E79"/>
          </w:tcPr>
          <w:p>
            <w:pPr>
              <w:spacing w:after="20"/>
              <w:jc w:val="center"/>
            </w:pPr>
            <w:r/>
            <w:r>
              <w:rPr>
                <w:rFonts w:ascii="Aptos" w:hAnsi="Aptos"/>
                <w:b/>
                <w:color w:val="FFFFFF"/>
                <w:sz w:val="17"/>
              </w:rPr>
              <w:t>Item</w:t>
            </w:r>
          </w:p>
        </w:tc>
        <w:tc>
          <w:tcPr>
            <w:tcW w:type="dxa" w:w="5083"/>
            <w:vAlign w:val="center"/>
            <w:shd w:fill="1F4E79"/>
          </w:tcPr>
          <w:p>
            <w:pPr>
              <w:spacing w:after="20"/>
              <w:jc w:val="center"/>
            </w:pPr>
            <w:r/>
            <w:r>
              <w:rPr>
                <w:rFonts w:ascii="Aptos" w:hAnsi="Aptos"/>
                <w:b/>
                <w:color w:val="FFFFFF"/>
                <w:sz w:val="17"/>
              </w:rPr>
              <w:t>Specification</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Scope</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Canonical cross-engine data model, metadata envelope, interface contracts, event model, snapshots, scenarios, API conventions, prototype database domains and validation rules.</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Out of scope</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Detailed physical hazard model calibration, final vulnerability weights, production-scale traffic simulation, national deployment governance, full cloud topology.</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Authority of terminology</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Original PRISM engine R&amp;D documents and the cross-engine synthesis are the primary internal authority for names, boundaries and semantics.</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External standards role</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Standards referenced by Engine 6 provide interoperability and implementation patterns; they are not automatically mandates for the prototype.</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Change policy</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Changes to canonical fields/contracts require a versioned specification change and cross-engine compatibility check.</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E2F0D9"/>
            <w:tcBorders>
              <w:top w:val="single" w:sz="12" w:color="548235"/>
              <w:left w:val="single" w:sz="8" w:color="548235"/>
              <w:bottom w:val="single" w:sz="8" w:color="548235"/>
              <w:right w:val="single" w:sz="8" w:color="548235"/>
            </w:tcBorders>
          </w:tcPr>
          <w:p>
            <w:pPr>
              <w:spacing w:after="40"/>
            </w:pPr>
            <w:r>
              <w:rPr>
                <w:b/>
                <w:color w:val="548235"/>
                <w:sz w:val="21"/>
              </w:rPr>
              <w:t>Why this document exists now</w:t>
            </w:r>
          </w:p>
          <w:p>
            <w:pPr>
              <w:spacing w:after="20"/>
            </w:pPr>
            <w:r>
              <w:rPr>
                <w:color w:val="263238"/>
                <w:sz w:val="18"/>
              </w:rPr>
              <w:t>The R&amp;D phase answered “what must each engine know?”. This phase answers “how does that knowledge become one consistent system state?” The next artifact after this one is the System Architecture Specification, not another engine R&amp;D document.</w:t>
            </w:r>
          </w:p>
        </w:tc>
      </w:tr>
    </w:tbl>
    <w:p>
      <w:pPr>
        <w:spacing w:after="40"/>
      </w:pPr>
    </w:p>
    <w:p>
      <w:pPr>
        <w:pStyle w:val="Heading2"/>
      </w:pPr>
      <w:r>
        <w:t>Document roadmap</w:t>
      </w:r>
    </w:p>
    <w:p>
      <w:pPr>
        <w:pStyle w:val="ListNumber"/>
        <w:spacing w:after="60"/>
      </w:pPr>
      <w:r>
        <w:t>System contract and non-overlap rules</w:t>
      </w:r>
    </w:p>
    <w:p>
      <w:pPr>
        <w:pStyle w:val="ListNumber"/>
        <w:spacing w:after="60"/>
      </w:pPr>
      <w:r>
        <w:t>Canonical data model and shared metadata envelope</w:t>
      </w:r>
    </w:p>
    <w:p>
      <w:pPr>
        <w:pStyle w:val="ListNumber"/>
        <w:spacing w:after="60"/>
      </w:pPr>
      <w:r>
        <w:t>Entity schemas, relationships and ownership</w:t>
      </w:r>
    </w:p>
    <w:p>
      <w:pPr>
        <w:pStyle w:val="ListNumber"/>
        <w:spacing w:after="60"/>
      </w:pPr>
      <w:r>
        <w:t>State, time, freshness, uncertainty and provenance semantics</w:t>
      </w:r>
    </w:p>
    <w:p>
      <w:pPr>
        <w:pStyle w:val="ListNumber"/>
        <w:spacing w:after="60"/>
      </w:pPr>
      <w:r>
        <w:t>Cross-engine service contracts and event propagation</w:t>
      </w:r>
    </w:p>
    <w:p>
      <w:pPr>
        <w:pStyle w:val="ListNumber"/>
        <w:spacing w:after="60"/>
      </w:pPr>
      <w:r>
        <w:t>Snapshots, scenario isolation and Engine 5 orchestration boundary</w:t>
      </w:r>
    </w:p>
    <w:p>
      <w:pPr>
        <w:pStyle w:val="ListNumber"/>
        <w:spacing w:after="60"/>
      </w:pPr>
      <w:r>
        <w:t>Prototype API conventions and logical database domains</w:t>
      </w:r>
    </w:p>
    <w:p>
      <w:pPr>
        <w:pStyle w:val="ListNumber"/>
        <w:spacing w:after="60"/>
      </w:pPr>
      <w:r>
        <w:t>Validation, unresolved decisions and worked end-to-end scenario</w:t>
      </w:r>
    </w:p>
    <w:p>
      <w:pPr>
        <w:pStyle w:val="Heading1"/>
      </w:pPr>
      <w:r>
        <w:t>1. Unified PRISM System Contract</w:t>
      </w:r>
    </w:p>
    <w:p>
      <w:r>
        <w:t>PRISM is treated as a spatial, temporal, uncertainty-aware, people-aware decision-support system whose defining workflow connects specialized engines without duplicating their domain logic.</w:t>
      </w:r>
    </w:p>
    <w:tbl>
      <w:tblPr>
        <w:tblW w:type="auto" w:w="0"/>
        <w:jc w:val="center"/>
        <w:tblLayout w:type="fixed"/>
        <w:tblLook w:firstColumn="1" w:firstRow="1" w:lastColumn="0" w:lastRow="0" w:noHBand="0" w:noVBand="1" w:val="04A0"/>
      </w:tblPr>
      <w:tblGrid>
        <w:gridCol w:w="10166"/>
      </w:tblGrid>
      <w:tr>
        <w:tc>
          <w:tcPr>
            <w:tcW w:type="dxa" w:w="10166"/>
            <w:shd w:fill="FFF2CC"/>
            <w:tcBorders>
              <w:top w:val="single" w:sz="12" w:color="7F6000"/>
              <w:left w:val="single" w:sz="8" w:color="7F6000"/>
              <w:bottom w:val="single" w:sz="8" w:color="7F6000"/>
              <w:right w:val="single" w:sz="8" w:color="7F6000"/>
            </w:tcBorders>
          </w:tcPr>
          <w:p>
            <w:pPr>
              <w:spacing w:after="40"/>
            </w:pPr>
            <w:r>
              <w:rPr>
                <w:b/>
                <w:color w:val="7F6000"/>
                <w:sz w:val="21"/>
              </w:rPr>
              <w:t>Canonical chain</w:t>
            </w:r>
          </w:p>
          <w:p>
            <w:pPr>
              <w:spacing w:after="20"/>
            </w:pPr>
            <w:r>
              <w:rPr>
                <w:color w:val="263238"/>
                <w:sz w:val="18"/>
              </w:rPr>
              <w:t>HAZARD → HUMAN → PRIORITY → CAPACITY → RELOCATION → ACTION</w:t>
            </w:r>
          </w:p>
        </w:tc>
      </w:tr>
    </w:tbl>
    <w:p>
      <w:pPr>
        <w:spacing w:after="40"/>
      </w:pP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Question PRISM must answer</w:t>
            </w:r>
          </w:p>
        </w:tc>
        <w:tc>
          <w:tcPr>
            <w:tcW w:type="dxa" w:w="3389"/>
            <w:vAlign w:val="center"/>
            <w:shd w:fill="1F4E79"/>
          </w:tcPr>
          <w:p>
            <w:pPr>
              <w:spacing w:after="20"/>
              <w:jc w:val="center"/>
            </w:pPr>
            <w:r/>
            <w:r>
              <w:rPr>
                <w:rFonts w:ascii="Aptos" w:hAnsi="Aptos"/>
                <w:b/>
                <w:color w:val="FFFFFF"/>
                <w:sz w:val="17"/>
              </w:rPr>
              <w:t>Owning component</w:t>
            </w:r>
          </w:p>
        </w:tc>
        <w:tc>
          <w:tcPr>
            <w:tcW w:type="dxa" w:w="3389"/>
            <w:vAlign w:val="center"/>
            <w:shd w:fill="1F4E79"/>
          </w:tcPr>
          <w:p>
            <w:pPr>
              <w:spacing w:after="20"/>
              <w:jc w:val="center"/>
            </w:pPr>
            <w:r/>
            <w:r>
              <w:rPr>
                <w:rFonts w:ascii="Aptos" w:hAnsi="Aptos"/>
                <w:b/>
                <w:color w:val="FFFFFF"/>
                <w:sz w:val="17"/>
              </w:rPr>
              <w:t>Primary output</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What hazard is present and how intense is it?</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1</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Current hazard state + intensity + extent</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Where might the hazard move or expand?</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1</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Predicted hazard extent + future Red Zone + uncertainty / time-to-impact</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Which habitations / households are exposed and vulnerable?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2</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Exposure assessment + vulnerability profile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Who needs relocation attention first?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2</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Explainable priority class/score + reason codes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Which destinations are usable and safe?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3</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 safety/readiness + effective capacity + bottleneck</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How do people reach destinations safely?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4</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Route feasibility + route cost/risk + alternatives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Who goes to which destination?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4</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Constrained allocation + unmet demand where necessary</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What changes if conditions change?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5</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delta + targeted recomputation + revised plan</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How is one consistent state stored and exchanged?</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6</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Canonical state, contracts, provenance, events, snapshots</w:t>
            </w:r>
          </w:p>
        </w:tc>
      </w:tr>
    </w:tbl>
    <w:p>
      <w:pPr>
        <w:spacing w:after="40"/>
      </w:pPr>
    </w:p>
    <w:p>
      <w:pPr>
        <w:pStyle w:val="Heading2"/>
      </w:pPr>
      <w:r>
        <w:t>1.1 Non-overlap rules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Boundary</w:t>
            </w:r>
          </w:p>
        </w:tc>
        <w:tc>
          <w:tcPr>
            <w:tcW w:type="dxa" w:w="3389"/>
            <w:vAlign w:val="center"/>
            <w:shd w:fill="1F4E79"/>
          </w:tcPr>
          <w:p>
            <w:pPr>
              <w:spacing w:after="20"/>
              <w:jc w:val="center"/>
            </w:pPr>
            <w:r/>
            <w:r>
              <w:rPr>
                <w:rFonts w:ascii="Aptos" w:hAnsi="Aptos"/>
                <w:b/>
                <w:color w:val="FFFFFF"/>
                <w:sz w:val="17"/>
              </w:rPr>
              <w:t>Rule</w:t>
            </w:r>
          </w:p>
        </w:tc>
        <w:tc>
          <w:tcPr>
            <w:tcW w:type="dxa" w:w="3389"/>
            <w:vAlign w:val="center"/>
            <w:shd w:fill="1F4E79"/>
          </w:tcPr>
          <w:p>
            <w:pPr>
              <w:spacing w:after="20"/>
              <w:jc w:val="center"/>
            </w:pPr>
            <w:r/>
            <w:r>
              <w:rPr>
                <w:rFonts w:ascii="Aptos" w:hAnsi="Aptos"/>
                <w:b/>
                <w:color w:val="FFFFFF"/>
                <w:sz w:val="17"/>
              </w:rPr>
              <w:t>Implementation consequence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 vs vulnerability vs priority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 owns physical hazard state; E2 owns people-side vulnerability and priority.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Never embed household vulnerability into hazard-intensity calculations.</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Exposure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 supplies hazard geometry/intensity/prediction; E2 performs the people/habitation exposure join.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 does not own household priority.</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 ranking vs allocation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 evaluates destination suitability/capacity; E4 owns final allocation because it must respect route feasibility and capacity together.</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 cannot silently assign households.</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Routing vs allocation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E4 computes routes and the coupled assignment layer.</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Routing remains an explicit sub-decision inside E4.</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Simulation vs specialist engines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E5 owns scenario semantics and dependency-aware recalculation; it is not a second hazard/priority/capacity/route model.</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E5 calls specialist computations rather than duplicating them.</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Data/integration vs domain decisions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E6 provides canonical storage, GIS/state/provenance/contracts/events/snapshots; E1–E5 retain decision logic.</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No hidden “master score” in E6.</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Community assistance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Optional assistance submodule connected to E2/dashboard.</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It does not replace rescue, emergency services or authorities.</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Human authority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Recommendations remain reviewable/overridable.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No automatic operational command from model output.</w:t>
            </w:r>
          </w:p>
        </w:tc>
      </w:tr>
    </w:tbl>
    <w:p>
      <w:pPr>
        <w:spacing w:after="40"/>
      </w:pPr>
    </w:p>
    <w:p>
      <w:r>
        <w:br w:type="page"/>
      </w:r>
    </w:p>
    <w:p>
      <w:pPr>
        <w:pStyle w:val="Heading1"/>
      </w:pPr>
      <w:r>
        <w:t>2. Shared Semantic Model &amp; Invariants</w:t>
      </w:r>
    </w:p>
    <w:p>
      <w:r>
        <w:t>The same term must mean the same thing everywhere. These distinctions are inherited from the cross-engine synthesis and are treated as cross-engine invariants.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Concept</w:t>
            </w:r>
          </w:p>
        </w:tc>
        <w:tc>
          <w:tcPr>
            <w:tcW w:type="dxa" w:w="3389"/>
            <w:vAlign w:val="center"/>
            <w:shd w:fill="1F4E79"/>
          </w:tcPr>
          <w:p>
            <w:pPr>
              <w:spacing w:after="20"/>
              <w:jc w:val="center"/>
            </w:pPr>
            <w:r/>
            <w:r>
              <w:rPr>
                <w:rFonts w:ascii="Aptos" w:hAnsi="Aptos"/>
                <w:b/>
                <w:color w:val="FFFFFF"/>
                <w:sz w:val="17"/>
              </w:rPr>
              <w:t>PRISM meaning</w:t>
            </w:r>
          </w:p>
        </w:tc>
        <w:tc>
          <w:tcPr>
            <w:tcW w:type="dxa" w:w="3389"/>
            <w:vAlign w:val="center"/>
            <w:shd w:fill="1F4E79"/>
          </w:tcPr>
          <w:p>
            <w:pPr>
              <w:spacing w:after="20"/>
              <w:jc w:val="center"/>
            </w:pPr>
            <w:r/>
            <w:r>
              <w:rPr>
                <w:rFonts w:ascii="Aptos" w:hAnsi="Aptos"/>
                <w:b/>
                <w:color w:val="FFFFFF"/>
                <w:sz w:val="17"/>
              </w:rPr>
              <w:t>Owner</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 intensity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Physical magnitude/severity at a location and time.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 extent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Geographic area currently affected or represented by the hazard model.</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Red Zone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Operational classification derived from hazard evidence and configured criteria; threshold/context must be traceable.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Exposure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People, households, habitations or infrastructure intersecting/affected by hazard conditions.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E2 for people-side assessment</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Vulnerability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Susceptibility to harm and evacuation difficulty from relevant demographic/functional/assistance/habitation factors.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E2</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Relocation priority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Decision-support urgency derived from exposure, vulnerability, time-to-impact, accessibility, assistance and policy/configuration.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E2</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 safety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Whether a candidate site satisfies current/future safety constraints and operational readiness.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Effective capacity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People-supportable capacity constrained by limiting essential resources and operational conditions, not raw space alone.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Route feasibility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Whether a route is compatible with road state, hazard conditions, time window, mobility and hard constraints.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E4</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Relocation allocation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Mapping of movement units to viable destinations under safety, capacity, accessibility and urgency constraints.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E4</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Explicit hypothetical or event-driven change applied to a baseline state for impact analysis.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E5</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Decision state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Versioned, timestamped view of hazard, people, destinations, network and allocations used for a PRISM decision.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E6 / shared</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FFF2CC"/>
            <w:tcBorders>
              <w:top w:val="single" w:sz="12" w:color="7F6000"/>
              <w:left w:val="single" w:sz="8" w:color="7F6000"/>
              <w:bottom w:val="single" w:sz="8" w:color="7F6000"/>
              <w:right w:val="single" w:sz="8" w:color="7F6000"/>
            </w:tcBorders>
          </w:tcPr>
          <w:p>
            <w:pPr>
              <w:spacing w:after="40"/>
            </w:pPr>
            <w:r>
              <w:rPr>
                <w:b/>
                <w:color w:val="7F6000"/>
                <w:sz w:val="21"/>
              </w:rPr>
              <w:t>Invariant: vulnerability is not exposure, and exposure is not priority</w:t>
            </w:r>
          </w:p>
          <w:p>
            <w:pPr>
              <w:spacing w:after="20"/>
            </w:pPr>
            <w:r>
              <w:rPr>
                <w:color w:val="263238"/>
                <w:sz w:val="18"/>
              </w:rPr>
              <w:t>A household inside a Red Zone may have high exposure but not necessarily the same vulnerability or relocation urgency as another household. Conversely, absence of detailed household registration must never be interpreted as absence of vulnerability.</w:t>
            </w:r>
          </w:p>
        </w:tc>
      </w:tr>
    </w:tbl>
    <w:p>
      <w:pPr>
        <w:spacing w:after="40"/>
      </w:pPr>
    </w:p>
    <w:p>
      <w:pPr>
        <w:pStyle w:val="Heading1"/>
      </w:pPr>
      <w:r>
        <w:t>3. Canonical Data Model</w:t>
      </w:r>
    </w:p>
    <w:p>
      <w:r>
        <w:t>The consolidated model intentionally separates stable master data, time-varying operational state, derived decision records and scenario metadata. The exact physical SQL design may change later; these semantics should remain stable.</w:t>
      </w:r>
    </w:p>
    <w:p>
      <w:pPr>
        <w:jc w:val="center"/>
      </w:pPr>
      <w:r>
        <w:drawing>
          <wp:inline xmlns:a="http://schemas.openxmlformats.org/drawingml/2006/main" xmlns:pic="http://schemas.openxmlformats.org/drawingml/2006/picture">
            <wp:extent cx="5989320" cy="1840221"/>
            <wp:docPr id="2" name="Picture 2" descr="Figure 2. Core entity relationships and cross-engine dependencies. Dashed links denote scenario/snapshot context rather than ordinary business ownership." title="Figure 2. Core entity relationships and cross-engine dependencies. Dashed links denote scenario/snapshot context rather than ordinary business ownership."/>
            <wp:cNvGraphicFramePr>
              <a:graphicFrameLocks noChangeAspect="1"/>
            </wp:cNvGraphicFramePr>
            <a:graphic>
              <a:graphicData uri="http://schemas.openxmlformats.org/drawingml/2006/picture">
                <pic:pic>
                  <pic:nvPicPr>
                    <pic:cNvPr id="0" name="entity_relationships.png"/>
                    <pic:cNvPicPr/>
                  </pic:nvPicPr>
                  <pic:blipFill>
                    <a:blip r:embed="rId12"/>
                    <a:stretch>
                      <a:fillRect/>
                    </a:stretch>
                  </pic:blipFill>
                  <pic:spPr>
                    <a:xfrm>
                      <a:off x="0" y="0"/>
                      <a:ext cx="5989320" cy="1840221"/>
                    </a:xfrm>
                    <a:prstGeom prst="rect"/>
                  </pic:spPr>
                </pic:pic>
              </a:graphicData>
            </a:graphic>
          </wp:inline>
        </w:drawing>
      </w:r>
    </w:p>
    <w:p>
      <w:pPr>
        <w:jc w:val="center"/>
      </w:pPr>
      <w:r>
        <w:rPr>
          <w:i/>
          <w:color w:val="666666"/>
          <w:sz w:val="17"/>
        </w:rPr>
        <w:t>Figure 2. Core entity relationships and cross-engine dependencies. Dashed links denote scenario/snapshot context rather than ordinary business ownership.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vAlign w:val="center"/>
            <w:shd w:fill="1F4E79"/>
          </w:tcPr>
          <w:p>
            <w:pPr>
              <w:spacing w:after="20"/>
              <w:jc w:val="center"/>
            </w:pPr>
            <w:r/>
            <w:r>
              <w:rPr>
                <w:rFonts w:ascii="Aptos" w:hAnsi="Aptos"/>
                <w:b/>
                <w:color w:val="FFFFFF"/>
                <w:sz w:val="16"/>
              </w:rPr>
              <w:t>Entity</w:t>
            </w:r>
          </w:p>
        </w:tc>
        <w:tc>
          <w:tcPr>
            <w:tcW w:type="dxa" w:w="4320"/>
            <w:vAlign w:val="center"/>
            <w:shd w:fill="1F4E79"/>
          </w:tcPr>
          <w:p>
            <w:pPr>
              <w:spacing w:after="20"/>
              <w:jc w:val="center"/>
            </w:pPr>
            <w:r/>
            <w:r>
              <w:rPr>
                <w:rFonts w:ascii="Aptos" w:hAnsi="Aptos"/>
                <w:b/>
                <w:color w:val="FFFFFF"/>
                <w:sz w:val="16"/>
              </w:rPr>
              <w:t>Purpose</w:t>
            </w:r>
          </w:p>
        </w:tc>
        <w:tc>
          <w:tcPr>
            <w:tcW w:type="dxa" w:w="1728"/>
            <w:vAlign w:val="center"/>
            <w:shd w:fill="1F4E79"/>
          </w:tcPr>
          <w:p>
            <w:pPr>
              <w:spacing w:after="20"/>
              <w:jc w:val="center"/>
            </w:pPr>
            <w:r/>
            <w:r>
              <w:rPr>
                <w:rFonts w:ascii="Aptos" w:hAnsi="Aptos"/>
                <w:b/>
                <w:color w:val="FFFFFF"/>
                <w:sz w:val="16"/>
              </w:rPr>
              <w:t>Primary producer/owner</w:t>
            </w:r>
          </w:p>
        </w:tc>
        <w:tc>
          <w:tcPr>
            <w:tcW w:type="dxa" w:w="1512"/>
            <w:vAlign w:val="center"/>
            <w:shd w:fill="1F4E79"/>
          </w:tcPr>
          <w:p>
            <w:pPr>
              <w:spacing w:after="20"/>
              <w:jc w:val="center"/>
            </w:pPr>
            <w:r/>
            <w:r>
              <w:rPr>
                <w:rFonts w:ascii="Aptos" w:hAnsi="Aptos"/>
                <w:b/>
                <w:color w:val="FFFFFF"/>
                <w:sz w:val="16"/>
              </w:rPr>
              <w:t>Main consumers</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DataSource</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Origin, authority/status, access method and metadata for a data source.</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E6</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All engines</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Observation</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Observed/reported measurement or event tied to space/time/source.</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E6</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E1/E3/E4</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HazardState</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Current physical hazard condition and extent.</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E1</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E2/E3/E4/E5</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HazardPrediction</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Future hazard state with horizon, uncertainty/evidence and time-to-impact.</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E1</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E2/E3/E4/E5</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RedZone</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Operational hazard classification derived from evidence + configured criteria.</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E1</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E2/E3/E4/E5</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HazardEvidence</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Supporting evidence item with source, timestamp, quality and provenance.</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E1/shared</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E2/E3/E4/E5/dashboard</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StudyArea</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Geographic study context and administrative metadata.</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Shared GIS/E6</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All</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Habitation</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Settlement/location context, population estimate, access and infrastructure indicators.</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E2/GIS</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E1/E3/E4/E5</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Household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 voluntary household-level vulnerability information.</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E2/E4/E5</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ExposureAssessment</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 exposure state for a person/group/habitation subject.</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E2/E3/E4/E5</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VulnerabilityProfile</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Derived people-side vulnerability factors and score/class.</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E2/E4/E5</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PriorityRecord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Explainable relocation priority class/score and contributing reasons.</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E3/E4/E5/dashboard</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AssistanceResource</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Authorized community/assistance capability and status.</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 assistance submodule</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E2/dashboard</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AssistanceAssignment</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Household/group-to-assistance matching status.</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E2/dashboard</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Destination</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Candidate relocation site with operational/safety/readiness state.</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E3</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E4/E5/dashboard</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ResourceCapacity</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Resource-specific raw capacity and people-supportable value.</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E3</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E3/E4/E5</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RoadSegment / RouteEdge</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Base road/path segment plus dynamic operational state.</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E4</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E1/E3/E5</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RoutePlan</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Candidate/selected route with ETA, risk, hazard intersection and validity.</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E4</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E4/E5/dashboard</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RelocationGroup</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Movement unit used for routing/allocation; normally household or grouped demand.</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E2/E4</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E4/E5</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RelocationAllocation</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Assignment of group/demand to destination and route, including unmet demand state.</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E4</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E5/dashboard</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What-if/event-driven change and assumptions referencing a baseline snapshot.</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E5</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E6/all</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StateSnapshot</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Consistent cross-engine state reference used for a calculation/view.</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E6</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E5/all</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Recommendation</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Human-reviewable decision-support result with reasons, provenance and override status.</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E2/E3/E4/E5</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Dashboard/authority</w:t>
            </w:r>
          </w:p>
        </w:tc>
      </w:tr>
      <w:tr>
        <w:trPr>
          <w:cantSplit/>
        </w:trPr>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ReasonCode</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Machine-readable reason for a change, status or recommendation.</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Shared</w:t>
            </w:r>
          </w:p>
        </w:tc>
        <w:tc>
          <w:tcPr>
            <w:tcW w:type="dxa" w:w="151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All</w:t>
            </w:r>
          </w:p>
        </w:tc>
      </w:tr>
      <w:tr>
        <w:trPr>
          <w:cantSplit/>
        </w:trPr>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AuditEvent</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Attributable record of who/what changed what, when and why.</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E6</w:t>
            </w:r>
          </w:p>
        </w:tc>
        <w:tc>
          <w:tcPr>
            <w:tcW w:type="dxa" w:w="151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Authority/admin</w:t>
            </w:r>
          </w:p>
        </w:tc>
      </w:tr>
    </w:tbl>
    <w:p>
      <w:pPr>
        <w:spacing w:after="40"/>
      </w:pPr>
    </w:p>
    <w:p>
      <w:r>
        <w:br w:type="page"/>
      </w:r>
    </w:p>
    <w:p>
      <w:pPr>
        <w:pStyle w:val="Heading1"/>
      </w:pPr>
      <w:r>
        <w:t>4. Common Metadata Envelope</w:t>
      </w:r>
    </w:p>
    <w:p>
      <w:r>
        <w:t>Nearly every dynamic or derived record should carry a common context envelope. This prevents the system from silently combining incompatible timestamps, scenario states or quality assumptions.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vAlign w:val="center"/>
            <w:shd w:fill="1F4E79"/>
          </w:tcPr>
          <w:p>
            <w:pPr>
              <w:spacing w:after="20"/>
              <w:jc w:val="center"/>
            </w:pPr>
            <w:r/>
            <w:r>
              <w:rPr>
                <w:rFonts w:ascii="Aptos" w:hAnsi="Aptos"/>
                <w:b/>
                <w:color w:val="FFFFFF"/>
                <w:sz w:val="16"/>
              </w:rPr>
              <w:t>Field</w:t>
            </w:r>
          </w:p>
        </w:tc>
        <w:tc>
          <w:tcPr>
            <w:tcW w:type="dxa" w:w="3672"/>
            <w:vAlign w:val="center"/>
            <w:shd w:fill="1F4E79"/>
          </w:tcPr>
          <w:p>
            <w:pPr>
              <w:spacing w:after="20"/>
              <w:jc w:val="center"/>
            </w:pPr>
            <w:r/>
            <w:r>
              <w:rPr>
                <w:rFonts w:ascii="Aptos" w:hAnsi="Aptos"/>
                <w:b/>
                <w:color w:val="FFFFFF"/>
                <w:sz w:val="16"/>
              </w:rPr>
              <w:t>Meaning</w:t>
            </w:r>
          </w:p>
        </w:tc>
        <w:tc>
          <w:tcPr>
            <w:tcW w:type="dxa" w:w="3744"/>
            <w:vAlign w:val="center"/>
            <w:shd w:fill="1F4E79"/>
          </w:tcPr>
          <w:p>
            <w:pPr>
              <w:spacing w:after="20"/>
              <w:jc w:val="center"/>
            </w:pPr>
            <w:r/>
            <w:r>
              <w:rPr>
                <w:rFonts w:ascii="Aptos" w:hAnsi="Aptos"/>
                <w:b/>
                <w:color w:val="FFFFFF"/>
                <w:sz w:val="16"/>
              </w:rPr>
              <w:t>Rule</w:t>
            </w:r>
          </w:p>
        </w:tc>
      </w:tr>
      <w:tr>
        <w:trPr>
          <w:cantSplit/>
        </w:trPr>
        <w:tc>
          <w:tcPr>
            <w:tcW w:type="dxa" w:w="201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entity_id / record_id</w:t>
            </w:r>
          </w:p>
        </w:tc>
        <w:tc>
          <w:tcPr>
            <w:tcW w:type="dxa" w:w="367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Stable identifier for the represented entity/derived record.</w:t>
            </w:r>
          </w:p>
        </w:tc>
        <w:tc>
          <w:tcPr>
            <w:tcW w:type="dxa" w:w="37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Stable across recomputation for real-world entities; derived-record IDs may version per run.</w:t>
            </w:r>
          </w:p>
        </w:tc>
      </w:tr>
      <w:tr>
        <w:trPr>
          <w:cantSplit/>
        </w:trPr>
        <w:tc>
          <w:tcPr>
            <w:tcW w:type="dxa" w:w="201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source</w:t>
            </w:r>
          </w:p>
        </w:tc>
        <w:tc>
          <w:tcPr>
            <w:tcW w:type="dxa" w:w="367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Where the value came from: official feed, dataset, sensor, model, operator, synthetic demo, etc.</w:t>
            </w:r>
          </w:p>
        </w:tc>
        <w:tc>
          <w:tcPr>
            <w:tcW w:type="dxa" w:w="37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Never omit provenance for dynamic/derived values.</w:t>
            </w:r>
          </w:p>
        </w:tc>
      </w:tr>
      <w:tr>
        <w:trPr>
          <w:cantSplit/>
        </w:trPr>
        <w:tc>
          <w:tcPr>
            <w:tcW w:type="dxa" w:w="201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state_type</w:t>
            </w:r>
          </w:p>
        </w:tc>
        <w:tc>
          <w:tcPr>
            <w:tcW w:type="dxa" w:w="367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OBSERVED / FORECAST / DERIVED / SCENARIO / OVERRIDE.</w:t>
            </w:r>
          </w:p>
        </w:tc>
        <w:tc>
          <w:tcPr>
            <w:tcW w:type="dxa" w:w="37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Never collapse these categories into one “current” state.</w:t>
            </w:r>
          </w:p>
        </w:tc>
      </w:tr>
      <w:tr>
        <w:trPr>
          <w:cantSplit/>
        </w:trPr>
        <w:tc>
          <w:tcPr>
            <w:tcW w:type="dxa" w:w="201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observed_at</w:t>
            </w:r>
          </w:p>
        </w:tc>
        <w:tc>
          <w:tcPr>
            <w:tcW w:type="dxa" w:w="367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When the observation represented by the record occurred.</w:t>
            </w:r>
          </w:p>
        </w:tc>
        <w:tc>
          <w:tcPr>
            <w:tcW w:type="dxa" w:w="37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Distinct from ingestion and publication times.</w:t>
            </w:r>
          </w:p>
        </w:tc>
      </w:tr>
      <w:tr>
        <w:trPr>
          <w:cantSplit/>
        </w:trPr>
        <w:tc>
          <w:tcPr>
            <w:tcW w:type="dxa" w:w="201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issued_at</w:t>
            </w:r>
          </w:p>
        </w:tc>
        <w:tc>
          <w:tcPr>
            <w:tcW w:type="dxa" w:w="367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When an external/derived forecast or state was issued.</w:t>
            </w:r>
          </w:p>
        </w:tc>
        <w:tc>
          <w:tcPr>
            <w:tcW w:type="dxa" w:w="37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Relevant to forecasts and alert-derived inputs.</w:t>
            </w:r>
          </w:p>
        </w:tc>
      </w:tr>
      <w:tr>
        <w:trPr>
          <w:cantSplit/>
        </w:trPr>
        <w:tc>
          <w:tcPr>
            <w:tcW w:type="dxa" w:w="201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valid_from / valid_to</w:t>
            </w:r>
          </w:p>
        </w:tc>
        <w:tc>
          <w:tcPr>
            <w:tcW w:type="dxa" w:w="367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Operational validity interval when applicable.</w:t>
            </w:r>
          </w:p>
        </w:tc>
        <w:tc>
          <w:tcPr>
            <w:tcW w:type="dxa" w:w="37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 for time-dependent forecast/routing semantics where useful.</w:t>
            </w:r>
          </w:p>
        </w:tc>
      </w:tr>
      <w:tr>
        <w:trPr>
          <w:cantSplit/>
        </w:trPr>
        <w:tc>
          <w:tcPr>
            <w:tcW w:type="dxa" w:w="201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ingested_at</w:t>
            </w:r>
          </w:p>
        </w:tc>
        <w:tc>
          <w:tcPr>
            <w:tcW w:type="dxa" w:w="367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When PRISM accepted the record into its canonical system.</w:t>
            </w:r>
          </w:p>
        </w:tc>
        <w:tc>
          <w:tcPr>
            <w:tcW w:type="dxa" w:w="37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Tracks ingestion latency and freshness.</w:t>
            </w:r>
          </w:p>
        </w:tc>
      </w:tr>
      <w:tr>
        <w:trPr>
          <w:cantSplit/>
        </w:trPr>
        <w:tc>
          <w:tcPr>
            <w:tcW w:type="dxa" w:w="201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updated_at</w:t>
            </w:r>
          </w:p>
        </w:tc>
        <w:tc>
          <w:tcPr>
            <w:tcW w:type="dxa" w:w="367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When the canonical record was last updated.</w:t>
            </w:r>
          </w:p>
        </w:tc>
        <w:tc>
          <w:tcPr>
            <w:tcW w:type="dxa" w:w="37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Do not use as a substitute for observed_at.</w:t>
            </w:r>
          </w:p>
        </w:tc>
      </w:tr>
      <w:tr>
        <w:trPr>
          <w:cantSplit/>
        </w:trPr>
        <w:tc>
          <w:tcPr>
            <w:tcW w:type="dxa" w:w="201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data_quality</w:t>
            </w:r>
          </w:p>
        </w:tc>
        <w:tc>
          <w:tcPr>
            <w:tcW w:type="dxa" w:w="367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Quality/completeness/reliability state of the source/transformation.</w:t>
            </w:r>
          </w:p>
        </w:tc>
        <w:tc>
          <w:tcPr>
            <w:tcW w:type="dxa" w:w="37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Separate from model confidence.</w:t>
            </w:r>
          </w:p>
        </w:tc>
      </w:tr>
      <w:tr>
        <w:trPr>
          <w:cantSplit/>
        </w:trPr>
        <w:tc>
          <w:tcPr>
            <w:tcW w:type="dxa" w:w="201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confidence</w:t>
            </w:r>
          </w:p>
        </w:tc>
        <w:tc>
          <w:tcPr>
            <w:tcW w:type="dxa" w:w="367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Model/result confidence or uncertainty representation.</w:t>
            </w:r>
          </w:p>
        </w:tc>
        <w:tc>
          <w:tcPr>
            <w:tcW w:type="dxa" w:w="37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Should use the engine-appropriate representation; avoid fake precision.</w:t>
            </w:r>
          </w:p>
        </w:tc>
      </w:tr>
      <w:tr>
        <w:trPr>
          <w:cantSplit/>
        </w:trPr>
        <w:tc>
          <w:tcPr>
            <w:tcW w:type="dxa" w:w="201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operational_status</w:t>
            </w:r>
          </w:p>
        </w:tc>
        <w:tc>
          <w:tcPr>
            <w:tcW w:type="dxa" w:w="367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AVAILABLE / LIMITED / DEGRADED / RESTRICTED / UNAVAILABLE / UNKNOWN / STALE.</w:t>
            </w:r>
          </w:p>
        </w:tc>
        <w:tc>
          <w:tcPr>
            <w:tcW w:type="dxa" w:w="37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Separate from state_type and data_quality.</w:t>
            </w:r>
          </w:p>
        </w:tc>
      </w:tr>
      <w:tr>
        <w:trPr>
          <w:cantSplit/>
        </w:trPr>
        <w:tc>
          <w:tcPr>
            <w:tcW w:type="dxa" w:w="201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367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Decision-state context used to compute/display the record.</w:t>
            </w:r>
          </w:p>
        </w:tc>
        <w:tc>
          <w:tcPr>
            <w:tcW w:type="dxa" w:w="37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 for major decision-support outputs.</w:t>
            </w:r>
          </w:p>
        </w:tc>
      </w:tr>
      <w:tr>
        <w:trPr>
          <w:cantSplit/>
        </w:trPr>
        <w:tc>
          <w:tcPr>
            <w:tcW w:type="dxa" w:w="201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scenario_id</w:t>
            </w:r>
          </w:p>
        </w:tc>
        <w:tc>
          <w:tcPr>
            <w:tcW w:type="dxa" w:w="367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 context or null for baseline.</w:t>
            </w:r>
          </w:p>
        </w:tc>
        <w:tc>
          <w:tcPr>
            <w:tcW w:type="dxa" w:w="37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Scenario-derived records carry scenario_id and do not overwrite baseline.</w:t>
            </w:r>
          </w:p>
        </w:tc>
      </w:tr>
      <w:tr>
        <w:trPr>
          <w:cantSplit/>
        </w:trPr>
        <w:tc>
          <w:tcPr>
            <w:tcW w:type="dxa" w:w="201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reason_codes</w:t>
            </w:r>
          </w:p>
        </w:tc>
        <w:tc>
          <w:tcPr>
            <w:tcW w:type="dxa" w:w="367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Machine-readable contributing causes.</w:t>
            </w:r>
          </w:p>
        </w:tc>
        <w:tc>
          <w:tcPr>
            <w:tcW w:type="dxa" w:w="37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Pair with human-readable explanation.</w:t>
            </w:r>
          </w:p>
        </w:tc>
      </w:tr>
      <w:tr>
        <w:trPr>
          <w:cantSplit/>
        </w:trPr>
        <w:tc>
          <w:tcPr>
            <w:tcW w:type="dxa" w:w="201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provenance_id / lineage</w:t>
            </w:r>
          </w:p>
        </w:tc>
        <w:tc>
          <w:tcPr>
            <w:tcW w:type="dxa" w:w="367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Reference to source/transform/model/configuration chain.</w:t>
            </w:r>
          </w:p>
        </w:tc>
        <w:tc>
          <w:tcPr>
            <w:tcW w:type="dxa" w:w="37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Supports audit and reproducibility.</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FCE4D6"/>
            <w:tcBorders>
              <w:top w:val="single" w:sz="12" w:color="C65911"/>
              <w:left w:val="single" w:sz="8" w:color="C65911"/>
              <w:bottom w:val="single" w:sz="8" w:color="C65911"/>
              <w:right w:val="single" w:sz="8" w:color="C65911"/>
            </w:tcBorders>
          </w:tcPr>
          <w:p>
            <w:pPr>
              <w:spacing w:after="40"/>
            </w:pPr>
            <w:r>
              <w:rPr>
                <w:b/>
                <w:color w:val="C65911"/>
                <w:sz w:val="21"/>
              </w:rPr>
              <w:t>Critical separation</w:t>
            </w:r>
          </w:p>
          <w:p>
            <w:pPr>
              <w:spacing w:after="20"/>
            </w:pPr>
            <w:r>
              <w:rPr>
                <w:color w:val="263238"/>
                <w:sz w:val="18"/>
              </w:rPr>
              <w:t>data_quality ≠ model confidence ≠ operational_status ≠ scenario state. A destination can have high model confidence about its capacity but still be operationally RESTRICTED; a forecast can have good source quality but low predictive confidence.</w:t>
            </w:r>
          </w:p>
        </w:tc>
      </w:tr>
    </w:tbl>
    <w:p>
      <w:pPr>
        <w:spacing w:after="40"/>
      </w:pPr>
    </w:p>
    <w:p>
      <w:pPr>
        <w:pStyle w:val="Heading1"/>
      </w:pPr>
      <w:r>
        <w:t>5. Identity, Versioning &amp; Referential Stability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Entity family</w:t>
            </w:r>
          </w:p>
        </w:tc>
        <w:tc>
          <w:tcPr>
            <w:tcW w:type="dxa" w:w="3389"/>
            <w:vAlign w:val="center"/>
            <w:shd w:fill="1F4E79"/>
          </w:tcPr>
          <w:p>
            <w:pPr>
              <w:spacing w:after="20"/>
              <w:jc w:val="center"/>
            </w:pPr>
            <w:r/>
            <w:r>
              <w:rPr>
                <w:rFonts w:ascii="Aptos" w:hAnsi="Aptos"/>
                <w:b/>
                <w:color w:val="FFFFFF"/>
                <w:sz w:val="17"/>
              </w:rPr>
              <w:t>Identifier rule</w:t>
            </w:r>
          </w:p>
        </w:tc>
        <w:tc>
          <w:tcPr>
            <w:tcW w:type="dxa" w:w="3389"/>
            <w:vAlign w:val="center"/>
            <w:shd w:fill="1F4E79"/>
          </w:tcPr>
          <w:p>
            <w:pPr>
              <w:spacing w:after="20"/>
              <w:jc w:val="center"/>
            </w:pPr>
            <w:r/>
            <w:r>
              <w:rPr>
                <w:rFonts w:ascii="Aptos" w:hAnsi="Aptos"/>
                <w:b/>
                <w:color w:val="FFFFFF"/>
                <w:sz w:val="17"/>
              </w:rPr>
              <w:t>Examples / notes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Physical/location entities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Immutable internal ID; optional external source ID.</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habitation_id, destination_id, road_segment_id.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Household entities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Stable household_id; no new ID merely because priority changes.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Optional registration; approximate location may be sufficient for prototype/privacy.</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Operational state records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Entity ID + state/run context.</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Road status changes without changing road_segment_id.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Derived decision records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Stable subject reference + run/snapshot context.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priority_record_id, route_plan_id, allocation_id.</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context</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scenario_id references immutable scenario definition.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run may produce one or more snapshots.</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Event identity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event_id + idempotency_key + correlation_id.</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Consumers must tolerate retries.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Contract versioning</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contract_version and schema_version.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Cross-engine payloads reject unsupported major versions.</w:t>
            </w:r>
          </w:p>
        </w:tc>
      </w:tr>
    </w:tbl>
    <w:p>
      <w:pPr>
        <w:spacing w:after="40"/>
      </w:pPr>
    </w:p>
    <w:p>
      <w:pPr>
        <w:pStyle w:val="ListBullet"/>
        <w:spacing w:after="60"/>
      </w:pPr>
      <w:r>
        <w:t>Stable identity is essential because PRISM repeatedly recalculates the same real-world objects.</w:t>
      </w:r>
    </w:p>
    <w:p>
      <w:pPr>
        <w:pStyle w:val="ListBullet"/>
        <w:spacing w:after="60"/>
      </w:pPr>
      <w:r>
        <w:t>Do not encode timestamps into core entity IDs.</w:t>
      </w:r>
    </w:p>
    <w:p>
      <w:pPr>
        <w:pStyle w:val="ListBullet"/>
        <w:spacing w:after="60"/>
      </w:pPr>
      <w:r>
        <w:t>External identifiers may change between source systems; canonical IDs should not.</w:t>
      </w:r>
    </w:p>
    <w:p>
      <w:pPr>
        <w:pStyle w:val="ListBullet"/>
        <w:spacing w:after="60"/>
      </w:pPr>
      <w:r>
        <w:t>Derived records must remain traceable to the entity IDs and snapshot that produced them.</w:t>
      </w:r>
    </w:p>
    <w:p>
      <w:r>
        <w:br w:type="page"/>
      </w:r>
    </w:p>
    <w:p>
      <w:pPr>
        <w:pStyle w:val="Heading1"/>
      </w:pPr>
      <w:r>
        <w:t>6. Temporal, State, Freshness &amp; Uncertainty Semantics</w:t>
      </w:r>
    </w:p>
    <w:p>
      <w:pPr>
        <w:pStyle w:val="Heading2"/>
      </w:pPr>
      <w:r>
        <w:t>6.1 State type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Enum</w:t>
            </w:r>
          </w:p>
        </w:tc>
        <w:tc>
          <w:tcPr>
            <w:tcW w:type="dxa" w:w="3389"/>
            <w:vAlign w:val="center"/>
            <w:shd w:fill="1F4E79"/>
          </w:tcPr>
          <w:p>
            <w:pPr>
              <w:spacing w:after="20"/>
              <w:jc w:val="center"/>
            </w:pPr>
            <w:r/>
            <w:r>
              <w:rPr>
                <w:rFonts w:ascii="Aptos" w:hAnsi="Aptos"/>
                <w:b/>
                <w:color w:val="FFFFFF"/>
                <w:sz w:val="17"/>
              </w:rPr>
              <w:t>Meaning</w:t>
            </w:r>
          </w:p>
        </w:tc>
        <w:tc>
          <w:tcPr>
            <w:tcW w:type="dxa" w:w="3389"/>
            <w:vAlign w:val="center"/>
            <w:shd w:fill="1F4E79"/>
          </w:tcPr>
          <w:p>
            <w:pPr>
              <w:spacing w:after="20"/>
              <w:jc w:val="center"/>
            </w:pPr>
            <w:r/>
            <w:r>
              <w:rPr>
                <w:rFonts w:ascii="Aptos" w:hAnsi="Aptos"/>
                <w:b/>
                <w:color w:val="FFFFFF"/>
                <w:sz w:val="17"/>
              </w:rPr>
              <w:t>Typical owner / example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OBSERVED</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Direct observation or reported current measurement.</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Weather/rainfall, river reading, road report.</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FORECAST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Externally or internally generated future information.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Predicted rainfall/hazard extent.</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DERIVED</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Computed from accepted PRISM data.</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Exposure assessment, effective capacity.</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Hypothetical/operator-defined changed state.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Rainfall +20%, bridge closure.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OVERRIDE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Authorized human adjustment to a model/system state.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Authority marks road restricted; override remains attributable.</w:t>
            </w:r>
          </w:p>
        </w:tc>
      </w:tr>
    </w:tbl>
    <w:p>
      <w:pPr>
        <w:spacing w:after="40"/>
      </w:pPr>
    </w:p>
    <w:p>
      <w:pPr>
        <w:pStyle w:val="Heading2"/>
      </w:pPr>
      <w:r>
        <w:t>6.2 Operational status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Status</w:t>
            </w:r>
          </w:p>
        </w:tc>
        <w:tc>
          <w:tcPr>
            <w:tcW w:type="dxa" w:w="3389"/>
            <w:vAlign w:val="center"/>
            <w:shd w:fill="1F4E79"/>
          </w:tcPr>
          <w:p>
            <w:pPr>
              <w:spacing w:after="20"/>
              <w:jc w:val="center"/>
            </w:pPr>
            <w:r/>
            <w:r>
              <w:rPr>
                <w:rFonts w:ascii="Aptos" w:hAnsi="Aptos"/>
                <w:b/>
                <w:color w:val="FFFFFF"/>
                <w:sz w:val="17"/>
              </w:rPr>
              <w:t>Meaning</w:t>
            </w:r>
          </w:p>
        </w:tc>
        <w:tc>
          <w:tcPr>
            <w:tcW w:type="dxa" w:w="3389"/>
            <w:vAlign w:val="center"/>
            <w:shd w:fill="1F4E79"/>
          </w:tcPr>
          <w:p>
            <w:pPr>
              <w:spacing w:after="20"/>
              <w:jc w:val="center"/>
            </w:pPr>
            <w:r/>
            <w:r>
              <w:rPr>
                <w:rFonts w:ascii="Aptos" w:hAnsi="Aptos"/>
                <w:b/>
                <w:color w:val="FFFFFF"/>
                <w:sz w:val="17"/>
              </w:rPr>
              <w:t>Default implication</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AVAILABLE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Sufficient evidence indicates operational usability.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Eligible for downstream consideration.</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LIMITED</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Usable with constraints such as reduced speed/access.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Eligible only with applicable constraints/penalties.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DEGRADED</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Function exists but service/resource condition is materially reduced.</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May remain usable but requires explicit downstream handling.</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RESTRICTED</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Use limited to specified modes/authorities/conditions.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Eligible only if compatibility rules permit.</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UNAVAILABLE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Known unavailable/closed.</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Hard exclusion where the domain engine treats it as safety-critical.</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UNKNOWN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Insufficient evidence.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Must not silently mean safe.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STALE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Known information is older than the accepted freshness policy.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Must surface uncertainty; recommendation may be blocked or degraded by policy.</w:t>
            </w:r>
          </w:p>
        </w:tc>
      </w:tr>
    </w:tbl>
    <w:p>
      <w:pPr>
        <w:spacing w:after="40"/>
      </w:pPr>
    </w:p>
    <w:p>
      <w:pPr>
        <w:pStyle w:val="Heading2"/>
      </w:pPr>
      <w:r>
        <w:t>6.3 Freshness model</w:t>
      </w:r>
    </w:p>
    <w:tbl>
      <w:tblPr>
        <w:tblW w:type="auto" w:w="0"/>
        <w:jc w:val="center"/>
        <w:tblLook w:firstColumn="1" w:firstRow="1" w:lastColumn="0" w:lastRow="0" w:noHBand="0" w:noVBand="1" w:val="04A0"/>
      </w:tblPr>
      <w:tblGrid>
        <w:gridCol w:w="10166"/>
      </w:tblGrid>
      <w:tr>
        <w:trPr>
          <w:cantSplit/>
        </w:trPr>
        <w:tc>
          <w:tcPr>
            <w:tcW w:type="dxa" w:w="10166"/>
            <w:shd w:fill="F2F2F2"/>
            <w:tcBorders>
              <w:top w:val="single" w:sz="4" w:color="BFBFBF"/>
              <w:left w:val="single" w:sz="4" w:color="BFBFBF"/>
              <w:bottom w:val="single" w:sz="4" w:color="BFBFBF"/>
              <w:right w:val="single" w:sz="4" w:color="BFBFBF"/>
            </w:tcBorders>
          </w:tcPr>
          <w:p>
            <w:pPr>
              <w:spacing w:after="0"/>
            </w:pPr>
            <w:r>
              <w:rPr>
                <w:rFonts w:ascii="Consolas" w:hAnsi="Consolas"/>
                <w:color w:val="263238"/>
                <w:sz w:val="16"/>
              </w:rPr>
              <w:t>freshness = decision_time - source_reference_time</w:t>
            </w:r>
          </w:p>
          <w:p>
            <w:pPr>
              <w:spacing w:after="0"/>
            </w:pPr>
            <w:r>
              <w:rPr>
                <w:rFonts w:ascii="Consolas" w:hAnsi="Consolas"/>
                <w:color w:val="263238"/>
                <w:sz w:val="16"/>
              </w:rPr>
            </w:r>
          </w:p>
          <w:p>
            <w:pPr>
              <w:spacing w:after="0"/>
            </w:pPr>
            <w:r>
              <w:rPr>
                <w:rFonts w:ascii="Consolas" w:hAnsi="Consolas"/>
                <w:color w:val="263238"/>
                <w:sz w:val="16"/>
              </w:rPr>
              <w:t>source_reference_time is chosen according to the record: observed_at for observations, issued_at for forecasts,</w:t>
            </w:r>
          </w:p>
          <w:p>
            <w:pPr>
              <w:spacing w:after="0"/>
            </w:pPr>
            <w:r>
              <w:rPr>
                <w:rFonts w:ascii="Consolas" w:hAnsi="Consolas"/>
                <w:color w:val="263238"/>
                <w:sz w:val="16"/>
              </w:rPr>
              <w:t>or the producing run time for derived records. Exact freshness thresholds are domain/configuration values,</w:t>
            </w:r>
          </w:p>
          <w:p>
            <w:pPr>
              <w:spacing w:after="0"/>
            </w:pPr>
            <w:r>
              <w:rPr>
                <w:rFonts w:ascii="Consolas" w:hAnsi="Consolas"/>
                <w:color w:val="263238"/>
                <w:sz w:val="16"/>
              </w:rPr>
              <w:t>not hard-coded universal constants.</w:t>
            </w:r>
          </w:p>
        </w:tc>
      </w:tr>
    </w:tbl>
    <w:p>
      <w:pPr>
        <w:spacing w:after="40"/>
      </w:pPr>
    </w:p>
    <w:p>
      <w:pPr>
        <w:pStyle w:val="ListBullet"/>
        <w:spacing w:after="60"/>
      </w:pPr>
      <w:r>
        <w:t>Freshness rules must be configured per dataset/use case; a road-status feed and a historical DEM do not have the same update expectation.</w:t>
      </w:r>
    </w:p>
    <w:p>
      <w:pPr>
        <w:pStyle w:val="ListBullet"/>
        <w:spacing w:after="60"/>
      </w:pPr>
      <w:r>
        <w:t>When data is stale or unknown, the system should preserve the state rather than silently substitute a reassuring default.</w:t>
      </w:r>
    </w:p>
    <w:p>
      <w:pPr>
        <w:pStyle w:val="ListBullet"/>
        <w:spacing w:after="60"/>
      </w:pPr>
      <w:r>
        <w:t>Dashboard views should display freshness/quality for major operational decisions.</w:t>
      </w:r>
    </w:p>
    <w:p>
      <w:pPr>
        <w:pStyle w:val="Heading2"/>
      </w:pPr>
      <w:r>
        <w:t>6.4 Uncertainty model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Representation</w:t>
            </w:r>
          </w:p>
        </w:tc>
        <w:tc>
          <w:tcPr>
            <w:tcW w:type="dxa" w:w="3389"/>
            <w:vAlign w:val="center"/>
            <w:shd w:fill="1F4E79"/>
          </w:tcPr>
          <w:p>
            <w:pPr>
              <w:spacing w:after="20"/>
              <w:jc w:val="center"/>
            </w:pPr>
            <w:r/>
            <w:r>
              <w:rPr>
                <w:rFonts w:ascii="Aptos" w:hAnsi="Aptos"/>
                <w:b/>
                <w:color w:val="FFFFFF"/>
                <w:sz w:val="17"/>
              </w:rPr>
              <w:t>When useful</w:t>
            </w:r>
          </w:p>
        </w:tc>
        <w:tc>
          <w:tcPr>
            <w:tcW w:type="dxa" w:w="3389"/>
            <w:vAlign w:val="center"/>
            <w:shd w:fill="1F4E79"/>
          </w:tcPr>
          <w:p>
            <w:pPr>
              <w:spacing w:after="20"/>
              <w:jc w:val="center"/>
            </w:pPr>
            <w:r/>
            <w:r>
              <w:rPr>
                <w:rFonts w:ascii="Aptos" w:hAnsi="Aptos"/>
                <w:b/>
                <w:color w:val="FFFFFF"/>
                <w:sz w:val="17"/>
              </w:rPr>
              <w:t>Cross-engine rule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Numeric confidence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When model calibration supports a meaningful score.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Do not present a raw model score as probability unless validated as such.</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Range / interval</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Forecast horizon or resource estimate has bounded uncertainty.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Downstream engines may use conservative bounds or scenario bands.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Categorical uncertainty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Prototype lacks calibration for numerical confidence.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Use explicit LOW/MEDIUM/HIGH or equivalent only when operationally defined.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Unknown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Evidence insufficient to support a meaningful estimate.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Never convert UNKNOWN into zero risk or zero vulnerability.</w:t>
            </w:r>
          </w:p>
        </w:tc>
      </w:tr>
    </w:tbl>
    <w:p>
      <w:pPr>
        <w:spacing w:after="40"/>
      </w:pPr>
    </w:p>
    <w:p>
      <w:r>
        <w:br w:type="page"/>
      </w:r>
    </w:p>
    <w:p>
      <w:pPr>
        <w:pStyle w:val="Heading1"/>
      </w:pPr>
      <w:r>
        <w:t>7. Detailed Canonical Entity Schemas</w:t>
      </w:r>
    </w:p>
    <w:tbl>
      <w:tblPr>
        <w:tblW w:type="auto" w:w="0"/>
        <w:jc w:val="center"/>
        <w:tblLayout w:type="fixed"/>
        <w:tblLook w:firstColumn="1" w:firstRow="1" w:lastColumn="0" w:lastRow="0" w:noHBand="0" w:noVBand="1" w:val="04A0"/>
      </w:tblPr>
      <w:tblGrid>
        <w:gridCol w:w="10166"/>
      </w:tblGrid>
      <w:tr>
        <w:tc>
          <w:tcPr>
            <w:tcW w:type="dxa" w:w="10166"/>
            <w:shd w:fill="EAF3F8"/>
            <w:tcBorders>
              <w:top w:val="single" w:sz="12" w:color="1F4E79"/>
              <w:left w:val="single" w:sz="8" w:color="1F4E79"/>
              <w:bottom w:val="single" w:sz="8" w:color="1F4E79"/>
              <w:right w:val="single" w:sz="8" w:color="1F4E79"/>
            </w:tcBorders>
          </w:tcPr>
          <w:p>
            <w:pPr>
              <w:spacing w:after="40"/>
            </w:pPr>
            <w:r>
              <w:rPr>
                <w:b/>
                <w:color w:val="1F4E79"/>
                <w:sz w:val="21"/>
              </w:rPr>
              <w:t>Field naming convention</w:t>
            </w:r>
          </w:p>
          <w:p>
            <w:pPr>
              <w:spacing w:after="20"/>
            </w:pPr>
            <w:r>
              <w:rPr>
                <w:color w:val="263238"/>
                <w:sz w:val="18"/>
              </w:rPr>
              <w:t>The schemas below use proposed snake_case canonical names to make implementation concrete. They are a v1.0 draft baseline, not a claim that these names are already mandated by the R&amp;D documents or any external standard.</w:t>
            </w:r>
          </w:p>
        </w:tc>
      </w:tr>
    </w:tbl>
    <w:p>
      <w:pPr>
        <w:spacing w:after="40"/>
      </w:pPr>
    </w:p>
    <w:p>
      <w:pPr>
        <w:pStyle w:val="Heading2"/>
      </w:pPr>
      <w:r>
        <w:t>7.1 StudyArea</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area_id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Canonical study-area identifier</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name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Human-readable name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geometry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Polygon/MultiPolygon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Study area boundary</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administrative_context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District/state or other operational context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crs_srid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integer</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Stored CRS/SRID for geometry</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source_ref</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External source identifier</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created_at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Creation time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updated_at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Last update</w:t>
            </w:r>
          </w:p>
        </w:tc>
      </w:tr>
    </w:tbl>
    <w:p>
      <w:pPr>
        <w:spacing w:after="40"/>
      </w:pPr>
    </w:p>
    <w:p>
      <w:pPr>
        <w:pStyle w:val="Heading2"/>
      </w:pPr>
      <w:r>
        <w:t>7.2 Habitation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habitation_id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Stable settlement identifier</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area_id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Study area</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geometry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Point/Polygon/MultiPolygon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Location/boundary</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population_estimate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number</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Estimated population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population_source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Source of estimate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density_estimate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number</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Population density if available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accessibility_context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Road/access constraints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infrastructure_indicators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Housing/infrastructure context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historical_impact_indicators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Past disaster impact</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updated_at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Last update</w:t>
            </w:r>
          </w:p>
        </w:tc>
      </w:tr>
    </w:tbl>
    <w:p>
      <w:pPr>
        <w:spacing w:after="40"/>
      </w:pPr>
    </w:p>
    <w:p>
      <w:pPr>
        <w:pStyle w:val="Heading2"/>
      </w:pPr>
      <w:r>
        <w:t>7.3 Household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household_id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Stable household identifier</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habitation_id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Parent habitation/context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approximate_location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Point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 if available</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Privacy-preserving location</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member_count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integer</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Household size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children_count_or_class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integer/string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Children indicator; minimize detail</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elderly_count_or_class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integer/string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Elderly indicator</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assistance_needs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Assistance requirements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mobility_needs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Mobility/special evacuation requirements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optional_contact_ref</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Contact reference only where justified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consent_status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 for registration</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Consent/data-use status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registered_at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Registration time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updated_at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Last update</w:t>
            </w:r>
          </w:p>
        </w:tc>
      </w:tr>
    </w:tbl>
    <w:p>
      <w:pPr>
        <w:spacing w:after="40"/>
      </w:pPr>
    </w:p>
    <w:p>
      <w:pPr>
        <w:pStyle w:val="Heading2"/>
      </w:pPr>
      <w:r>
        <w:t>7.4 HazardState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 identity</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hazard_type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flood, landslide, extreme_rainfall, erosion, etc.</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geometry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Polygon/MultiPolygon/GridRef</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Current hazard representation</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intensity_metrics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Hazard-specific intensity fields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state_type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Typically OBSERVED or DERIVED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observed_at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Required/conditional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Observation reference time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valid_from</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Validity window</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valid_to</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Validity end</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data_quality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Input/processing quality</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provenance_id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Evidence lineage</w:t>
            </w:r>
          </w:p>
        </w:tc>
      </w:tr>
    </w:tbl>
    <w:p>
      <w:pPr>
        <w:spacing w:after="40"/>
      </w:pPr>
    </w:p>
    <w:p>
      <w:pPr>
        <w:pStyle w:val="Heading2"/>
      </w:pPr>
      <w:r>
        <w:t>7.5 HazardPrediction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prediction_id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Prediction result</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 being predicted</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hazard_type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 type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prediction_geometry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Polygon/MultiPolygon/GridRef</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Predicted extent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prediction_horizon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duration/datetime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Future horizon</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predicted_intensity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Hazard-specific predicted intensity</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time_to_impact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duration/range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Estimate or range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confidence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Model confidence/uncertainty representation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evidence_refs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Evidence IDs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state_type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FORECAST or DERIVED</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issued_at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Prediction issue time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valid_from</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Prediction start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valid_to</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Prediction end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bl>
    <w:p>
      <w:pPr>
        <w:spacing w:after="40"/>
      </w:pPr>
    </w:p>
    <w:p>
      <w:pPr>
        <w:pStyle w:val="Heading2"/>
      </w:pPr>
      <w:r>
        <w:t>7.6 RedZone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red_zone_id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Operational Red Zone result</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Related hazard</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red_zone_type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Current / future / scenario classification</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geometry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Polygon/MultiPolygon</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Zone geometry</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criterion_ref</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Configured threshold/rule reference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evidence_refs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Evidence supporting classification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intensity_summary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Hazard-specific severity context</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confidence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Confidence/uncertainty</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state_type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OBSERVED/DERIVED/FORECAST/SCENARIO as applicable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bl>
    <w:p>
      <w:pPr>
        <w:spacing w:after="40"/>
      </w:pPr>
    </w:p>
    <w:p>
      <w:pPr>
        <w:pStyle w:val="Heading2"/>
      </w:pPr>
      <w:r>
        <w:t>7.7 ExposureAssessment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exposure_id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Exposure result ID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subject_type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household / habitation / group</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subject_id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Subject reference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 reference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current_exposure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object/number</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Current exposure state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predicted_exposure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object/number</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Future exposure state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exposure_status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Domain exposure classification</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time_to_impact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duration/range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Inherited/calculated lead time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uncertainty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Exposure uncertainty</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updated_at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Assessment time</w:t>
            </w:r>
          </w:p>
        </w:tc>
      </w:tr>
    </w:tbl>
    <w:p>
      <w:pPr>
        <w:spacing w:after="40"/>
      </w:pPr>
    </w:p>
    <w:p>
      <w:pPr>
        <w:pStyle w:val="Heading2"/>
      </w:pPr>
      <w:r>
        <w:t>7.8 VulnerabilityProfile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vulnerability_profile_id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Profile result ID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subject_id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Household/habitation/group</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factors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Demographic/functional/assistance/habitation factors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vulnerability_score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number/object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Configured score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vulnerability_class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Configured class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data_quality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Quality of inputs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unknown_factors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Missing/unknown factors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method_ref</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Scoring/MCDM method/config reference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bl>
    <w:p>
      <w:pPr>
        <w:spacing w:after="40"/>
      </w:pPr>
    </w:p>
    <w:p>
      <w:pPr>
        <w:pStyle w:val="Heading2"/>
      </w:pPr>
      <w:r>
        <w:t>7.9 PriorityRecord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priority_id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Priority assessment ID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subject_id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Household/group/habitation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priority_class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Immediate / Short-Term / Medium-Term</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priority_score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number/object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Configured score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reason_codes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Machine-readable contributing reasons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contributing_factors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Human-readable/explainable detail</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uncertainty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Data/model uncertainty</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created_at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Assessment time</w:t>
            </w:r>
          </w:p>
        </w:tc>
      </w:tr>
    </w:tbl>
    <w:p>
      <w:pPr>
        <w:spacing w:after="40"/>
      </w:pPr>
    </w:p>
    <w:p>
      <w:pPr>
        <w:pStyle w:val="Heading2"/>
      </w:pPr>
      <w:r>
        <w:t>7.10 Destination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destination_id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Stable destination ID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name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Display name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location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Point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Destination point</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service_area_geometry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Polygon/MultiPolygon</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Usable area if known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operational_status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AVAILABLE/LIMITED/...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safety_status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Current/future/scenario safety state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readiness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Operational readiness details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accessibility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Access compatibility</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current_hazard_exposure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 context</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predicted_hazard_exposure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Future hazard context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updated_at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Last update</w:t>
            </w:r>
          </w:p>
        </w:tc>
      </w:tr>
    </w:tbl>
    <w:p>
      <w:pPr>
        <w:spacing w:after="40"/>
      </w:pPr>
    </w:p>
    <w:p>
      <w:pPr>
        <w:pStyle w:val="Heading2"/>
      </w:pPr>
      <w:r>
        <w:t>7.11 ResourceCapacity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capacity_id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Capacity record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destination_id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Destination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resource_type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Shelter, water, food, healthcare, sanitation, utilities, emergency access, etc.</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raw_capacity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number</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Source capacity in native units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supportable_people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number</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Required/derived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People supported under configured model</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utilization</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number/object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Used/remaining utilization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bottleneck_flag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boolean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Whether this resource limits effective capacity</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timestamp</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State time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data_quality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Quality/freshness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bl>
    <w:p>
      <w:pPr>
        <w:spacing w:after="40"/>
      </w:pPr>
    </w:p>
    <w:p>
      <w:pPr>
        <w:pStyle w:val="Heading2"/>
      </w:pPr>
      <w:r>
        <w:t>7.12 RoadSegment / RouteEdge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edge_id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Stable graph-edge identifier</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geometry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LineString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Road/path geometry</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base_cost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number/object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Baseline travel cost</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operational_status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OPEN/LIMITED/RESTRICTED/CLOSED/UNKNOWN/STALE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travel_time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duration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Estimated current travel time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hazard_exposure_window</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Current/predicted hazard over expected arrival window</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accessibility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Mode/group compatibility</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source_update_at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Operational condition update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data_quality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Quality/freshness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bl>
    <w:p>
      <w:pPr>
        <w:spacing w:after="40"/>
      </w:pPr>
    </w:p>
    <w:p>
      <w:pPr>
        <w:pStyle w:val="Heading2"/>
      </w:pPr>
      <w:r>
        <w:t>7.13 RoutePlan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route_id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Route plan ID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group_id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Movement unit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destination_id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Destination</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path_edges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Ordered edge IDs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distance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number</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Route distance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eta</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datetime/duration</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Estimated arrival/travel time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hazard_intersections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Current/predicted hazard intersections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route_status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Feasible / Infeasible / Invalidated / etc.; final enum configurable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risk_or_cost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Route cost/risk components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confidence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Route confidence/quality</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valid_from</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Route validity start</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valid_to</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Route validity end</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replan_required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boolean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Dynamic trigger indicator</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reason_codes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Why route selected/invalidated</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bl>
    <w:p>
      <w:pPr>
        <w:spacing w:after="40"/>
      </w:pPr>
    </w:p>
    <w:p>
      <w:pPr>
        <w:pStyle w:val="Heading2"/>
      </w:pPr>
      <w:r>
        <w:t>7.14 RelocationGroup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group_id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Movement unit ID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origin_subject_id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Household/habitation/group reference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people_count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integer</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Movement demand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priority_class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Priority context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assistance_requirements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 assistance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mobility_requirements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Mode/access constraints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origin_location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Point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Start location</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indivisibility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boolean</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Normally true for household units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bl>
    <w:p>
      <w:pPr>
        <w:spacing w:after="40"/>
      </w:pPr>
    </w:p>
    <w:p>
      <w:pPr>
        <w:pStyle w:val="Heading2"/>
      </w:pPr>
      <w:r>
        <w:t>7.15 RelocationAllocation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allocation_id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Allocation record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group_id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Movement group</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destination_id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Assigned destination or null when unassigned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route_id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Associated route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assigned_people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integer</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People assigned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allocation_status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ASSIGNED / UNASSIGNED / NO_VIABLE_ALLOCATION / etc.; final enum configurable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priority_context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Priority used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unmet_reason</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Reason when demand cannot be served safely</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remaining_capacity_after</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number</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Destination remaining capacity</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context</w:t>
            </w:r>
          </w:p>
        </w:tc>
      </w:tr>
    </w:tbl>
    <w:p>
      <w:pPr>
        <w:spacing w:after="40"/>
      </w:pPr>
    </w:p>
    <w:p>
      <w:pPr>
        <w:pStyle w:val="Heading2"/>
      </w:pPr>
      <w:r>
        <w:t>7.16 Scenario</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 identifier</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name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 name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scenario_type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Hazard / infrastructure / destination / demand / compound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baseline_snapshot_id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Baseline state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trigger</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What changed / event condition</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horizon</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duration/datetime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 period</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parameters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 parameter changes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assumptions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Operator/model assumptions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confidence_or_uncertainty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 uncertainty / evidence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creator_role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Operator role / origin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status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Draft / Running / Completed / Failed / etc.; final enum configurable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created_at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Creation time</w:t>
            </w:r>
          </w:p>
        </w:tc>
      </w:tr>
    </w:tbl>
    <w:p>
      <w:pPr>
        <w:spacing w:after="40"/>
      </w:pPr>
    </w:p>
    <w:p>
      <w:pPr>
        <w:pStyle w:val="Heading2"/>
      </w:pPr>
      <w:r>
        <w:t>7.17 StateSnapshot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Consistent state identifier</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FK/null</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Scenario context or baseline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timestamp</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 time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state_manifest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References to canonical state versions used</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engine_versions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Engine/model/config version references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data_freshness_summary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Freshness at snapshot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source_manifest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Input source references/hashes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parent_snapshot_id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FK/null</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Lineage to earlier snapshot</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created_at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 creation time</w:t>
            </w:r>
          </w:p>
        </w:tc>
      </w:tr>
    </w:tbl>
    <w:p>
      <w:pPr>
        <w:spacing w:after="40"/>
      </w:pPr>
    </w:p>
    <w:p>
      <w:pPr>
        <w:pStyle w:val="Heading2"/>
      </w:pPr>
      <w:r>
        <w:t>7.18 Recommendation / DecisionRecord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Reviewable recommendation ID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decision_type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Priority / destination / route / allocation / scenario outcome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subject_ids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Affected entities</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snapshot_id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Decision state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recommendation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Recommended action/state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reason_codes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Machine-readable reasons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human_explanation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Human-readable rationale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uncertainty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Uncertainty/quality</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authority_review_status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Pending / Reviewed / Accepted / Rejected / Overridden; final enum configurable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override_ref</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FK/null</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Authorized override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created_at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Creation time</w:t>
            </w:r>
          </w:p>
        </w:tc>
      </w:tr>
    </w:tbl>
    <w:p>
      <w:pPr>
        <w:spacing w:after="40"/>
      </w:pPr>
    </w:p>
    <w:p>
      <w:pPr>
        <w:pStyle w:val="Heading2"/>
      </w:pPr>
      <w:r>
        <w:t>7.19 AuditEvent / Provenance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F4E79"/>
          </w:tcPr>
          <w:p>
            <w:pPr>
              <w:spacing w:after="20"/>
              <w:jc w:val="center"/>
            </w:pPr>
            <w:r/>
            <w:r>
              <w:rPr>
                <w:rFonts w:ascii="Aptos" w:hAnsi="Aptos"/>
                <w:b/>
                <w:color w:val="FFFFFF"/>
                <w:sz w:val="16"/>
              </w:rPr>
              <w:t>Field</w:t>
            </w:r>
          </w:p>
        </w:tc>
        <w:tc>
          <w:tcPr>
            <w:tcW w:type="dxa" w:w="1656"/>
            <w:vAlign w:val="center"/>
            <w:shd w:fill="1F4E79"/>
          </w:tcPr>
          <w:p>
            <w:pPr>
              <w:spacing w:after="20"/>
              <w:jc w:val="center"/>
            </w:pPr>
            <w:r/>
            <w:r>
              <w:rPr>
                <w:rFonts w:ascii="Aptos" w:hAnsi="Aptos"/>
                <w:b/>
                <w:color w:val="FFFFFF"/>
                <w:sz w:val="16"/>
              </w:rPr>
              <w:t>Type</w:t>
            </w:r>
          </w:p>
        </w:tc>
        <w:tc>
          <w:tcPr>
            <w:tcW w:type="dxa" w:w="1656"/>
            <w:vAlign w:val="center"/>
            <w:shd w:fill="1F4E79"/>
          </w:tcPr>
          <w:p>
            <w:pPr>
              <w:spacing w:after="20"/>
              <w:jc w:val="center"/>
            </w:pPr>
            <w:r/>
            <w:r>
              <w:rPr>
                <w:rFonts w:ascii="Aptos" w:hAnsi="Aptos"/>
                <w:b/>
                <w:color w:val="FFFFFF"/>
                <w:sz w:val="16"/>
              </w:rPr>
              <w:t>Requiredness</w:t>
            </w:r>
          </w:p>
        </w:tc>
        <w:tc>
          <w:tcPr>
            <w:tcW w:type="dxa" w:w="4320"/>
            <w:vAlign w:val="center"/>
            <w:shd w:fill="1F4E79"/>
          </w:tcPr>
          <w:p>
            <w:pPr>
              <w:spacing w:after="20"/>
              <w:jc w:val="center"/>
            </w:pPr>
            <w:r/>
            <w:r>
              <w:rPr>
                <w:rFonts w:ascii="Aptos" w:hAnsi="Aptos"/>
                <w:b/>
                <w:color w:val="FFFFFF"/>
                <w:sz w:val="16"/>
              </w:rPr>
              <w:t>Definition</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audit_event_id</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UUID/string</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Audit record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event_type</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Change type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actor_type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enum</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System / operator / authority / integration</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actor_id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Actor identity</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timestamp</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datetime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Event time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entity_refs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Changed/affected entities</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before_ref</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string/object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Prior state reference</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after_ref</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string/object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New state reference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reason_codes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array</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Why change occurred</w:t>
            </w:r>
          </w:p>
        </w:tc>
      </w:tr>
      <w:tr>
        <w:trPr>
          <w:cantSplit/>
        </w:trPr>
        <w:tc>
          <w:tcPr>
            <w:tcW w:type="dxa" w:w="2232"/>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correlation_id</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string</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Optional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Cross-system trace</w:t>
            </w:r>
          </w:p>
        </w:tc>
      </w:tr>
      <w:tr>
        <w:trPr>
          <w:cantSplit/>
        </w:trPr>
        <w:tc>
          <w:tcPr>
            <w:tcW w:type="dxa" w:w="2232"/>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provenance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JSONB</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Required</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6"/>
              </w:rPr>
              <w:t>Source/model/configuration lineage</w:t>
            </w:r>
          </w:p>
        </w:tc>
      </w:tr>
    </w:tbl>
    <w:p>
      <w:pPr>
        <w:spacing w:after="40"/>
      </w:pPr>
    </w:p>
    <w:p>
      <w:r>
        <w:br w:type="page"/>
      </w:r>
    </w:p>
    <w:p>
      <w:pPr>
        <w:pStyle w:val="Heading1"/>
      </w:pPr>
      <w:r>
        <w:t>8. Relationship Rules &amp; Cardinality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Relationship</w:t>
            </w:r>
          </w:p>
        </w:tc>
        <w:tc>
          <w:tcPr>
            <w:tcW w:type="dxa" w:w="3389"/>
            <w:vAlign w:val="center"/>
            <w:shd w:fill="1F4E79"/>
          </w:tcPr>
          <w:p>
            <w:pPr>
              <w:spacing w:after="20"/>
              <w:jc w:val="center"/>
            </w:pPr>
            <w:r/>
            <w:r>
              <w:rPr>
                <w:rFonts w:ascii="Aptos" w:hAnsi="Aptos"/>
                <w:b/>
                <w:color w:val="FFFFFF"/>
                <w:sz w:val="17"/>
              </w:rPr>
              <w:t>Cardinality (prototype baseline)</w:t>
            </w:r>
          </w:p>
        </w:tc>
        <w:tc>
          <w:tcPr>
            <w:tcW w:type="dxa" w:w="3389"/>
            <w:vAlign w:val="center"/>
            <w:shd w:fill="1F4E79"/>
          </w:tcPr>
          <w:p>
            <w:pPr>
              <w:spacing w:after="20"/>
              <w:jc w:val="center"/>
            </w:pPr>
            <w:r/>
            <w:r>
              <w:rPr>
                <w:rFonts w:ascii="Aptos" w:hAnsi="Aptos"/>
                <w:b/>
                <w:color w:val="FFFFFF"/>
                <w:sz w:val="17"/>
              </w:rPr>
              <w:t>Rule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StudyArea → Habitation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 habitation belongs to one study area in the active prototype.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Habitation → Household</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 / optional</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Household registration is optional; absence does not imply safety.</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 → HazardPrediction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Multiple horizons/issued predictions may exist; current active prediction is snapshot-selected.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 → RedZone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Current/future/scenario Red Zones are distinct records, not one mutable geometry.</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Household/Habitation → ExposureAssessment</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 over time/hazards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One subject may have assessments for multiple hazards and snapshots.</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Household/Group → VulnerabilityProfile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 over time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Recalculation creates a new contextual result; the household identity remains stable.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Subject → PriorityRecord</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 over time/scenarios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Priority can change without changing subject identity.</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 → ResourceCapacity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One destination has multiple resource records.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RelocationGroup → RoutePlan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Multiple candidate routes can exist; one may be selected.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RelocationGroup → RelocationAllocation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 over scenarios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At most one active destination assignment unless coordinated splitting is explicitly supported.</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 → RelocationAllocation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Allocation consumes remaining effective capacity.</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 StateSnapshot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execution may create multiple snapshots/runs.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StateSnapshot → Derived decisions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 many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Major decisions reference the snapshot used to compute them.</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FCE4D6"/>
            <w:tcBorders>
              <w:top w:val="single" w:sz="12" w:color="C65911"/>
              <w:left w:val="single" w:sz="8" w:color="C65911"/>
              <w:bottom w:val="single" w:sz="8" w:color="C65911"/>
              <w:right w:val="single" w:sz="8" w:color="C65911"/>
            </w:tcBorders>
          </w:tcPr>
          <w:p>
            <w:pPr>
              <w:spacing w:after="40"/>
            </w:pPr>
            <w:r>
              <w:rPr>
                <w:b/>
                <w:color w:val="C65911"/>
                <w:sz w:val="21"/>
              </w:rPr>
              <w:t>Indivisible household rule</w:t>
            </w:r>
          </w:p>
          <w:p>
            <w:pPr>
              <w:spacing w:after="20"/>
            </w:pPr>
            <w:r>
              <w:rPr>
                <w:color w:val="263238"/>
                <w:sz w:val="18"/>
              </w:rPr>
              <w:t>Household-level movement units should normally remain indivisible. The allocation layer must support explicit UNASSIGNED / NO_VIABLE_ALLOCATION rather than forcing an unsafe or impossible split.</w:t>
            </w:r>
          </w:p>
        </w:tc>
      </w:tr>
    </w:tbl>
    <w:p>
      <w:pPr>
        <w:spacing w:after="40"/>
      </w:pPr>
    </w:p>
    <w:p>
      <w:pPr>
        <w:pStyle w:val="Heading1"/>
      </w:pPr>
      <w:r>
        <w:t>9. Cross-Engine Interface Contracts</w:t>
      </w:r>
    </w:p>
    <w:p>
      <w:r>
        <w:t>The implementation should use explicit service/module contracts rather than one engine reaching directly into another engine’s internal data structures. The payloads below are minimum exchange semantics made concrete for the prototype.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vAlign w:val="center"/>
            <w:shd w:fill="1F4E79"/>
          </w:tcPr>
          <w:p>
            <w:pPr>
              <w:spacing w:after="20"/>
              <w:jc w:val="center"/>
            </w:pPr>
            <w:r/>
            <w:r>
              <w:rPr>
                <w:rFonts w:ascii="Aptos" w:hAnsi="Aptos"/>
                <w:b/>
                <w:color w:val="FFFFFF"/>
                <w:sz w:val="15"/>
              </w:rPr>
              <w:t>Producer → Consumer</w:t>
            </w:r>
          </w:p>
        </w:tc>
        <w:tc>
          <w:tcPr>
            <w:tcW w:type="dxa" w:w="1944"/>
            <w:vAlign w:val="center"/>
            <w:shd w:fill="1F4E79"/>
          </w:tcPr>
          <w:p>
            <w:pPr>
              <w:spacing w:after="20"/>
              <w:jc w:val="center"/>
            </w:pPr>
            <w:r/>
            <w:r>
              <w:rPr>
                <w:rFonts w:ascii="Aptos" w:hAnsi="Aptos"/>
                <w:b/>
                <w:color w:val="FFFFFF"/>
                <w:sz w:val="15"/>
              </w:rPr>
              <w:t>Contract</w:t>
            </w:r>
          </w:p>
        </w:tc>
        <w:tc>
          <w:tcPr>
            <w:tcW w:type="dxa" w:w="4320"/>
            <w:vAlign w:val="center"/>
            <w:shd w:fill="1F4E79"/>
          </w:tcPr>
          <w:p>
            <w:pPr>
              <w:spacing w:after="20"/>
              <w:jc w:val="center"/>
            </w:pPr>
            <w:r/>
            <w:r>
              <w:rPr>
                <w:rFonts w:ascii="Aptos" w:hAnsi="Aptos"/>
                <w:b/>
                <w:color w:val="FFFFFF"/>
                <w:sz w:val="15"/>
              </w:rPr>
              <w:t>Minimum payload</w:t>
            </w:r>
          </w:p>
        </w:tc>
        <w:tc>
          <w:tcPr>
            <w:tcW w:type="dxa" w:w="1728"/>
            <w:vAlign w:val="center"/>
            <w:shd w:fill="1F4E79"/>
          </w:tcPr>
          <w:p>
            <w:pPr>
              <w:spacing w:after="20"/>
              <w:jc w:val="center"/>
            </w:pPr>
            <w:r/>
            <w:r>
              <w:rPr>
                <w:rFonts w:ascii="Aptos" w:hAnsi="Aptos"/>
                <w:b/>
                <w:color w:val="FFFFFF"/>
                <w:sz w:val="15"/>
              </w:rPr>
              <w:t>Consumer responsibility</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E1 → E2</w:t>
            </w:r>
          </w:p>
        </w:tc>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Hazard / exposure contract</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hazard_id, hazard_type, current_extent, current_red_zone, predicted_extent, predicted_red_zone, intensity, time_to_impact, prediction_horizon, confidence, data_quality, evidence_refs, snapshot_id, scenario_id</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E2 joins hazard state to habitations/households and derives exposure, vulnerability context and priority inputs.</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E1 → E3</w:t>
            </w:r>
          </w:p>
        </w:tc>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Destination hazard safety context</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destination_id or geometry, current hazard exposure, predicted hazard exposure, safety classification, confidence, validity, snapshot_id, scenario_id</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E3 hard-filters unsafe destinations and updates safety/readiness context.</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E1 → E4</w:t>
            </w:r>
          </w:p>
        </w:tc>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Network hazard context</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edge/geometry references, current/predicted hazard intersections, hazard intensity/context, predicted exposure window, confidence, validity, snapshot_id</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E4 computes hard route feasibility and time-dependent cost/risk.</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E2 → E3</w:t>
            </w:r>
          </w:p>
        </w:tc>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Demand context</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group_id, origin, people_count, priority_class, assistance_requirements, mobility_requirements, accessibility constraints, exposure/priority uncertainty, snapshot_id</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E3 understands incoming relocation demand context but does not perform final assignment.</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E2 → E4</w:t>
            </w:r>
          </w:p>
        </w:tc>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Movement constraints</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group_id, priority_class, people_count, mobility/assistance requirements, origin, preferred/required access modes, reason_codes, snapshot_id</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E4 uses group-specific route constraints and allocation priorities.</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E3 → E4</w:t>
            </w:r>
          </w:p>
        </w:tc>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Destination availability/capacity</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destination_id, safety_status, operational_status, readiness, effective_capacity, remaining_capacity, bottleneck_resource, accessibility, validity, snapshot_id</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E4 filters candidate destinations and enforces capacity constraints.</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E4 → E5</w:t>
            </w:r>
          </w:p>
        </w:tc>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Movement decision state</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route plans, invalidations, route alternatives, allocations, unmet demand, reason_codes, snapshot_id</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E5 uses results to compare baseline/scenario and identify downstream changes.</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E2/E3/E4 → Dashboard</w:t>
            </w:r>
          </w:p>
        </w:tc>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Decision read model</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subject/entity IDs, result, reasons, uncertainty, quality, snapshot, scenario, review/override status</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Dashboard renders one traceable state; it does not become the source of truth.</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E5 → E6</w:t>
            </w:r>
          </w:p>
        </w:tc>
        <w:tc>
          <w:tcPr>
            <w:tcW w:type="dxa" w:w="194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Scenario execution request</w:t>
            </w:r>
          </w:p>
        </w:tc>
        <w:tc>
          <w:tcPr>
            <w:tcW w:type="dxa" w:w="432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scenario_id, baseline_snapshot_id, affected layers/objects, parameters, assumptions, requested scope</w:t>
            </w:r>
          </w:p>
        </w:tc>
        <w:tc>
          <w:tcPr>
            <w:tcW w:type="dxa" w:w="1728"/>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E6 executes/persists shared state and events; E5 owns what the scenario means.</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E6 → all engines</w:t>
            </w:r>
          </w:p>
        </w:tc>
        <w:tc>
          <w:tcPr>
            <w:tcW w:type="dxa" w:w="194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Execution context</w:t>
            </w:r>
          </w:p>
        </w:tc>
        <w:tc>
          <w:tcPr>
            <w:tcW w:type="dxa" w:w="432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snapshot_id, scenario_id, source/provenance context, contract_version, relevant canonical entity refs</w:t>
            </w:r>
          </w:p>
        </w:tc>
        <w:tc>
          <w:tcPr>
            <w:tcW w:type="dxa" w:w="1728"/>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Every engine executes against compatible state context.</w:t>
            </w:r>
          </w:p>
        </w:tc>
      </w:tr>
    </w:tbl>
    <w:p>
      <w:pPr>
        <w:spacing w:after="40"/>
      </w:pPr>
    </w:p>
    <w:p>
      <w:pPr>
        <w:pStyle w:val="Heading2"/>
      </w:pPr>
      <w:r>
        <w:t>9.1 Contract envelope</w:t>
      </w:r>
    </w:p>
    <w:tbl>
      <w:tblPr>
        <w:tblW w:type="auto" w:w="0"/>
        <w:jc w:val="center"/>
        <w:tblLook w:firstColumn="1" w:firstRow="1" w:lastColumn="0" w:lastRow="0" w:noHBand="0" w:noVBand="1" w:val="04A0"/>
      </w:tblPr>
      <w:tblGrid>
        <w:gridCol w:w="10166"/>
      </w:tblGrid>
      <w:tr>
        <w:trPr>
          <w:cantSplit/>
        </w:trPr>
        <w:tc>
          <w:tcPr>
            <w:tcW w:type="dxa" w:w="10166"/>
            <w:shd w:fill="F2F2F2"/>
            <w:tcBorders>
              <w:top w:val="single" w:sz="4" w:color="BFBFBF"/>
              <w:left w:val="single" w:sz="4" w:color="BFBFBF"/>
              <w:bottom w:val="single" w:sz="4" w:color="BFBFBF"/>
              <w:right w:val="single" w:sz="4" w:color="BFBFBF"/>
            </w:tcBorders>
          </w:tcPr>
          <w:p>
            <w:pPr>
              <w:spacing w:after="0"/>
            </w:pPr>
            <w:r>
              <w:rPr>
                <w:rFonts w:ascii="Consolas" w:hAnsi="Consolas"/>
                <w:color w:val="263238"/>
                <w:sz w:val="16"/>
              </w:rPr>
              <w:t>{</w:t>
            </w:r>
          </w:p>
          <w:p>
            <w:pPr>
              <w:spacing w:after="0"/>
            </w:pPr>
            <w:r>
              <w:rPr>
                <w:rFonts w:ascii="Consolas" w:hAnsi="Consolas"/>
                <w:color w:val="263238"/>
                <w:sz w:val="16"/>
              </w:rPr>
              <w:t xml:space="preserve">  "contract_version": "1.0",</w:t>
            </w:r>
          </w:p>
          <w:p>
            <w:pPr>
              <w:spacing w:after="0"/>
            </w:pPr>
            <w:r>
              <w:rPr>
                <w:rFonts w:ascii="Consolas" w:hAnsi="Consolas"/>
                <w:color w:val="263238"/>
                <w:sz w:val="16"/>
              </w:rPr>
              <w:t xml:space="preserve">  "record_type": "&lt;type&gt;",</w:t>
            </w:r>
          </w:p>
          <w:p>
            <w:pPr>
              <w:spacing w:after="0"/>
            </w:pPr>
            <w:r>
              <w:rPr>
                <w:rFonts w:ascii="Consolas" w:hAnsi="Consolas"/>
                <w:color w:val="263238"/>
                <w:sz w:val="16"/>
              </w:rPr>
              <w:t xml:space="preserve">  "snapshot_id": "SNAP-001",</w:t>
            </w:r>
          </w:p>
          <w:p>
            <w:pPr>
              <w:spacing w:after="0"/>
            </w:pPr>
            <w:r>
              <w:rPr>
                <w:rFonts w:ascii="Consolas" w:hAnsi="Consolas"/>
                <w:color w:val="263238"/>
                <w:sz w:val="16"/>
              </w:rPr>
              <w:t xml:space="preserve">  "scenario_id": null,</w:t>
            </w:r>
          </w:p>
          <w:p>
            <w:pPr>
              <w:spacing w:after="0"/>
            </w:pPr>
            <w:r>
              <w:rPr>
                <w:rFonts w:ascii="Consolas" w:hAnsi="Consolas"/>
                <w:color w:val="263238"/>
                <w:sz w:val="16"/>
              </w:rPr>
              <w:t xml:space="preserve">  "producer": "E1",</w:t>
            </w:r>
          </w:p>
          <w:p>
            <w:pPr>
              <w:spacing w:after="0"/>
            </w:pPr>
            <w:r>
              <w:rPr>
                <w:rFonts w:ascii="Consolas" w:hAnsi="Consolas"/>
                <w:color w:val="263238"/>
                <w:sz w:val="16"/>
              </w:rPr>
              <w:t xml:space="preserve">  "created_at": "&lt;ISO-8601 datetime&gt;",</w:t>
            </w:r>
          </w:p>
          <w:p>
            <w:pPr>
              <w:spacing w:after="0"/>
            </w:pPr>
            <w:r>
              <w:rPr>
                <w:rFonts w:ascii="Consolas" w:hAnsi="Consolas"/>
                <w:color w:val="263238"/>
                <w:sz w:val="16"/>
              </w:rPr>
              <w:t xml:space="preserve">  "valid_from": "&lt;ISO-8601 datetime&gt;",</w:t>
            </w:r>
          </w:p>
          <w:p>
            <w:pPr>
              <w:spacing w:after="0"/>
            </w:pPr>
            <w:r>
              <w:rPr>
                <w:rFonts w:ascii="Consolas" w:hAnsi="Consolas"/>
                <w:color w:val="263238"/>
                <w:sz w:val="16"/>
              </w:rPr>
              <w:t xml:space="preserve">  "valid_to": null,</w:t>
            </w:r>
          </w:p>
          <w:p>
            <w:pPr>
              <w:spacing w:after="0"/>
            </w:pPr>
            <w:r>
              <w:rPr>
                <w:rFonts w:ascii="Consolas" w:hAnsi="Consolas"/>
                <w:color w:val="263238"/>
                <w:sz w:val="16"/>
              </w:rPr>
              <w:t xml:space="preserve">  "source_refs": ["SRC-001"],</w:t>
            </w:r>
          </w:p>
          <w:p>
            <w:pPr>
              <w:spacing w:after="0"/>
            </w:pPr>
            <w:r>
              <w:rPr>
                <w:rFonts w:ascii="Consolas" w:hAnsi="Consolas"/>
                <w:color w:val="263238"/>
                <w:sz w:val="16"/>
              </w:rPr>
              <w:t xml:space="preserve">  "data_quality": {"status": "HIGH", "notes": []},</w:t>
            </w:r>
          </w:p>
          <w:p>
            <w:pPr>
              <w:spacing w:after="0"/>
            </w:pPr>
            <w:r>
              <w:rPr>
                <w:rFonts w:ascii="Consolas" w:hAnsi="Consolas"/>
                <w:color w:val="263238"/>
                <w:sz w:val="16"/>
              </w:rPr>
              <w:t xml:space="preserve">  "confidence": {"type": "range", "value": null},</w:t>
            </w:r>
          </w:p>
          <w:p>
            <w:pPr>
              <w:spacing w:after="0"/>
            </w:pPr>
            <w:r>
              <w:rPr>
                <w:rFonts w:ascii="Consolas" w:hAnsi="Consolas"/>
                <w:color w:val="263238"/>
                <w:sz w:val="16"/>
              </w:rPr>
              <w:t xml:space="preserve">  "reason_codes": [],</w:t>
            </w:r>
          </w:p>
          <w:p>
            <w:pPr>
              <w:spacing w:after="0"/>
            </w:pPr>
            <w:r>
              <w:rPr>
                <w:rFonts w:ascii="Consolas" w:hAnsi="Consolas"/>
                <w:color w:val="263238"/>
                <w:sz w:val="16"/>
              </w:rPr>
              <w:t xml:space="preserve">  "payload": {}</w:t>
            </w:r>
          </w:p>
          <w:p>
            <w:pPr>
              <w:spacing w:after="0"/>
            </w:pPr>
            <w:r>
              <w:rPr>
                <w:rFonts w:ascii="Consolas" w:hAnsi="Consolas"/>
                <w:color w:val="263238"/>
                <w:sz w:val="16"/>
              </w:rPr>
              <w:t>}</w:t>
            </w:r>
          </w:p>
        </w:tc>
      </w:tr>
    </w:tbl>
    <w:p>
      <w:pPr>
        <w:spacing w:after="40"/>
      </w:pPr>
    </w:p>
    <w:p>
      <w:pPr>
        <w:pStyle w:val="Heading2"/>
      </w:pPr>
      <w:r>
        <w:t>9.2 E1 → E2 example</w:t>
      </w:r>
    </w:p>
    <w:tbl>
      <w:tblPr>
        <w:tblW w:type="auto" w:w="0"/>
        <w:jc w:val="center"/>
        <w:tblLook w:firstColumn="1" w:firstRow="1" w:lastColumn="0" w:lastRow="0" w:noHBand="0" w:noVBand="1" w:val="04A0"/>
      </w:tblPr>
      <w:tblGrid>
        <w:gridCol w:w="10166"/>
      </w:tblGrid>
      <w:tr>
        <w:trPr>
          <w:cantSplit/>
        </w:trPr>
        <w:tc>
          <w:tcPr>
            <w:tcW w:type="dxa" w:w="10166"/>
            <w:shd w:fill="F2F2F2"/>
            <w:tcBorders>
              <w:top w:val="single" w:sz="4" w:color="BFBFBF"/>
              <w:left w:val="single" w:sz="4" w:color="BFBFBF"/>
              <w:bottom w:val="single" w:sz="4" w:color="BFBFBF"/>
              <w:right w:val="single" w:sz="4" w:color="BFBFBF"/>
            </w:tcBorders>
          </w:tcPr>
          <w:p>
            <w:pPr>
              <w:spacing w:after="0"/>
            </w:pPr>
            <w:r>
              <w:rPr>
                <w:rFonts w:ascii="Consolas" w:hAnsi="Consolas"/>
                <w:color w:val="263238"/>
                <w:sz w:val="16"/>
              </w:rPr>
              <w:t>{</w:t>
            </w:r>
          </w:p>
          <w:p>
            <w:pPr>
              <w:spacing w:after="0"/>
            </w:pPr>
            <w:r>
              <w:rPr>
                <w:rFonts w:ascii="Consolas" w:hAnsi="Consolas"/>
                <w:color w:val="263238"/>
                <w:sz w:val="16"/>
              </w:rPr>
              <w:t xml:space="preserve">  "record_type": "hazard_state_bundle",</w:t>
            </w:r>
          </w:p>
          <w:p>
            <w:pPr>
              <w:spacing w:after="0"/>
            </w:pPr>
            <w:r>
              <w:rPr>
                <w:rFonts w:ascii="Consolas" w:hAnsi="Consolas"/>
                <w:color w:val="263238"/>
                <w:sz w:val="16"/>
              </w:rPr>
              <w:t xml:space="preserve">  "hazard_id": "HZ-001",</w:t>
            </w:r>
          </w:p>
          <w:p>
            <w:pPr>
              <w:spacing w:after="0"/>
            </w:pPr>
            <w:r>
              <w:rPr>
                <w:rFonts w:ascii="Consolas" w:hAnsi="Consolas"/>
                <w:color w:val="263238"/>
                <w:sz w:val="16"/>
              </w:rPr>
              <w:t xml:space="preserve">  "hazard_type": "flood",</w:t>
            </w:r>
          </w:p>
          <w:p>
            <w:pPr>
              <w:spacing w:after="0"/>
            </w:pPr>
            <w:r>
              <w:rPr>
                <w:rFonts w:ascii="Consolas" w:hAnsi="Consolas"/>
                <w:color w:val="263238"/>
                <w:sz w:val="16"/>
              </w:rPr>
              <w:t xml:space="preserve">  "current_extent": "&lt;GeoJSON geometry ref&gt;",</w:t>
            </w:r>
          </w:p>
          <w:p>
            <w:pPr>
              <w:spacing w:after="0"/>
            </w:pPr>
            <w:r>
              <w:rPr>
                <w:rFonts w:ascii="Consolas" w:hAnsi="Consolas"/>
                <w:color w:val="263238"/>
                <w:sz w:val="16"/>
              </w:rPr>
              <w:t xml:space="preserve">  "current_red_zone": "&lt;GeoJSON geometry ref&gt;",</w:t>
            </w:r>
          </w:p>
          <w:p>
            <w:pPr>
              <w:spacing w:after="0"/>
            </w:pPr>
            <w:r>
              <w:rPr>
                <w:rFonts w:ascii="Consolas" w:hAnsi="Consolas"/>
                <w:color w:val="263238"/>
                <w:sz w:val="16"/>
              </w:rPr>
              <w:t xml:space="preserve">  "predicted_extent": "&lt;GeoJSON geometry ref&gt;",</w:t>
            </w:r>
          </w:p>
          <w:p>
            <w:pPr>
              <w:spacing w:after="0"/>
            </w:pPr>
            <w:r>
              <w:rPr>
                <w:rFonts w:ascii="Consolas" w:hAnsi="Consolas"/>
                <w:color w:val="263238"/>
                <w:sz w:val="16"/>
              </w:rPr>
              <w:t xml:space="preserve">  "predicted_red_zone": "&lt;GeoJSON geometry ref&gt;",</w:t>
            </w:r>
          </w:p>
          <w:p>
            <w:pPr>
              <w:spacing w:after="0"/>
            </w:pPr>
            <w:r>
              <w:rPr>
                <w:rFonts w:ascii="Consolas" w:hAnsi="Consolas"/>
                <w:color w:val="263238"/>
                <w:sz w:val="16"/>
              </w:rPr>
              <w:t xml:space="preserve">  "hazard_intensity": {"metric": "&lt;hazard-specific&gt;", "value": "&lt;value&gt;"},</w:t>
            </w:r>
          </w:p>
          <w:p>
            <w:pPr>
              <w:spacing w:after="0"/>
            </w:pPr>
            <w:r>
              <w:rPr>
                <w:rFonts w:ascii="Consolas" w:hAnsi="Consolas"/>
                <w:color w:val="263238"/>
                <w:sz w:val="16"/>
              </w:rPr>
              <w:t xml:space="preserve">  "time_to_impact": {"value": "&lt;duration/range&gt;", "uncertainty": "&lt;...&gt;"},</w:t>
            </w:r>
          </w:p>
          <w:p>
            <w:pPr>
              <w:spacing w:after="0"/>
            </w:pPr>
            <w:r>
              <w:rPr>
                <w:rFonts w:ascii="Consolas" w:hAnsi="Consolas"/>
                <w:color w:val="263238"/>
                <w:sz w:val="16"/>
              </w:rPr>
              <w:t xml:space="preserve">  "prediction_horizon": "&lt;duration/datetime&gt;",</w:t>
            </w:r>
          </w:p>
          <w:p>
            <w:pPr>
              <w:spacing w:after="0"/>
            </w:pPr>
            <w:r>
              <w:rPr>
                <w:rFonts w:ascii="Consolas" w:hAnsi="Consolas"/>
                <w:color w:val="263238"/>
                <w:sz w:val="16"/>
              </w:rPr>
              <w:t xml:space="preserve">  "evidence_refs": ["EV-001", "EV-002"],</w:t>
            </w:r>
          </w:p>
          <w:p>
            <w:pPr>
              <w:spacing w:after="0"/>
            </w:pPr>
            <w:r>
              <w:rPr>
                <w:rFonts w:ascii="Consolas" w:hAnsi="Consolas"/>
                <w:color w:val="263238"/>
                <w:sz w:val="16"/>
              </w:rPr>
              <w:t xml:space="preserve">  "snapshot_id": "SNAP-001",</w:t>
            </w:r>
          </w:p>
          <w:p>
            <w:pPr>
              <w:spacing w:after="0"/>
            </w:pPr>
            <w:r>
              <w:rPr>
                <w:rFonts w:ascii="Consolas" w:hAnsi="Consolas"/>
                <w:color w:val="263238"/>
                <w:sz w:val="16"/>
              </w:rPr>
              <w:t xml:space="preserve">  "scenario_id": null</w:t>
            </w:r>
          </w:p>
          <w:p>
            <w:pPr>
              <w:spacing w:after="0"/>
            </w:pPr>
            <w:r>
              <w:rPr>
                <w:rFonts w:ascii="Consolas" w:hAnsi="Consolas"/>
                <w:color w:val="263238"/>
                <w:sz w:val="16"/>
              </w:rPr>
              <w:t>}</w:t>
            </w:r>
          </w:p>
        </w:tc>
      </w:tr>
    </w:tbl>
    <w:p>
      <w:pPr>
        <w:spacing w:after="40"/>
      </w:pPr>
    </w:p>
    <w:p>
      <w:pPr>
        <w:pStyle w:val="Heading2"/>
      </w:pPr>
      <w:r>
        <w:t>9.3 E3 → E4 example</w:t>
      </w:r>
    </w:p>
    <w:tbl>
      <w:tblPr>
        <w:tblW w:type="auto" w:w="0"/>
        <w:jc w:val="center"/>
        <w:tblLook w:firstColumn="1" w:firstRow="1" w:lastColumn="0" w:lastRow="0" w:noHBand="0" w:noVBand="1" w:val="04A0"/>
      </w:tblPr>
      <w:tblGrid>
        <w:gridCol w:w="10166"/>
      </w:tblGrid>
      <w:tr>
        <w:trPr>
          <w:cantSplit/>
        </w:trPr>
        <w:tc>
          <w:tcPr>
            <w:tcW w:type="dxa" w:w="10166"/>
            <w:shd w:fill="F2F2F2"/>
            <w:tcBorders>
              <w:top w:val="single" w:sz="4" w:color="BFBFBF"/>
              <w:left w:val="single" w:sz="4" w:color="BFBFBF"/>
              <w:bottom w:val="single" w:sz="4" w:color="BFBFBF"/>
              <w:right w:val="single" w:sz="4" w:color="BFBFBF"/>
            </w:tcBorders>
          </w:tcPr>
          <w:p>
            <w:pPr>
              <w:spacing w:after="0"/>
            </w:pPr>
            <w:r>
              <w:rPr>
                <w:rFonts w:ascii="Consolas" w:hAnsi="Consolas"/>
                <w:color w:val="263238"/>
                <w:sz w:val="16"/>
              </w:rPr>
              <w:t>{</w:t>
            </w:r>
          </w:p>
          <w:p>
            <w:pPr>
              <w:spacing w:after="0"/>
            </w:pPr>
            <w:r>
              <w:rPr>
                <w:rFonts w:ascii="Consolas" w:hAnsi="Consolas"/>
                <w:color w:val="263238"/>
                <w:sz w:val="16"/>
              </w:rPr>
              <w:t xml:space="preserve">  "record_type": "destination_capacity_context",</w:t>
            </w:r>
          </w:p>
          <w:p>
            <w:pPr>
              <w:spacing w:after="0"/>
            </w:pPr>
            <w:r>
              <w:rPr>
                <w:rFonts w:ascii="Consolas" w:hAnsi="Consolas"/>
                <w:color w:val="263238"/>
                <w:sz w:val="16"/>
              </w:rPr>
              <w:t xml:space="preserve">  "snapshot_id": "SNAP-001",</w:t>
            </w:r>
          </w:p>
          <w:p>
            <w:pPr>
              <w:spacing w:after="0"/>
            </w:pPr>
            <w:r>
              <w:rPr>
                <w:rFonts w:ascii="Consolas" w:hAnsi="Consolas"/>
                <w:color w:val="263238"/>
                <w:sz w:val="16"/>
              </w:rPr>
              <w:t xml:space="preserve">  "destinations": [</w:t>
            </w:r>
          </w:p>
          <w:p>
            <w:pPr>
              <w:spacing w:after="0"/>
            </w:pPr>
            <w:r>
              <w:rPr>
                <w:rFonts w:ascii="Consolas" w:hAnsi="Consolas"/>
                <w:color w:val="263238"/>
                <w:sz w:val="16"/>
              </w:rPr>
              <w:t xml:space="preserve">    {</w:t>
            </w:r>
          </w:p>
          <w:p>
            <w:pPr>
              <w:spacing w:after="0"/>
            </w:pPr>
            <w:r>
              <w:rPr>
                <w:rFonts w:ascii="Consolas" w:hAnsi="Consolas"/>
                <w:color w:val="263238"/>
                <w:sz w:val="16"/>
              </w:rPr>
              <w:t xml:space="preserve">      "destination_id": "D-01",</w:t>
            </w:r>
          </w:p>
          <w:p>
            <w:pPr>
              <w:spacing w:after="0"/>
            </w:pPr>
            <w:r>
              <w:rPr>
                <w:rFonts w:ascii="Consolas" w:hAnsi="Consolas"/>
                <w:color w:val="263238"/>
                <w:sz w:val="16"/>
              </w:rPr>
              <w:t xml:space="preserve">      "safety_status": "SAFE",</w:t>
            </w:r>
          </w:p>
          <w:p>
            <w:pPr>
              <w:spacing w:after="0"/>
            </w:pPr>
            <w:r>
              <w:rPr>
                <w:rFonts w:ascii="Consolas" w:hAnsi="Consolas"/>
                <w:color w:val="263238"/>
                <w:sz w:val="16"/>
              </w:rPr>
              <w:t xml:space="preserve">      "operational_status": "AVAILABLE",</w:t>
            </w:r>
          </w:p>
          <w:p>
            <w:pPr>
              <w:spacing w:after="0"/>
            </w:pPr>
            <w:r>
              <w:rPr>
                <w:rFonts w:ascii="Consolas" w:hAnsi="Consolas"/>
                <w:color w:val="263238"/>
                <w:sz w:val="16"/>
              </w:rPr>
              <w:t xml:space="preserve">      "effective_capacity": 420,</w:t>
            </w:r>
          </w:p>
          <w:p>
            <w:pPr>
              <w:spacing w:after="0"/>
            </w:pPr>
            <w:r>
              <w:rPr>
                <w:rFonts w:ascii="Consolas" w:hAnsi="Consolas"/>
                <w:color w:val="263238"/>
                <w:sz w:val="16"/>
              </w:rPr>
              <w:t xml:space="preserve">      "remaining_capacity": 260,</w:t>
            </w:r>
          </w:p>
          <w:p>
            <w:pPr>
              <w:spacing w:after="0"/>
            </w:pPr>
            <w:r>
              <w:rPr>
                <w:rFonts w:ascii="Consolas" w:hAnsi="Consolas"/>
                <w:color w:val="263238"/>
                <w:sz w:val="16"/>
              </w:rPr>
              <w:t xml:space="preserve">      "bottleneck_resource": "water",</w:t>
            </w:r>
          </w:p>
          <w:p>
            <w:pPr>
              <w:spacing w:after="0"/>
            </w:pPr>
            <w:r>
              <w:rPr>
                <w:rFonts w:ascii="Consolas" w:hAnsi="Consolas"/>
                <w:color w:val="263238"/>
                <w:sz w:val="16"/>
              </w:rPr>
              <w:t xml:space="preserve">      "readiness": {"status": "READY"},</w:t>
            </w:r>
          </w:p>
          <w:p>
            <w:pPr>
              <w:spacing w:after="0"/>
            </w:pPr>
            <w:r>
              <w:rPr>
                <w:rFonts w:ascii="Consolas" w:hAnsi="Consolas"/>
                <w:color w:val="263238"/>
                <w:sz w:val="16"/>
              </w:rPr>
              <w:t xml:space="preserve">      "accessibility": {"modes": ["walk", "vehicle"]}</w:t>
            </w:r>
          </w:p>
          <w:p>
            <w:pPr>
              <w:spacing w:after="0"/>
            </w:pPr>
            <w:r>
              <w:rPr>
                <w:rFonts w:ascii="Consolas" w:hAnsi="Consolas"/>
                <w:color w:val="263238"/>
                <w:sz w:val="16"/>
              </w:rPr>
              <w:t xml:space="preserve">    }</w:t>
            </w:r>
          </w:p>
          <w:p>
            <w:pPr>
              <w:spacing w:after="0"/>
            </w:pPr>
            <w:r>
              <w:rPr>
                <w:rFonts w:ascii="Consolas" w:hAnsi="Consolas"/>
                <w:color w:val="263238"/>
                <w:sz w:val="16"/>
              </w:rPr>
              <w:t xml:space="preserve">  ]</w:t>
            </w:r>
          </w:p>
          <w:p>
            <w:pPr>
              <w:spacing w:after="0"/>
            </w:pPr>
            <w:r>
              <w:rPr>
                <w:rFonts w:ascii="Consolas" w:hAnsi="Consolas"/>
                <w:color w:val="263238"/>
                <w:sz w:val="16"/>
              </w:rPr>
              <w:t>}</w:t>
            </w:r>
          </w:p>
        </w:tc>
      </w:tr>
    </w:tbl>
    <w:p>
      <w:pPr>
        <w:spacing w:after="40"/>
      </w:pPr>
    </w:p>
    <w:p>
      <w:pPr>
        <w:pStyle w:val="Heading2"/>
      </w:pPr>
      <w:r>
        <w:t>9.4 E4 → dashboard example</w:t>
      </w:r>
    </w:p>
    <w:tbl>
      <w:tblPr>
        <w:tblW w:type="auto" w:w="0"/>
        <w:jc w:val="center"/>
        <w:tblLook w:firstColumn="1" w:firstRow="1" w:lastColumn="0" w:lastRow="0" w:noHBand="0" w:noVBand="1" w:val="04A0"/>
      </w:tblPr>
      <w:tblGrid>
        <w:gridCol w:w="10166"/>
      </w:tblGrid>
      <w:tr>
        <w:trPr>
          <w:cantSplit/>
        </w:trPr>
        <w:tc>
          <w:tcPr>
            <w:tcW w:type="dxa" w:w="10166"/>
            <w:shd w:fill="F2F2F2"/>
            <w:tcBorders>
              <w:top w:val="single" w:sz="4" w:color="BFBFBF"/>
              <w:left w:val="single" w:sz="4" w:color="BFBFBF"/>
              <w:bottom w:val="single" w:sz="4" w:color="BFBFBF"/>
              <w:right w:val="single" w:sz="4" w:color="BFBFBF"/>
            </w:tcBorders>
          </w:tcPr>
          <w:p>
            <w:pPr>
              <w:spacing w:after="0"/>
            </w:pPr>
            <w:r>
              <w:rPr>
                <w:rFonts w:ascii="Consolas" w:hAnsi="Consolas"/>
                <w:color w:val="263238"/>
                <w:sz w:val="16"/>
              </w:rPr>
              <w:t>{</w:t>
            </w:r>
          </w:p>
          <w:p>
            <w:pPr>
              <w:spacing w:after="0"/>
            </w:pPr>
            <w:r>
              <w:rPr>
                <w:rFonts w:ascii="Consolas" w:hAnsi="Consolas"/>
                <w:color w:val="263238"/>
                <w:sz w:val="16"/>
              </w:rPr>
              <w:t xml:space="preserve">  "record_type": "relocation_decision",</w:t>
            </w:r>
          </w:p>
          <w:p>
            <w:pPr>
              <w:spacing w:after="0"/>
            </w:pPr>
            <w:r>
              <w:rPr>
                <w:rFonts w:ascii="Consolas" w:hAnsi="Consolas"/>
                <w:color w:val="263238"/>
                <w:sz w:val="16"/>
              </w:rPr>
              <w:t xml:space="preserve">  "group_id": "G-017",</w:t>
            </w:r>
          </w:p>
          <w:p>
            <w:pPr>
              <w:spacing w:after="0"/>
            </w:pPr>
            <w:r>
              <w:rPr>
                <w:rFonts w:ascii="Consolas" w:hAnsi="Consolas"/>
                <w:color w:val="263238"/>
                <w:sz w:val="16"/>
              </w:rPr>
              <w:t xml:space="preserve">  "destination_id": "D-02",</w:t>
            </w:r>
          </w:p>
          <w:p>
            <w:pPr>
              <w:spacing w:after="0"/>
            </w:pPr>
            <w:r>
              <w:rPr>
                <w:rFonts w:ascii="Consolas" w:hAnsi="Consolas"/>
                <w:color w:val="263238"/>
                <w:sz w:val="16"/>
              </w:rPr>
              <w:t xml:space="preserve">  "route_id": "R-17",</w:t>
            </w:r>
          </w:p>
          <w:p>
            <w:pPr>
              <w:spacing w:after="0"/>
            </w:pPr>
            <w:r>
              <w:rPr>
                <w:rFonts w:ascii="Consolas" w:hAnsi="Consolas"/>
                <w:color w:val="263238"/>
                <w:sz w:val="16"/>
              </w:rPr>
              <w:t xml:space="preserve">  "allocation_status": "ASSIGNED",</w:t>
            </w:r>
          </w:p>
          <w:p>
            <w:pPr>
              <w:spacing w:after="0"/>
            </w:pPr>
            <w:r>
              <w:rPr>
                <w:rFonts w:ascii="Consolas" w:hAnsi="Consolas"/>
                <w:color w:val="263238"/>
                <w:sz w:val="16"/>
              </w:rPr>
              <w:t xml:space="preserve">  "priority_class": "Immediate",</w:t>
            </w:r>
          </w:p>
          <w:p>
            <w:pPr>
              <w:spacing w:after="0"/>
            </w:pPr>
            <w:r>
              <w:rPr>
                <w:rFonts w:ascii="Consolas" w:hAnsi="Consolas"/>
                <w:color w:val="263238"/>
                <w:sz w:val="16"/>
              </w:rPr>
              <w:t xml:space="preserve">  "route_status": "FEASIBLE",</w:t>
            </w:r>
          </w:p>
          <w:p>
            <w:pPr>
              <w:spacing w:after="0"/>
            </w:pPr>
            <w:r>
              <w:rPr>
                <w:rFonts w:ascii="Consolas" w:hAnsi="Consolas"/>
                <w:color w:val="263238"/>
                <w:sz w:val="16"/>
              </w:rPr>
              <w:t xml:space="preserve">  "reason_codes": ["DESTINATION_SAFE", "CAPACITY_AVAILABLE", "ROUTE_VIABLE"],</w:t>
            </w:r>
          </w:p>
          <w:p>
            <w:pPr>
              <w:spacing w:after="0"/>
            </w:pPr>
            <w:r>
              <w:rPr>
                <w:rFonts w:ascii="Consolas" w:hAnsi="Consolas"/>
                <w:color w:val="263238"/>
                <w:sz w:val="16"/>
              </w:rPr>
              <w:t xml:space="preserve">  "snapshot_id": "SNAP-001",</w:t>
            </w:r>
          </w:p>
          <w:p>
            <w:pPr>
              <w:spacing w:after="0"/>
            </w:pPr>
            <w:r>
              <w:rPr>
                <w:rFonts w:ascii="Consolas" w:hAnsi="Consolas"/>
                <w:color w:val="263238"/>
                <w:sz w:val="16"/>
              </w:rPr>
              <w:t xml:space="preserve">  "scenario_id": null,</w:t>
            </w:r>
          </w:p>
          <w:p>
            <w:pPr>
              <w:spacing w:after="0"/>
            </w:pPr>
            <w:r>
              <w:rPr>
                <w:rFonts w:ascii="Consolas" w:hAnsi="Consolas"/>
                <w:color w:val="263238"/>
                <w:sz w:val="16"/>
              </w:rPr>
              <w:t xml:space="preserve">  "authority_review_status": "Pending"</w:t>
            </w:r>
          </w:p>
          <w:p>
            <w:pPr>
              <w:spacing w:after="0"/>
            </w:pPr>
            <w:r>
              <w:rPr>
                <w:rFonts w:ascii="Consolas" w:hAnsi="Consolas"/>
                <w:color w:val="263238"/>
                <w:sz w:val="16"/>
              </w:rPr>
              <w:t>}</w:t>
            </w:r>
          </w:p>
        </w:tc>
      </w:tr>
    </w:tbl>
    <w:p>
      <w:pPr>
        <w:spacing w:after="40"/>
      </w:pPr>
    </w:p>
    <w:p>
      <w:pPr>
        <w:pStyle w:val="Heading1"/>
      </w:pPr>
      <w:r>
        <w:t>10. Prototype API &amp; Service Contract Conventions</w:t>
      </w:r>
    </w:p>
    <w:tbl>
      <w:tblPr>
        <w:tblW w:type="auto" w:w="0"/>
        <w:jc w:val="center"/>
        <w:tblLayout w:type="fixed"/>
        <w:tblLook w:firstColumn="1" w:firstRow="1" w:lastColumn="0" w:lastRow="0" w:noHBand="0" w:noVBand="1" w:val="04A0"/>
      </w:tblPr>
      <w:tblGrid>
        <w:gridCol w:w="10166"/>
      </w:tblGrid>
      <w:tr>
        <w:tc>
          <w:tcPr>
            <w:tcW w:type="dxa" w:w="10166"/>
            <w:shd w:fill="E2F0D9"/>
            <w:tcBorders>
              <w:top w:val="single" w:sz="12" w:color="548235"/>
              <w:left w:val="single" w:sz="8" w:color="548235"/>
              <w:bottom w:val="single" w:sz="8" w:color="548235"/>
              <w:right w:val="single" w:sz="8" w:color="548235"/>
            </w:tcBorders>
          </w:tcPr>
          <w:p>
            <w:pPr>
              <w:spacing w:after="40"/>
            </w:pPr>
            <w:r>
              <w:rPr>
                <w:b/>
                <w:color w:val="548235"/>
                <w:sz w:val="21"/>
              </w:rPr>
              <w:t>Prototype architecture choice</w:t>
            </w:r>
          </w:p>
          <w:p>
            <w:pPr>
              <w:spacing w:after="20"/>
            </w:pPr>
            <w:r>
              <w:rPr>
                <w:color w:val="263238"/>
                <w:sz w:val="18"/>
              </w:rPr>
              <w:t>A modular monolith with explicit module/service contracts is the baseline. The modules should be separable later, but the prototype should not introduce distributed microservice complexity without a real requirement.</w:t>
            </w:r>
          </w:p>
        </w:tc>
      </w:tr>
    </w:tbl>
    <w:p>
      <w:pPr>
        <w:spacing w:after="40"/>
      </w:pP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Concern</w:t>
            </w:r>
          </w:p>
        </w:tc>
        <w:tc>
          <w:tcPr>
            <w:tcW w:type="dxa" w:w="3389"/>
            <w:vAlign w:val="center"/>
            <w:shd w:fill="1F4E79"/>
          </w:tcPr>
          <w:p>
            <w:pPr>
              <w:spacing w:after="20"/>
              <w:jc w:val="center"/>
            </w:pPr>
            <w:r/>
            <w:r>
              <w:rPr>
                <w:rFonts w:ascii="Aptos" w:hAnsi="Aptos"/>
                <w:b/>
                <w:color w:val="FFFFFF"/>
                <w:sz w:val="17"/>
              </w:rPr>
              <w:t>Prototype baseline</w:t>
            </w:r>
          </w:p>
        </w:tc>
        <w:tc>
          <w:tcPr>
            <w:tcW w:type="dxa" w:w="3389"/>
            <w:vAlign w:val="center"/>
            <w:shd w:fill="1F4E79"/>
          </w:tcPr>
          <w:p>
            <w:pPr>
              <w:spacing w:after="20"/>
              <w:jc w:val="center"/>
            </w:pPr>
            <w:r/>
            <w:r>
              <w:rPr>
                <w:rFonts w:ascii="Aptos" w:hAnsi="Aptos"/>
                <w:b/>
                <w:color w:val="FFFFFF"/>
                <w:sz w:val="17"/>
              </w:rPr>
              <w:t>Future extension</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Transport</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HTTP/JSON APIs through FastAPI.</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OGC API - Features / Processes selectively where interoperability adds value.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Geospatial exchange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GeoJSON for map-oriented feature exchange; internal database uses PostGIS geometry.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Additional OGC-compliant endpoints as required.</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Long jobs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Synchronous where small; background job record when computation may take time.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Workflow/job orchestration or queue/broker.</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Versioning</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URL /api/v1 plus contract_version in payloads.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Semantic versioning and compatibility windows.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Authentication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Role-based accounts for prototype.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Central identity/MFA/federation where required.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Errors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Structured error object with code/message/context.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Central error catalog/observability platform.</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Idempotency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idempotency_key for event/job-triggering POSTs.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Durable distributed idempotency store.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Pagination/filtering</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Limit/offset or cursor for large feature collections.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Standardized geospatial query interfaces.</w:t>
            </w:r>
          </w:p>
        </w:tc>
      </w:tr>
    </w:tbl>
    <w:p>
      <w:pPr>
        <w:spacing w:after="4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541"/>
            <w:vAlign w:val="center"/>
            <w:shd w:fill="1F4E79"/>
          </w:tcPr>
          <w:p>
            <w:pPr>
              <w:spacing w:after="20"/>
              <w:jc w:val="center"/>
            </w:pPr>
            <w:r/>
            <w:r>
              <w:rPr>
                <w:rFonts w:ascii="Aptos" w:hAnsi="Aptos"/>
                <w:b/>
                <w:color w:val="FFFFFF"/>
                <w:sz w:val="17"/>
              </w:rPr>
              <w:t>Candidate endpoint</w:t>
            </w:r>
          </w:p>
        </w:tc>
        <w:tc>
          <w:tcPr>
            <w:tcW w:type="dxa" w:w="2541"/>
            <w:vAlign w:val="center"/>
            <w:shd w:fill="1F4E79"/>
          </w:tcPr>
          <w:p>
            <w:pPr>
              <w:spacing w:after="20"/>
              <w:jc w:val="center"/>
            </w:pPr>
            <w:r/>
            <w:r>
              <w:rPr>
                <w:rFonts w:ascii="Aptos" w:hAnsi="Aptos"/>
                <w:b/>
                <w:color w:val="FFFFFF"/>
                <w:sz w:val="17"/>
              </w:rPr>
              <w:t>Method</w:t>
            </w:r>
          </w:p>
        </w:tc>
        <w:tc>
          <w:tcPr>
            <w:tcW w:type="dxa" w:w="2541"/>
            <w:vAlign w:val="center"/>
            <w:shd w:fill="1F4E79"/>
          </w:tcPr>
          <w:p>
            <w:pPr>
              <w:spacing w:after="20"/>
              <w:jc w:val="center"/>
            </w:pPr>
            <w:r/>
            <w:r>
              <w:rPr>
                <w:rFonts w:ascii="Aptos" w:hAnsi="Aptos"/>
                <w:b/>
                <w:color w:val="FFFFFF"/>
                <w:sz w:val="17"/>
              </w:rPr>
              <w:t>Purpose</w:t>
            </w:r>
          </w:p>
        </w:tc>
        <w:tc>
          <w:tcPr>
            <w:tcW w:type="dxa" w:w="2541"/>
            <w:vAlign w:val="center"/>
            <w:shd w:fill="1F4E79"/>
          </w:tcPr>
          <w:p>
            <w:pPr>
              <w:spacing w:after="20"/>
              <w:jc w:val="center"/>
            </w:pPr>
            <w:r/>
            <w:r>
              <w:rPr>
                <w:rFonts w:ascii="Aptos" w:hAnsi="Aptos"/>
                <w:b/>
                <w:color w:val="FFFFFF"/>
                <w:sz w:val="17"/>
              </w:rPr>
              <w:t>Owner</w:t>
            </w:r>
          </w:p>
        </w:tc>
      </w:tr>
      <w:tr>
        <w:trPr>
          <w:cantSplit/>
        </w:trPr>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/api/v1/hazards/current</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GET</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Return active current hazard state by area/type/snapshot.</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w:t>
            </w:r>
          </w:p>
        </w:tc>
      </w:tr>
      <w:tr>
        <w:trPr>
          <w:cantSplit/>
        </w:trPr>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/api/v1/hazards/predictions</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Return prediction records and uncertainty.</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w:t>
            </w:r>
          </w:p>
        </w:tc>
      </w:tr>
      <w:tr>
        <w:trPr>
          <w:cantSplit/>
        </w:trPr>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/api/v1/hazards/recompute</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POST</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Trigger E1 recomputation for a defined context.</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E1/E6</w:t>
            </w:r>
          </w:p>
        </w:tc>
      </w:tr>
      <w:tr>
        <w:trPr>
          <w:cantSplit/>
        </w:trPr>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/api/v1/exposure/assess</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POST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Run/refresh exposure assessment for affected subjects.</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E2</w:t>
            </w:r>
          </w:p>
        </w:tc>
      </w:tr>
      <w:tr>
        <w:trPr>
          <w:cantSplit/>
        </w:trPr>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/api/v1/priorities</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GET</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Query explainable priority records.</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E2</w:t>
            </w:r>
          </w:p>
        </w:tc>
      </w:tr>
      <w:tr>
        <w:trPr>
          <w:cantSplit/>
        </w:trPr>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/api/v1/destinations</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Return candidate destination state and capacity context.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w:t>
            </w:r>
          </w:p>
        </w:tc>
      </w:tr>
      <w:tr>
        <w:trPr>
          <w:cantSplit/>
        </w:trPr>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/api/v1/capacity/recompute</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POST</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Refresh resource/effective capacity.</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w:t>
            </w:r>
          </w:p>
        </w:tc>
      </w:tr>
      <w:tr>
        <w:trPr>
          <w:cantSplit/>
        </w:trPr>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/api/v1/routes/candidates</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POST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Generate candidate routes for a group/destination set.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E4</w:t>
            </w:r>
          </w:p>
        </w:tc>
      </w:tr>
      <w:tr>
        <w:trPr>
          <w:cantSplit/>
        </w:trPr>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/api/v1/relocation/optimize</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POST</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Run constrained destination allocation + route selection.</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E4</w:t>
            </w:r>
          </w:p>
        </w:tc>
      </w:tr>
      <w:tr>
        <w:trPr>
          <w:cantSplit/>
        </w:trPr>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/api/v1/scenarios</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POST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Create a scenario referencing a baseline snapshot.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E5</w:t>
            </w:r>
          </w:p>
        </w:tc>
      </w:tr>
      <w:tr>
        <w:trPr>
          <w:cantSplit/>
        </w:trPr>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/api/v1/scenarios/{id}/run</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POST</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Execute a scenario and targeted recomputation.</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E5/E6</w:t>
            </w:r>
          </w:p>
        </w:tc>
      </w:tr>
      <w:tr>
        <w:trPr>
          <w:cantSplit/>
        </w:trPr>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/api/v1/scenarios/{id}/delta</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Return baseline-versus-scenario changes.</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E5</w:t>
            </w:r>
          </w:p>
        </w:tc>
      </w:tr>
      <w:tr>
        <w:trPr>
          <w:cantSplit/>
        </w:trPr>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/api/v1/snapshots/{id}</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GET</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Inspect the decision context used by downstream results.</w:t>
            </w:r>
          </w:p>
        </w:tc>
        <w:tc>
          <w:tcPr>
            <w:tcW w:type="dxa" w:w="2541"/>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E6</w:t>
            </w:r>
          </w:p>
        </w:tc>
      </w:tr>
      <w:tr>
        <w:trPr>
          <w:cantSplit/>
        </w:trPr>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/api/v1/events</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Inspect event history for debugging/audit.</w:t>
            </w:r>
          </w:p>
        </w:tc>
        <w:tc>
          <w:tcPr>
            <w:tcW w:type="dxa" w:w="2541"/>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E6</w:t>
            </w:r>
          </w:p>
        </w:tc>
      </w:tr>
    </w:tbl>
    <w:p>
      <w:pPr>
        <w:spacing w:after="40"/>
      </w:pPr>
    </w:p>
    <w:p>
      <w:pPr>
        <w:pStyle w:val="Heading1"/>
      </w:pPr>
      <w:r>
        <w:t>11. Event &amp; Update Propagation Model</w:t>
      </w:r>
    </w:p>
    <w:p>
      <w:pPr>
        <w:jc w:val="center"/>
      </w:pPr>
      <w:r>
        <w:drawing>
          <wp:inline xmlns:a="http://schemas.openxmlformats.org/drawingml/2006/main" xmlns:pic="http://schemas.openxmlformats.org/drawingml/2006/picture">
            <wp:extent cx="5989320" cy="8812857"/>
            <wp:docPr id="3" name="Picture 3" descr="Figure 3. Example change propagation. E5 determines dependency scope for scenarios; E6 provides the common event/state machinery." title="Figure 3. Example change propagation. E5 determines dependency scope for scenarios; E6 provides the common event/state machinery."/>
            <wp:cNvGraphicFramePr>
              <a:graphicFrameLocks noChangeAspect="1"/>
            </wp:cNvGraphicFramePr>
            <a:graphic>
              <a:graphicData uri="http://schemas.openxmlformats.org/drawingml/2006/picture">
                <pic:pic>
                  <pic:nvPicPr>
                    <pic:cNvPr id="0" name="event_propagation.png"/>
                    <pic:cNvPicPr/>
                  </pic:nvPicPr>
                  <pic:blipFill>
                    <a:blip r:embed="rId13"/>
                    <a:stretch>
                      <a:fillRect/>
                    </a:stretch>
                  </pic:blipFill>
                  <pic:spPr>
                    <a:xfrm>
                      <a:off x="0" y="0"/>
                      <a:ext cx="5989320" cy="8812857"/>
                    </a:xfrm>
                    <a:prstGeom prst="rect"/>
                  </pic:spPr>
                </pic:pic>
              </a:graphicData>
            </a:graphic>
          </wp:inline>
        </w:drawing>
      </w:r>
    </w:p>
    <w:p>
      <w:pPr>
        <w:jc w:val="center"/>
      </w:pPr>
      <w:r>
        <w:rPr>
          <w:i/>
          <w:color w:val="666666"/>
          <w:sz w:val="17"/>
        </w:rPr>
        <w:t>Figure 3. Example change propagation. E5 determines dependency scope for scenarios; E6 provides the common event/state machinery.</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800"/>
            <w:vAlign w:val="center"/>
            <w:shd w:fill="1F4E79"/>
          </w:tcPr>
          <w:p>
            <w:pPr>
              <w:spacing w:after="20"/>
              <w:jc w:val="center"/>
            </w:pPr>
            <w:r/>
            <w:r>
              <w:rPr>
                <w:rFonts w:ascii="Aptos" w:hAnsi="Aptos"/>
                <w:b/>
                <w:color w:val="FFFFFF"/>
                <w:sz w:val="15"/>
              </w:rPr>
              <w:t>Event type</w:t>
            </w:r>
          </w:p>
        </w:tc>
        <w:tc>
          <w:tcPr>
            <w:tcW w:type="dxa" w:w="1224"/>
            <w:vAlign w:val="center"/>
            <w:shd w:fill="1F4E79"/>
          </w:tcPr>
          <w:p>
            <w:pPr>
              <w:spacing w:after="20"/>
              <w:jc w:val="center"/>
            </w:pPr>
            <w:r/>
            <w:r>
              <w:rPr>
                <w:rFonts w:ascii="Aptos" w:hAnsi="Aptos"/>
                <w:b/>
                <w:color w:val="FFFFFF"/>
                <w:sz w:val="15"/>
              </w:rPr>
              <w:t>Producer</w:t>
            </w:r>
          </w:p>
        </w:tc>
        <w:tc>
          <w:tcPr>
            <w:tcW w:type="dxa" w:w="1656"/>
            <w:vAlign w:val="center"/>
            <w:shd w:fill="1F4E79"/>
          </w:tcPr>
          <w:p>
            <w:pPr>
              <w:spacing w:after="20"/>
              <w:jc w:val="center"/>
            </w:pPr>
            <w:r/>
            <w:r>
              <w:rPr>
                <w:rFonts w:ascii="Aptos" w:hAnsi="Aptos"/>
                <w:b/>
                <w:color w:val="FFFFFF"/>
                <w:sz w:val="15"/>
              </w:rPr>
              <w:t>Consumers</w:t>
            </w:r>
          </w:p>
        </w:tc>
        <w:tc>
          <w:tcPr>
            <w:tcW w:type="dxa" w:w="3240"/>
            <w:vAlign w:val="center"/>
            <w:shd w:fill="1F4E79"/>
          </w:tcPr>
          <w:p>
            <w:pPr>
              <w:spacing w:after="20"/>
              <w:jc w:val="center"/>
            </w:pPr>
            <w:r/>
            <w:r>
              <w:rPr>
                <w:rFonts w:ascii="Aptos" w:hAnsi="Aptos"/>
                <w:b/>
                <w:color w:val="FFFFFF"/>
                <w:sz w:val="15"/>
              </w:rPr>
              <w:t>Minimum payload</w:t>
            </w:r>
          </w:p>
        </w:tc>
        <w:tc>
          <w:tcPr>
            <w:tcW w:type="dxa" w:w="1656"/>
            <w:vAlign w:val="center"/>
            <w:shd w:fill="1F4E79"/>
          </w:tcPr>
          <w:p>
            <w:pPr>
              <w:spacing w:after="20"/>
              <w:jc w:val="center"/>
            </w:pPr>
            <w:r/>
            <w:r>
              <w:rPr>
                <w:rFonts w:ascii="Aptos" w:hAnsi="Aptos"/>
                <w:b/>
                <w:color w:val="FFFFFF"/>
                <w:sz w:val="15"/>
              </w:rPr>
              <w:t>Effect</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DATASET_UPDATED</w:t>
            </w:r>
          </w:p>
        </w:tc>
        <w:tc>
          <w:tcPr>
            <w:tcW w:type="dxa" w:w="122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E6 ingestion</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Affected engines</w:t>
            </w:r>
          </w:p>
        </w:tc>
        <w:tc>
          <w:tcPr>
            <w:tcW w:type="dxa" w:w="324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Dataset identity + snapshot context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Refresh canonical state if accepted</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HAZARD_STATE_UPDATED</w:t>
            </w:r>
          </w:p>
        </w:tc>
        <w:tc>
          <w:tcPr>
            <w:tcW w:type="dxa" w:w="122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E1</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E2/E3/E4/E5/dashboard</w:t>
            </w:r>
          </w:p>
        </w:tc>
        <w:tc>
          <w:tcPr>
            <w:tcW w:type="dxa" w:w="324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hazard IDs + snapshot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Reassess affected downstream states</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RED_ZONE_UPDATED</w:t>
            </w:r>
          </w:p>
        </w:tc>
        <w:tc>
          <w:tcPr>
            <w:tcW w:type="dxa" w:w="122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E1</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E2/E3/E4/E5/dashboard</w:t>
            </w:r>
          </w:p>
        </w:tc>
        <w:tc>
          <w:tcPr>
            <w:tcW w:type="dxa" w:w="324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zone IDs + snapshot</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Recompute exposure/safety/route intersections</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PREDICTION_UPDATED</w:t>
            </w:r>
          </w:p>
        </w:tc>
        <w:tc>
          <w:tcPr>
            <w:tcW w:type="dxa" w:w="122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E1</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E2/E3/E4/E5/dashboard</w:t>
            </w:r>
          </w:p>
        </w:tc>
        <w:tc>
          <w:tcPr>
            <w:tcW w:type="dxa" w:w="324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prediction IDs + horizon + snapshot</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Update future exposure and route/destination safety</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EXPOSURE_UPDATED</w:t>
            </w:r>
          </w:p>
        </w:tc>
        <w:tc>
          <w:tcPr>
            <w:tcW w:type="dxa" w:w="122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E2</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E5/dashboard</w:t>
            </w:r>
          </w:p>
        </w:tc>
        <w:tc>
          <w:tcPr>
            <w:tcW w:type="dxa" w:w="324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subject IDs + exposure state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Review priority/scenario deltas</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PRIORITY_UPDATED</w:t>
            </w:r>
          </w:p>
        </w:tc>
        <w:tc>
          <w:tcPr>
            <w:tcW w:type="dxa" w:w="122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E2</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E3/E4/E5/dashboard</w:t>
            </w:r>
          </w:p>
        </w:tc>
        <w:tc>
          <w:tcPr>
            <w:tcW w:type="dxa" w:w="324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priority IDs + reasons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Refresh demand/assignment where necessary</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DESTINATION_STATE_UPDATED</w:t>
            </w:r>
          </w:p>
        </w:tc>
        <w:tc>
          <w:tcPr>
            <w:tcW w:type="dxa" w:w="122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E3</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E4/E5/dashboard</w:t>
            </w:r>
          </w:p>
        </w:tc>
        <w:tc>
          <w:tcPr>
            <w:tcW w:type="dxa" w:w="324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destination IDs + state</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Filter destinations/recompute affected plan</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CAPACITY_UPDATED</w:t>
            </w:r>
          </w:p>
        </w:tc>
        <w:tc>
          <w:tcPr>
            <w:tcW w:type="dxa" w:w="122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E3</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E4/E5/dashboard</w:t>
            </w:r>
          </w:p>
        </w:tc>
        <w:tc>
          <w:tcPr>
            <w:tcW w:type="dxa" w:w="324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destination/resource IDs + remaining capacity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Reallocate if capacity constraints change</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NETWORK_STATE_UPDATED</w:t>
            </w:r>
          </w:p>
        </w:tc>
        <w:tc>
          <w:tcPr>
            <w:tcW w:type="dxa" w:w="122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E4</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E5/E3/dashboard</w:t>
            </w:r>
          </w:p>
        </w:tc>
        <w:tc>
          <w:tcPr>
            <w:tcW w:type="dxa" w:w="324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edge IDs + status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Invalidate/recompute affected routes</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ROUTE_INVALIDATED</w:t>
            </w:r>
          </w:p>
        </w:tc>
        <w:tc>
          <w:tcPr>
            <w:tcW w:type="dxa" w:w="122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E4</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E5/dashboard</w:t>
            </w:r>
          </w:p>
        </w:tc>
        <w:tc>
          <w:tcPr>
            <w:tcW w:type="dxa" w:w="324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route/group IDs + reasons</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Trigger alternative routing/reallocation</w:t>
            </w:r>
          </w:p>
        </w:tc>
      </w:tr>
      <w:tr>
        <w:trPr>
          <w:cantSplit/>
        </w:trPr>
        <w:tc>
          <w:tcPr>
            <w:tcW w:type="dxa" w:w="180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ALLOCATION_UPDATED</w:t>
            </w:r>
          </w:p>
        </w:tc>
        <w:tc>
          <w:tcPr>
            <w:tcW w:type="dxa" w:w="1224"/>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E4</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E5/dashboard</w:t>
            </w:r>
          </w:p>
        </w:tc>
        <w:tc>
          <w:tcPr>
            <w:tcW w:type="dxa" w:w="3240"/>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group/allocation IDs</w:t>
            </w:r>
          </w:p>
        </w:tc>
        <w:tc>
          <w:tcPr>
            <w:tcW w:type="dxa" w:w="1656"/>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Update plan and capacity occupancy</w:t>
            </w:r>
          </w:p>
        </w:tc>
      </w:tr>
      <w:tr>
        <w:trPr>
          <w:cantSplit/>
        </w:trPr>
        <w:tc>
          <w:tcPr>
            <w:tcW w:type="dxa" w:w="180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SCENARIO_RUN_COMPLETED</w:t>
            </w:r>
          </w:p>
        </w:tc>
        <w:tc>
          <w:tcPr>
            <w:tcW w:type="dxa" w:w="1224"/>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E5</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dashboard/authority</w:t>
            </w:r>
          </w:p>
        </w:tc>
        <w:tc>
          <w:tcPr>
            <w:tcW w:type="dxa" w:w="3240"/>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scenario/run/snapshot IDs + delta summary</w:t>
            </w:r>
          </w:p>
        </w:tc>
        <w:tc>
          <w:tcPr>
            <w:tcW w:type="dxa" w:w="1656"/>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5"/>
              </w:rPr>
              <w:t>Review revised decision-support state</w:t>
            </w:r>
          </w:p>
        </w:tc>
      </w:tr>
    </w:tbl>
    <w:p>
      <w:pPr>
        <w:spacing w:after="40"/>
      </w:pPr>
    </w:p>
    <w:p>
      <w:r>
        <w:rPr>
          <w:b/>
        </w:rPr>
        <w:t xml:space="preserve">Event envelope (conceptual): </w:t>
      </w:r>
      <w:r>
        <w:t>event_id, event_type, event_version, occurred_at, producer, entity_ids, snapshot_id, scenario_id, reason_codes, correlation_id, idempotency_key.</w:t>
      </w:r>
    </w:p>
    <w:tbl>
      <w:tblPr>
        <w:tblW w:type="auto" w:w="0"/>
        <w:jc w:val="center"/>
        <w:tblLayout w:type="fixed"/>
        <w:tblLook w:firstColumn="1" w:firstRow="1" w:lastColumn="0" w:lastRow="0" w:noHBand="0" w:noVBand="1" w:val="04A0"/>
      </w:tblPr>
      <w:tblGrid>
        <w:gridCol w:w="10166"/>
      </w:tblGrid>
      <w:tr>
        <w:tc>
          <w:tcPr>
            <w:tcW w:type="dxa" w:w="10166"/>
            <w:shd w:fill="EAF3F8"/>
            <w:tcBorders>
              <w:top w:val="single" w:sz="12" w:color="1F4E79"/>
              <w:left w:val="single" w:sz="8" w:color="1F4E79"/>
              <w:bottom w:val="single" w:sz="8" w:color="1F4E79"/>
              <w:right w:val="single" w:sz="8" w:color="1F4E79"/>
            </w:tcBorders>
          </w:tcPr>
          <w:p>
            <w:pPr>
              <w:spacing w:after="40"/>
            </w:pPr>
            <w:r>
              <w:rPr>
                <w:b/>
                <w:color w:val="1F4E79"/>
                <w:sz w:val="21"/>
              </w:rPr>
              <w:t>Prototype event mechanism</w:t>
            </w:r>
          </w:p>
          <w:p>
            <w:pPr>
              <w:spacing w:after="20"/>
            </w:pPr>
            <w:r>
              <w:rPr>
                <w:color w:val="263238"/>
                <w:sz w:val="18"/>
              </w:rPr>
              <w:t>Use an in-process dispatcher or lightweight background-job mechanism while preserving the event envelope. Future infrastructure may use a durable broker/workflow system if scale/reliability requirements justify it.</w:t>
            </w:r>
          </w:p>
        </w:tc>
      </w:tr>
    </w:tbl>
    <w:p>
      <w:pPr>
        <w:spacing w:after="40"/>
      </w:pPr>
    </w:p>
    <w:p>
      <w:r>
        <w:br w:type="page"/>
      </w:r>
    </w:p>
    <w:p>
      <w:pPr>
        <w:pStyle w:val="Heading1"/>
      </w:pPr>
      <w:r>
        <w:t>12. State Snapshots &amp; Scenario Isolation</w:t>
      </w:r>
    </w:p>
    <w:p>
      <w:pPr>
        <w:jc w:val="center"/>
      </w:pPr>
      <w:r>
        <w:drawing>
          <wp:inline xmlns:a="http://schemas.openxmlformats.org/drawingml/2006/main" xmlns:pic="http://schemas.openxmlformats.org/drawingml/2006/picture">
            <wp:extent cx="5989320" cy="1045116"/>
            <wp:docPr id="4" name="Picture 4" descr="Figure 4. Baseline/scenario separation. Scenario-derived records retain scenario_id and never silently overwrite the baseline decision state." title="Figure 4. Baseline/scenario separation. Scenario-derived records retain scenario_id and never silently overwrite the baseline decision state."/>
            <wp:cNvGraphicFramePr>
              <a:graphicFrameLocks noChangeAspect="1"/>
            </wp:cNvGraphicFramePr>
            <a:graphic>
              <a:graphicData uri="http://schemas.openxmlformats.org/drawingml/2006/picture">
                <pic:pic>
                  <pic:nvPicPr>
                    <pic:cNvPr id="0" name="snapshot_isolation.png"/>
                    <pic:cNvPicPr/>
                  </pic:nvPicPr>
                  <pic:blipFill>
                    <a:blip r:embed="rId14"/>
                    <a:stretch>
                      <a:fillRect/>
                    </a:stretch>
                  </pic:blipFill>
                  <pic:spPr>
                    <a:xfrm>
                      <a:off x="0" y="0"/>
                      <a:ext cx="5989320" cy="1045116"/>
                    </a:xfrm>
                    <a:prstGeom prst="rect"/>
                  </pic:spPr>
                </pic:pic>
              </a:graphicData>
            </a:graphic>
          </wp:inline>
        </w:drawing>
      </w:r>
    </w:p>
    <w:p>
      <w:pPr>
        <w:jc w:val="center"/>
      </w:pPr>
      <w:r>
        <w:rPr>
          <w:i/>
          <w:color w:val="666666"/>
          <w:sz w:val="17"/>
        </w:rPr>
        <w:t>Figure 4. Baseline/scenario separation. Scenario-derived records retain scenario_id and never silently overwrite the baseline decision state.</w:t>
      </w:r>
    </w:p>
    <w:p>
      <w:pPr>
        <w:pStyle w:val="Heading2"/>
      </w:pPr>
      <w:r>
        <w:t>12.1 Snapshot rules</w:t>
      </w:r>
    </w:p>
    <w:p>
      <w:pPr>
        <w:pStyle w:val="ListBullet"/>
        <w:spacing w:after="60"/>
      </w:pPr>
      <w:r>
        <w:t>Every major decision-support result references the state_snapshot_id used to compute it.</w:t>
      </w:r>
    </w:p>
    <w:p>
      <w:pPr>
        <w:pStyle w:val="ListBullet"/>
        <w:spacing w:after="60"/>
      </w:pPr>
      <w:r>
        <w:t>The snapshot manifest identifies the relevant hazard, population, destination, network and configuration versions.</w:t>
      </w:r>
    </w:p>
    <w:p>
      <w:pPr>
        <w:pStyle w:val="ListBullet"/>
        <w:spacing w:after="60"/>
      </w:pPr>
      <w:r>
        <w:t>A dashboard recommendation should not combine records whose snapshot/time contexts are incompatible.</w:t>
      </w:r>
    </w:p>
    <w:p>
      <w:pPr>
        <w:pStyle w:val="ListBullet"/>
        <w:spacing w:after="60"/>
      </w:pPr>
      <w:r>
        <w:t>Snapshot creation is a consistency boundary, not merely a database backup.</w:t>
      </w:r>
    </w:p>
    <w:p>
      <w:pPr>
        <w:pStyle w:val="ListBullet"/>
        <w:spacing w:after="60"/>
      </w:pPr>
      <w:r>
        <w:t>A scenario references a baseline snapshot and creates a separate scenario context.</w:t>
      </w:r>
    </w:p>
    <w:p>
      <w:pPr>
        <w:pStyle w:val="Heading2"/>
      </w:pPr>
      <w:r>
        <w:t>12.2 Scenario rules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vAlign w:val="center"/>
            <w:shd w:fill="1F4E79"/>
          </w:tcPr>
          <w:p>
            <w:pPr>
              <w:spacing w:after="20"/>
              <w:jc w:val="center"/>
            </w:pPr>
            <w:r/>
            <w:r>
              <w:rPr>
                <w:rFonts w:ascii="Aptos" w:hAnsi="Aptos"/>
                <w:b/>
                <w:color w:val="FFFFFF"/>
                <w:sz w:val="17"/>
              </w:rPr>
              <w:t>Rule</w:t>
            </w:r>
          </w:p>
        </w:tc>
        <w:tc>
          <w:tcPr>
            <w:tcW w:type="dxa" w:w="5083"/>
            <w:vAlign w:val="center"/>
            <w:shd w:fill="1F4E79"/>
          </w:tcPr>
          <w:p>
            <w:pPr>
              <w:spacing w:after="20"/>
              <w:jc w:val="center"/>
            </w:pPr>
            <w:r/>
            <w:r>
              <w:rPr>
                <w:rFonts w:ascii="Aptos" w:hAnsi="Aptos"/>
                <w:b/>
                <w:color w:val="FFFFFF"/>
                <w:sz w:val="17"/>
              </w:rPr>
              <w:t>Required behavior</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creation</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Create immutable scenario definition + parameters.</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Baseline reference</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Every scenario run points to baseline_snapshot_id.</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Isolation</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records carry scenario_id and must not overwrite baseline rows.</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Affected-scope execution</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Recompute only dependency-affected states where safe.</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Comparison</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5 produces scenario deltas; E6 stores state/lineage context.</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Promotion</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Prototype does not silently promote scenario state into baseline operational state.</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Infeasibility</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No safe destination/route is a valid scenario outcome; expose unmet demand/no viable allocation.</w:t>
            </w:r>
          </w:p>
        </w:tc>
      </w:tr>
    </w:tbl>
    <w:p>
      <w:pPr>
        <w:spacing w:after="40"/>
      </w:pPr>
    </w:p>
    <w:p>
      <w:pPr>
        <w:pStyle w:val="Heading1"/>
      </w:pPr>
      <w:r>
        <w:t>13. Engine 5 / Engine 6 Ownership Boundary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Capability</w:t>
            </w:r>
          </w:p>
        </w:tc>
        <w:tc>
          <w:tcPr>
            <w:tcW w:type="dxa" w:w="3389"/>
            <w:vAlign w:val="center"/>
            <w:shd w:fill="1F4E79"/>
          </w:tcPr>
          <w:p>
            <w:pPr>
              <w:spacing w:after="20"/>
              <w:jc w:val="center"/>
            </w:pPr>
            <w:r/>
            <w:r>
              <w:rPr>
                <w:rFonts w:ascii="Aptos" w:hAnsi="Aptos"/>
                <w:b/>
                <w:color w:val="FFFFFF"/>
                <w:sz w:val="17"/>
              </w:rPr>
              <w:t>Engine 5 owns</w:t>
            </w:r>
          </w:p>
        </w:tc>
        <w:tc>
          <w:tcPr>
            <w:tcW w:type="dxa" w:w="3389"/>
            <w:vAlign w:val="center"/>
            <w:shd w:fill="1F4E79"/>
          </w:tcPr>
          <w:p>
            <w:pPr>
              <w:spacing w:after="20"/>
              <w:jc w:val="center"/>
            </w:pPr>
            <w:r/>
            <w:r>
              <w:rPr>
                <w:rFonts w:ascii="Aptos" w:hAnsi="Aptos"/>
                <w:b/>
                <w:color w:val="FFFFFF"/>
                <w:sz w:val="17"/>
              </w:rPr>
              <w:t>Engine 6 owns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meaning</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type, parameters, assumptions, affected scope, comparison semantics.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Storage, IDs, snapshot lineage, execution records.</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Dependency logic</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What specialist outputs must be recomputed.</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Mechanism for dispatching/recording execution.</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Delta interpretation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Why a decision changed and how baseline/scenario compare.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Persistence and traceability of before/after state.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State transformation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Requests/defines controlled changed-condition state.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Applies generic state/context infrastructure and persists scenario records.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Event semantics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trigger logic and dependency closure.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Generic event envelope, delivery, idempotency and audit.</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Rollback / baseline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comparison and accept/reject planning workflow.</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Baseline immutability and state references.</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FFF2CC"/>
            <w:tcBorders>
              <w:top w:val="single" w:sz="12" w:color="7F6000"/>
              <w:left w:val="single" w:sz="8" w:color="7F6000"/>
              <w:bottom w:val="single" w:sz="8" w:color="7F6000"/>
              <w:right w:val="single" w:sz="8" w:color="7F6000"/>
            </w:tcBorders>
          </w:tcPr>
          <w:p>
            <w:pPr>
              <w:spacing w:after="40"/>
            </w:pPr>
            <w:r>
              <w:rPr>
                <w:b/>
                <w:color w:val="7F6000"/>
                <w:sz w:val="21"/>
              </w:rPr>
              <w:t>Simple rule</w:t>
            </w:r>
          </w:p>
          <w:p>
            <w:pPr>
              <w:spacing w:after="20"/>
            </w:pPr>
            <w:r>
              <w:rPr>
                <w:color w:val="263238"/>
                <w:sz w:val="18"/>
              </w:rPr>
              <w:t>E5 decides “what if, what changes, what must be recalculated?” E6 decides “where is the state, how is it versioned, how is it exchanged, and how is execution traced?”</w:t>
            </w:r>
          </w:p>
        </w:tc>
      </w:tr>
    </w:tbl>
    <w:p>
      <w:pPr>
        <w:spacing w:after="40"/>
      </w:pPr>
    </w:p>
    <w:p>
      <w:r>
        <w:br w:type="page"/>
      </w:r>
    </w:p>
    <w:p>
      <w:pPr>
        <w:pStyle w:val="Heading1"/>
      </w:pPr>
      <w:r>
        <w:t>14. Domain Contract Semantics by Engine</w:t>
      </w:r>
    </w:p>
    <w:p>
      <w:pPr>
        <w:pStyle w:val="Heading2"/>
      </w:pPr>
      <w:r>
        <w:t>14.1 Engine 1 — Hazard contract</w:t>
      </w:r>
    </w:p>
    <w:p>
      <w:pPr>
        <w:pStyle w:val="ListBullet"/>
        <w:spacing w:after="60"/>
      </w:pPr>
      <w:r>
        <w:t>Inputs enter through E6-normalized observations/forecasts and configured geospatial layers.</w:t>
      </w:r>
    </w:p>
    <w:p>
      <w:pPr>
        <w:pStyle w:val="ListBullet"/>
        <w:spacing w:after="60"/>
      </w:pPr>
      <w:r>
        <w:t>Output must distinguish current hazard, predicted hazard and operational Red Zone.</w:t>
      </w:r>
    </w:p>
    <w:p>
      <w:pPr>
        <w:pStyle w:val="ListBullet"/>
        <w:spacing w:after="60"/>
      </w:pPr>
      <w:r>
        <w:t>Prediction output includes time horizon and an uncertainty/confidence representation where supported.</w:t>
      </w:r>
    </w:p>
    <w:p>
      <w:pPr>
        <w:pStyle w:val="ListBullet"/>
        <w:spacing w:after="60"/>
      </w:pPr>
      <w:r>
        <w:t>Evidence references should remain inspectable so downstream decisions can explain their hazard basis.</w:t>
      </w:r>
    </w:p>
    <w:p>
      <w:pPr>
        <w:pStyle w:val="ListBullet"/>
        <w:spacing w:after="60"/>
      </w:pPr>
      <w:r>
        <w:t>Exact Red-Zone thresholding/calibration and final prediction target remain unresolved implementation choices to be validated in the prototype.</w:t>
      </w:r>
    </w:p>
    <w:p>
      <w:pPr>
        <w:pStyle w:val="Heading2"/>
      </w:pPr>
      <w:r>
        <w:t>14.2 Engine 2 — Human / vulnerability / priority contract</w:t>
      </w:r>
    </w:p>
    <w:p>
      <w:pPr>
        <w:pStyle w:val="ListBullet"/>
        <w:spacing w:after="60"/>
      </w:pPr>
      <w:r>
        <w:t>Engine 2 joins E1 hazard geometry/intensity/prediction to habitation/household data for exposure assessment.</w:t>
      </w:r>
    </w:p>
    <w:p>
      <w:pPr>
        <w:pStyle w:val="ListBullet"/>
        <w:spacing w:after="60"/>
      </w:pPr>
      <w:r>
        <w:t>Vulnerability profile records factors separately from exposure.</w:t>
      </w:r>
    </w:p>
    <w:p>
      <w:pPr>
        <w:pStyle w:val="ListBullet"/>
        <w:spacing w:after="60"/>
      </w:pPr>
      <w:r>
        <w:t>Priority records combine hazard/exposure, vulnerability, time-to-impact, accessibility and assistance context.</w:t>
      </w:r>
    </w:p>
    <w:p>
      <w:pPr>
        <w:pStyle w:val="ListBullet"/>
        <w:spacing w:after="60"/>
      </w:pPr>
      <w:r>
        <w:t>Every priority output contains reason_codes and human-readable contributing factors.</w:t>
      </w:r>
    </w:p>
    <w:p>
      <w:pPr>
        <w:pStyle w:val="ListBullet"/>
        <w:spacing w:after="60"/>
      </w:pPr>
      <w:r>
        <w:t>Unregistered households fall back to habitation/population/geospatial indicators and carry explicit uncertainty/data-quality context.</w:t>
      </w:r>
    </w:p>
    <w:p>
      <w:pPr>
        <w:pStyle w:val="Heading2"/>
      </w:pPr>
      <w:r>
        <w:t>14.3 Engine 3 — Destination / capacity contract</w:t>
      </w:r>
    </w:p>
    <w:p>
      <w:pPr>
        <w:pStyle w:val="ListBullet"/>
        <w:spacing w:after="60"/>
      </w:pPr>
      <w:r>
        <w:t>Hard safety/operational filters occur before soft suitability ranking.</w:t>
      </w:r>
    </w:p>
    <w:p>
      <w:pPr>
        <w:pStyle w:val="ListBullet"/>
        <w:spacing w:after="60"/>
      </w:pPr>
      <w:r>
        <w:t>Resource-specific supportable people values feed effective capacity; prototype may use C_eff(d) = min_r C_d,r where the resource conversion model supports that representation.</w:t>
      </w:r>
    </w:p>
    <w:p>
      <w:pPr>
        <w:pStyle w:val="ListBullet"/>
        <w:spacing w:after="60"/>
      </w:pPr>
      <w:r>
        <w:t>Resource conversion rules must be configurable; avoid universal people-per-unit assumptions without justification.</w:t>
      </w:r>
    </w:p>
    <w:p>
      <w:pPr>
        <w:pStyle w:val="ListBullet"/>
        <w:spacing w:after="60"/>
      </w:pPr>
      <w:r>
        <w:t>Capacity records expose occupied/remaining capacity and bottleneck resource when applicable.</w:t>
      </w:r>
    </w:p>
    <w:p>
      <w:pPr>
        <w:pStyle w:val="ListBullet"/>
        <w:spacing w:after="60"/>
      </w:pPr>
      <w:r>
        <w:t>Operational states include AVAILABLE, LIMITED, DEGRADED, RESTRICTED, UNAVAILABLE, UNKNOWN and STALE.</w:t>
      </w:r>
    </w:p>
    <w:p>
      <w:pPr>
        <w:pStyle w:val="Heading2"/>
      </w:pPr>
      <w:r>
        <w:t>14.4 Engine 4 — Route / allocation contract</w:t>
      </w:r>
    </w:p>
    <w:p>
      <w:pPr>
        <w:pStyle w:val="ListBullet"/>
        <w:spacing w:after="60"/>
      </w:pPr>
      <w:r>
        <w:t>Routing is graph-based and time/risk dependent, not simply shortest-path.</w:t>
      </w:r>
    </w:p>
    <w:p>
      <w:pPr>
        <w:pStyle w:val="ListBullet"/>
        <w:spacing w:after="60"/>
      </w:pPr>
      <w:r>
        <w:t>Hard safety filtering precedes optimization; OPEN/LIMITED/RESTRICTED/CLOSED/UNKNOWN/STALE road state is explicit.</w:t>
      </w:r>
    </w:p>
    <w:p>
      <w:pPr>
        <w:pStyle w:val="ListBullet"/>
        <w:spacing w:after="60"/>
      </w:pPr>
      <w:r>
        <w:t>Predicted hazard must be evaluated over the estimated arrival window where data supports it.</w:t>
      </w:r>
    </w:p>
    <w:p>
      <w:pPr>
        <w:pStyle w:val="ListBullet"/>
        <w:spacing w:after="60"/>
      </w:pPr>
      <w:r>
        <w:t>Route outputs include primary/alternative paths, ETA/distance, hazard intersections, cost/risk, confidence, reasons and validity.</w:t>
      </w:r>
    </w:p>
    <w:p>
      <w:pPr>
        <w:pStyle w:val="ListBullet"/>
        <w:spacing w:after="60"/>
      </w:pPr>
      <w:r>
        <w:t>Allocation respects destination capacity, route feasibility, accessibility and priority; no unsafe assignment is forced.</w:t>
      </w:r>
    </w:p>
    <w:p>
      <w:pPr>
        <w:pStyle w:val="Heading2"/>
      </w:pPr>
      <w:r>
        <w:t>14.5 Engine 5 — Scenario/adaptation contract</w:t>
      </w:r>
    </w:p>
    <w:p>
      <w:pPr>
        <w:pStyle w:val="ListBullet"/>
        <w:spacing w:after="60"/>
      </w:pPr>
      <w:r>
        <w:t>Scenario result contains baseline reference, parameters, affected objects, changes, uncertainty, assumptions and execution status.</w:t>
      </w:r>
    </w:p>
    <w:p>
      <w:pPr>
        <w:pStyle w:val="ListBullet"/>
        <w:spacing w:after="60"/>
      </w:pPr>
      <w:r>
        <w:t>Not every scenario requires every engine; dependency-aware selective execution is required.</w:t>
      </w:r>
    </w:p>
    <w:p>
      <w:pPr>
        <w:pStyle w:val="ListBullet"/>
        <w:spacing w:after="60"/>
      </w:pPr>
      <w:r>
        <w:t>Prototype maturity target is deterministic what-if + snapshots + targeted recomputation.</w:t>
      </w:r>
    </w:p>
    <w:p>
      <w:pPr>
        <w:pStyle w:val="ListBullet"/>
        <w:spacing w:after="60"/>
      </w:pPr>
      <w:r>
        <w:t>Advanced Monte Carlo/ensemble/ABM/co-simulation remain future extensions unless data and validation justify them.</w:t>
      </w:r>
    </w:p>
    <w:p>
      <w:pPr>
        <w:pStyle w:val="Heading1"/>
      </w:pPr>
      <w:r>
        <w:t>15. Data Ingestion, Normalization &amp; Provenance Contract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Stage</w:t>
            </w:r>
          </w:p>
        </w:tc>
        <w:tc>
          <w:tcPr>
            <w:tcW w:type="dxa" w:w="3389"/>
            <w:vAlign w:val="center"/>
            <w:shd w:fill="1F4E79"/>
          </w:tcPr>
          <w:p>
            <w:pPr>
              <w:spacing w:after="20"/>
              <w:jc w:val="center"/>
            </w:pPr>
            <w:r/>
            <w:r>
              <w:rPr>
                <w:rFonts w:ascii="Aptos" w:hAnsi="Aptos"/>
                <w:b/>
                <w:color w:val="FFFFFF"/>
                <w:sz w:val="17"/>
              </w:rPr>
              <w:t>Purpose</w:t>
            </w:r>
          </w:p>
        </w:tc>
        <w:tc>
          <w:tcPr>
            <w:tcW w:type="dxa" w:w="3389"/>
            <w:vAlign w:val="center"/>
            <w:shd w:fill="1F4E79"/>
          </w:tcPr>
          <w:p>
            <w:pPr>
              <w:spacing w:after="20"/>
              <w:jc w:val="center"/>
            </w:pPr>
            <w:r/>
            <w:r>
              <w:rPr>
                <w:rFonts w:ascii="Aptos" w:hAnsi="Aptos"/>
                <w:b/>
                <w:color w:val="FFFFFF"/>
                <w:sz w:val="17"/>
              </w:rPr>
              <w:t>Failure behavior</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Discover</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Register source, dataset, update mechanism and access information.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Keep registered but disable invalid source.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Acquire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Fetch file/API/stream/manual input.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Retry or quarantine; preserve acquisition metadata.</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Schema validate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Check required fields/types/formats.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Reject/quarantine structured error.</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Semantic validate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Check ranges, units, timestamps, cross-field consistency.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Accept-with-warning or reject according to configured severity.</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Spatial validate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Check CRS, geometry validity, bounds, duplicates/topology.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Quarantine invalid spatial records; do not silently repair without trace.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Normalize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Map external fields/units/statuses into canonical model.</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Record mapping/configuration version and transformation provenance.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Deduplicate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Detect repeat/update records.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Idempotent ingestion keyed by source record/version.</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Persist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Write accepted canonical data + provenance atomically.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Partial state must not appear current.</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Publish</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Emit event after successful persistence.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Events can retry; consumers use idempotency.</w:t>
            </w:r>
          </w:p>
        </w:tc>
      </w:tr>
    </w:tbl>
    <w:p>
      <w:pPr>
        <w:spacing w:after="40"/>
      </w:pPr>
    </w:p>
    <w:p>
      <w:pPr>
        <w:pStyle w:val="Heading2"/>
      </w:pPr>
      <w:r>
        <w:t>15.1 Provenance minimum</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vAlign w:val="center"/>
            <w:shd w:fill="1F4E79"/>
          </w:tcPr>
          <w:p>
            <w:pPr>
              <w:spacing w:after="20"/>
              <w:jc w:val="center"/>
            </w:pPr>
            <w:r/>
            <w:r>
              <w:rPr>
                <w:rFonts w:ascii="Aptos" w:hAnsi="Aptos"/>
                <w:b/>
                <w:color w:val="FFFFFF"/>
                <w:sz w:val="17"/>
              </w:rPr>
              <w:t>Provenance element</w:t>
            </w:r>
          </w:p>
        </w:tc>
        <w:tc>
          <w:tcPr>
            <w:tcW w:type="dxa" w:w="5083"/>
            <w:vAlign w:val="center"/>
            <w:shd w:fill="1F4E79"/>
          </w:tcPr>
          <w:p>
            <w:pPr>
              <w:spacing w:after="20"/>
              <w:jc w:val="center"/>
            </w:pPr>
            <w:r/>
            <w:r>
              <w:rPr>
                <w:rFonts w:ascii="Aptos" w:hAnsi="Aptos"/>
                <w:b/>
                <w:color w:val="FFFFFF"/>
                <w:sz w:val="17"/>
              </w:rPr>
              <w:t>Meaning</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Source reference</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Source/dataset/record identity.</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Transformation version</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Normalization/processing configuration version.</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Model version</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Model artifact/version used for derived results.</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Code version</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Build/commit version when derivation is software-based.</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Input manifest/hash</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Reference to inputs used for reproducibility when practical.</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Output reference/hash</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Identifier for produced artifact/result where relevant.</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Run ID</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run or job execution that generated the result.</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Snapshot ID</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State context for the result.</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Operator/override metadata</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Who changed the state manually and why.</w:t>
            </w:r>
          </w:p>
        </w:tc>
      </w:tr>
    </w:tbl>
    <w:p>
      <w:pPr>
        <w:spacing w:after="40"/>
      </w:pPr>
    </w:p>
    <w:p>
      <w:r>
        <w:br w:type="page"/>
      </w:r>
    </w:p>
    <w:p>
      <w:pPr>
        <w:pStyle w:val="Heading1"/>
      </w:pPr>
      <w:r>
        <w:t>16. Geospatial Contract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vAlign w:val="center"/>
            <w:shd w:fill="1F4E79"/>
          </w:tcPr>
          <w:p>
            <w:pPr>
              <w:spacing w:after="20"/>
              <w:jc w:val="center"/>
            </w:pPr>
            <w:r/>
            <w:r>
              <w:rPr>
                <w:rFonts w:ascii="Aptos" w:hAnsi="Aptos"/>
                <w:b/>
                <w:color w:val="FFFFFF"/>
                <w:sz w:val="17"/>
              </w:rPr>
              <w:t>Concern</w:t>
            </w:r>
          </w:p>
        </w:tc>
        <w:tc>
          <w:tcPr>
            <w:tcW w:type="dxa" w:w="5083"/>
            <w:vAlign w:val="center"/>
            <w:shd w:fill="1F4E79"/>
          </w:tcPr>
          <w:p>
            <w:pPr>
              <w:spacing w:after="20"/>
              <w:jc w:val="center"/>
            </w:pPr>
            <w:r/>
            <w:r>
              <w:rPr>
                <w:rFonts w:ascii="Aptos" w:hAnsi="Aptos"/>
                <w:b/>
                <w:color w:val="FFFFFF"/>
                <w:sz w:val="17"/>
              </w:rPr>
              <w:t>Prototype rule</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Geometry type</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Use Point/LineString/Polygon/MultiPolygon as appropriate; do not encode every object as a point.</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CRS/SRID</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Every stored geometry carries explicit spatial reference metadata. Metric calculations use an appropriate projected CRS.</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GeoJSON</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Use RFC 7946-compatible WGS 84 longitude/latitude for GeoJSON interchange.</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PostGIS</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Canonical spatial store for geometry, indexes and spatial operations.</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Spatial indexing</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Add spatial indexes for repeated intersection/proximity workloads after profiling.</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Geometry validity</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Validate on ingestion; quarantine invalid geometry rather than silently fixing without provenance.</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Road topology</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Store raw road geometry plus graph representation for routing.</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Raster assets</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Keep large rasters outside core relational rows where practical; retain catalog/derived metadata in PRISM.</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Spatial joins</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Standardize repeatable hazard-to-habitation, hazard-to-destination and hazard-to-road operations.</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Frontend output</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Return GeoJSON or another explicitly documented map-ready format.</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EAF3F8"/>
            <w:tcBorders>
              <w:top w:val="single" w:sz="12" w:color="1F4E79"/>
              <w:left w:val="single" w:sz="8" w:color="1F4E79"/>
              <w:bottom w:val="single" w:sz="8" w:color="1F4E79"/>
              <w:right w:val="single" w:sz="8" w:color="1F4E79"/>
            </w:tcBorders>
          </w:tcPr>
          <w:p>
            <w:pPr>
              <w:spacing w:after="40"/>
            </w:pPr>
            <w:r>
              <w:rPr>
                <w:b/>
                <w:color w:val="1F4E79"/>
                <w:sz w:val="21"/>
              </w:rPr>
              <w:t>Operational GIS principle</w:t>
            </w:r>
          </w:p>
          <w:p>
            <w:pPr>
              <w:spacing w:after="20"/>
            </w:pPr>
            <w:r>
              <w:rPr>
                <w:color w:val="263238"/>
                <w:sz w:val="18"/>
              </w:rPr>
              <w:t>GIS is not only a presentation layer in PRISM. Spatial joins, hazard intersections, destination safety checks and route feasibility are decision computations and must use one canonical geospatial interpretation.</w:t>
            </w:r>
          </w:p>
        </w:tc>
      </w:tr>
    </w:tbl>
    <w:p>
      <w:pPr>
        <w:spacing w:after="40"/>
      </w:pPr>
    </w:p>
    <w:p>
      <w:pPr>
        <w:pStyle w:val="Heading1"/>
      </w:pPr>
      <w:r>
        <w:t>17. Security, Privacy &amp; Human Authority Contract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Area</w:t>
            </w:r>
          </w:p>
        </w:tc>
        <w:tc>
          <w:tcPr>
            <w:tcW w:type="dxa" w:w="3389"/>
            <w:vAlign w:val="center"/>
            <w:shd w:fill="1F4E79"/>
          </w:tcPr>
          <w:p>
            <w:pPr>
              <w:spacing w:after="20"/>
              <w:jc w:val="center"/>
            </w:pPr>
            <w:r/>
            <w:r>
              <w:rPr>
                <w:rFonts w:ascii="Aptos" w:hAnsi="Aptos"/>
                <w:b/>
                <w:color w:val="FFFFFF"/>
                <w:sz w:val="17"/>
              </w:rPr>
              <w:t>Prototype baseline</w:t>
            </w:r>
          </w:p>
        </w:tc>
        <w:tc>
          <w:tcPr>
            <w:tcW w:type="dxa" w:w="3389"/>
            <w:vAlign w:val="center"/>
            <w:shd w:fill="1F4E79"/>
          </w:tcPr>
          <w:p>
            <w:pPr>
              <w:spacing w:after="20"/>
              <w:jc w:val="center"/>
            </w:pPr>
            <w:r/>
            <w:r>
              <w:rPr>
                <w:rFonts w:ascii="Aptos" w:hAnsi="Aptos"/>
                <w:b/>
                <w:color w:val="FFFFFF"/>
                <w:sz w:val="17"/>
              </w:rPr>
              <w:t>Required behavior</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Authentication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Role-based accounts or controlled local identity.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Do not expose household/operational data anonymously.</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Authorization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authority / planner / viewer / admin roles.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Enforce on API/backend, not only UI.</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Household privacy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Collect minimum fields; approximate location where sufficient; consent metadata.</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Optional registration; absence does not suppress assistance.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API security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HTTPS in deployed environment; input validation; authorization.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Reject malformed/unauthorized requests.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Database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Restricted tables/views and role permissions.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Keep sensitive household fields separated where useful.</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Audit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Record important changes, overrides and decision events.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Overrides remain attributable and reversible.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Exports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Authorized exports only.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Remove unnecessary personal fields.</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isolation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Separate baseline and scenario state.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No silent promotion of hypothetical outputs.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Human authority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Review/override workflow.</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PRISM does not itself issue evacuation commands.</w:t>
            </w:r>
          </w:p>
        </w:tc>
      </w:tr>
    </w:tbl>
    <w:p>
      <w:pPr>
        <w:spacing w:after="40"/>
      </w:pPr>
    </w:p>
    <w:p>
      <w:pPr>
        <w:pStyle w:val="Heading1"/>
      </w:pPr>
      <w:r>
        <w:t>18. Prototype Logical Database Domains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Domain</w:t>
            </w:r>
          </w:p>
        </w:tc>
        <w:tc>
          <w:tcPr>
            <w:tcW w:type="dxa" w:w="3389"/>
            <w:vAlign w:val="center"/>
            <w:shd w:fill="1F4E79"/>
          </w:tcPr>
          <w:p>
            <w:pPr>
              <w:spacing w:after="20"/>
              <w:jc w:val="center"/>
            </w:pPr>
            <w:r/>
            <w:r>
              <w:rPr>
                <w:rFonts w:ascii="Aptos" w:hAnsi="Aptos"/>
                <w:b/>
                <w:color w:val="FFFFFF"/>
                <w:sz w:val="17"/>
              </w:rPr>
              <w:t>Representative logical tables</w:t>
            </w:r>
          </w:p>
        </w:tc>
        <w:tc>
          <w:tcPr>
            <w:tcW w:type="dxa" w:w="3389"/>
            <w:vAlign w:val="center"/>
            <w:shd w:fill="1F4E79"/>
          </w:tcPr>
          <w:p>
            <w:pPr>
              <w:spacing w:after="20"/>
              <w:jc w:val="center"/>
            </w:pPr>
            <w:r/>
            <w:r>
              <w:rPr>
                <w:rFonts w:ascii="Aptos" w:hAnsi="Aptos"/>
                <w:b/>
                <w:color w:val="FFFFFF"/>
                <w:sz w:val="17"/>
              </w:rPr>
              <w:t>Notes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Study / master GIS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study_areas, habitations, boundaries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Stable geographic context.</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People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households, relocation_groups, assistance_resources, assistance_assignments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Consent/PII controls needed.</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hazards, hazard_states, hazard_predictions, red_zones, hazard_evidence, observations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E1-owned analytical state.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Exposure / priority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exposure_assessments, vulnerability_profiles, priority_records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E2-derived decision state.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destinations, destination_resources, capacity_states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 dynamic resource/capacity state.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Network / routing</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road_segments, road_operational_states, route_plans, route_edges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E4 graph + dynamic road state.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Allocation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relocation_allocations, unmet_demand_reasons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E4 movement assignment.</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scenarios, scenario_parameters, scenario_runs, scenario_results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E5 scenario semantics.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State / integration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state_snapshots, snapshot_manifests, engine_runs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E6 consistency and reproducibility.</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Contracts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schema_versions, contract_versions, source_mappings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Compatibility control.</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Events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events, event_deliveries / processing_records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Retry/idempotency/traceability.</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Provenance / quality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data_sources, source_records, provenance_links, quality_checks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Quality, lineage and freshness.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Audit / API</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audit_events, api_operations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Operator trace and service execution metadata.</w:t>
            </w:r>
          </w:p>
        </w:tc>
      </w:tr>
    </w:tbl>
    <w:p>
      <w:pPr>
        <w:spacing w:after="40"/>
      </w:pPr>
    </w:p>
    <w:p>
      <w:r>
        <w:br w:type="page"/>
      </w:r>
    </w:p>
    <w:p>
      <w:pPr>
        <w:pStyle w:val="Heading1"/>
      </w:pPr>
      <w:r>
        <w:t>19. Cross-Engine Validation &amp; Acceptance Rules</w:t>
      </w:r>
    </w:p>
    <w:p>
      <w:r>
        <w:t>The interface specification is only useful if it can be tested. Validation should be layered so that errors are detected as close as possible to their origin.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vAlign w:val="center"/>
            <w:shd w:fill="1F4E79"/>
          </w:tcPr>
          <w:p>
            <w:pPr>
              <w:spacing w:after="20"/>
              <w:jc w:val="center"/>
            </w:pPr>
            <w:r/>
            <w:r>
              <w:rPr>
                <w:rFonts w:ascii="Aptos" w:hAnsi="Aptos"/>
                <w:b/>
                <w:color w:val="FFFFFF"/>
                <w:sz w:val="17"/>
              </w:rPr>
              <w:t>Layer</w:t>
            </w:r>
          </w:p>
        </w:tc>
        <w:tc>
          <w:tcPr>
            <w:tcW w:type="dxa" w:w="5083"/>
            <w:vAlign w:val="center"/>
            <w:shd w:fill="1F4E79"/>
          </w:tcPr>
          <w:p>
            <w:pPr>
              <w:spacing w:after="20"/>
              <w:jc w:val="center"/>
            </w:pPr>
            <w:r/>
            <w:r>
              <w:rPr>
                <w:rFonts w:ascii="Aptos" w:hAnsi="Aptos"/>
                <w:b/>
                <w:color w:val="FFFFFF"/>
                <w:sz w:val="17"/>
              </w:rPr>
              <w:t>Acceptance test examples</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Schema</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Required fields present; types valid; contract_version supported; enum values recognized.</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Spatial</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CRS present; geometry valid; point-in-polygon and intersection results consistent; route topology valid.</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Temporal</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observed/issued/valid/ingested times are distinct and parseable; snapshot context compatible.</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Provenance</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Every derived decision can trace to source/run/model/configuration/snapshot context.</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 threshold logic; prediction output structure; historical replay where applicable; confidence representation.</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E2</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Exposure join; registration fallback; priority reason codes; monotonic sensitivity tests where appropriate.</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Capacity conservation; bottleneck selection; resource degradation; destination safety filtering.</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E4</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Closed-edge exclusion; predicted-hazard intersection; accessibility constraints; alternative route generation; allocation capacity conservation.</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E5</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Baseline reproducibility; scenario isolation; correct dependency order; delta correctness; bounded recalculation; oscillation prevention.</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Cross-engine</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No incompatible snapshots; every allocation references a viable destination/route; every recommendation is explainable.</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Human review</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Reason codes and assumptions are understandable; overrides are attributable; uncertainty is visible.</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Performance</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Representative response/update times measured for chosen prototype study area and workload.</w:t>
            </w:r>
          </w:p>
        </w:tc>
      </w:tr>
    </w:tbl>
    <w:p>
      <w:pPr>
        <w:spacing w:after="40"/>
      </w:pPr>
    </w:p>
    <w:p>
      <w:pPr>
        <w:pStyle w:val="Heading1"/>
      </w:pPr>
      <w:r>
        <w:t>20. Dynamic Update &amp; Replanning Trigger Rules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Change</w:t>
            </w:r>
          </w:p>
        </w:tc>
        <w:tc>
          <w:tcPr>
            <w:tcW w:type="dxa" w:w="3389"/>
            <w:vAlign w:val="center"/>
            <w:shd w:fill="1F4E79"/>
          </w:tcPr>
          <w:p>
            <w:pPr>
              <w:spacing w:after="20"/>
              <w:jc w:val="center"/>
            </w:pPr>
            <w:r/>
            <w:r>
              <w:rPr>
                <w:rFonts w:ascii="Aptos" w:hAnsi="Aptos"/>
                <w:b/>
                <w:color w:val="FFFFFF"/>
                <w:sz w:val="17"/>
              </w:rPr>
              <w:t>Minimum affected recomputation</w:t>
            </w:r>
          </w:p>
        </w:tc>
        <w:tc>
          <w:tcPr>
            <w:tcW w:type="dxa" w:w="3389"/>
            <w:vAlign w:val="center"/>
            <w:shd w:fill="1F4E79"/>
          </w:tcPr>
          <w:p>
            <w:pPr>
              <w:spacing w:after="20"/>
              <w:jc w:val="center"/>
            </w:pPr>
            <w:r/>
            <w:r>
              <w:rPr>
                <w:rFonts w:ascii="Aptos" w:hAnsi="Aptos"/>
                <w:b/>
                <w:color w:val="FFFFFF"/>
                <w:sz w:val="17"/>
              </w:rPr>
              <w:t>Representative reason codes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 expands / prediction changes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 → E2 exposure/priority → E3 destination safety → E4 route/allocation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HAZARD_EXPANDED; TIME_TO_IMPACT_REDUCED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Road / bridge closure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E4 route feasibility → allocation as needed</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ROAD_RESTRICTED; ROUTE_INVALIDATED</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 capacity falls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 capacity → E4 allocation; route recalculation if destination set changes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CAPACITY_REDUCED; BOTTLENECK_CHANGED; ALLOCATION_REASSIGNED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 becomes unsafe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 hard-filter → E4 reallocation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DESTINATION_UNSAFE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Priority escalates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E2 → E4 ordering/allocation review</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PRIORITY_ESCALATED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Data becomes stale/unknown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Affected decision layer recalculates quality/eligibility per policy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DATA_STALE_OR_UNKNOWN</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New household registration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E2 → E3 demand context → E4 allocation/review</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HOUSEHOLD_REGISTERED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injected</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E5 determines dependency closure; execute affected engines in order</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SCENARIO_APPLIED</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FFF2CC"/>
            <w:tcBorders>
              <w:top w:val="single" w:sz="12" w:color="7F6000"/>
              <w:left w:val="single" w:sz="8" w:color="7F6000"/>
              <w:bottom w:val="single" w:sz="8" w:color="7F6000"/>
              <w:right w:val="single" w:sz="8" w:color="7F6000"/>
            </w:tcBorders>
          </w:tcPr>
          <w:p>
            <w:pPr>
              <w:spacing w:after="40"/>
            </w:pPr>
            <w:r>
              <w:rPr>
                <w:b/>
                <w:color w:val="7F6000"/>
                <w:sz w:val="21"/>
              </w:rPr>
              <w:t>Anti-oscillation requirement</w:t>
            </w:r>
          </w:p>
          <w:p>
            <w:pPr>
              <w:spacing w:after="20"/>
            </w:pPr>
            <w:r>
              <w:rPr>
                <w:color w:val="263238"/>
                <w:sz w:val="18"/>
              </w:rPr>
              <w:t>Dynamic replanning must use stability mechanisms such as hysteresis, switching margins, cooldowns or bounded replanning rounds where repeated small changes could otherwise make routes/destinations oscillate.</w:t>
            </w:r>
          </w:p>
        </w:tc>
      </w:tr>
    </w:tbl>
    <w:p>
      <w:pPr>
        <w:spacing w:after="40"/>
      </w:pPr>
    </w:p>
    <w:p>
      <w:pPr>
        <w:pStyle w:val="Heading1"/>
      </w:pPr>
      <w:r>
        <w:t>21. Worked End-to-End Integration Scenario</w:t>
      </w:r>
    </w:p>
    <w:p>
      <w:r>
        <w:t>Synthetic prototype example derived from the PRISM integration research. Values are illustrative and must be labeled synthetic in the prototype UI.</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Step</w:t>
            </w:r>
          </w:p>
        </w:tc>
        <w:tc>
          <w:tcPr>
            <w:tcW w:type="dxa" w:w="3389"/>
            <w:vAlign w:val="center"/>
            <w:shd w:fill="1F4E79"/>
          </w:tcPr>
          <w:p>
            <w:pPr>
              <w:spacing w:after="20"/>
              <w:jc w:val="center"/>
            </w:pPr>
            <w:r/>
            <w:r>
              <w:rPr>
                <w:rFonts w:ascii="Aptos" w:hAnsi="Aptos"/>
                <w:b/>
                <w:color w:val="FFFFFF"/>
                <w:sz w:val="17"/>
              </w:rPr>
              <w:t>System action</w:t>
            </w:r>
          </w:p>
        </w:tc>
        <w:tc>
          <w:tcPr>
            <w:tcW w:type="dxa" w:w="3389"/>
            <w:vAlign w:val="center"/>
            <w:shd w:fill="1F4E79"/>
          </w:tcPr>
          <w:p>
            <w:pPr>
              <w:spacing w:after="20"/>
              <w:jc w:val="center"/>
            </w:pPr>
            <w:r/>
            <w:r>
              <w:rPr>
                <w:rFonts w:ascii="Aptos" w:hAnsi="Aptos"/>
                <w:b/>
                <w:color w:val="FFFFFF"/>
                <w:sz w:val="17"/>
              </w:rPr>
              <w:t>Relevant state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 Baseline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Load study area, hazards, habitations, household groups, three destinations and routable network.</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SNAP-001; baseline state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2. Hazard state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E1 displays current flood/hazard state and predicted future extent.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HZ-001; predicted Red Zone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3. Human assessment</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E2 joins predicted/current hazard with household/habitation data.</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Exposure + vulnerability + priority</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4. Destination state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E3 evaluates safety and effective capacity; Destination B is water-limited.</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Effective capacity + bottleneck</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5. Route/allocation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E4 generates hazard-aware routes and assigns prioritized groups subject to capacity.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Route R2 feasible; allocations created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6. Scenario change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Operator injects higher rainfall + bridge closure + Destination B water-capacity reduction.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SCENARIO-021 referencing SNAP-001</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7. E1 recompute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Future hazard extent expands.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New Red Zone / confidence / time-to-impact</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8. E2 recompute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Affected households receive updated exposure/priority.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Priority changes with reason codes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9. E3 recompute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Destination B effective capacity decreases; bottleneck changes.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Remaining capacity updated</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10. E4 recompute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Routes crossing closed bridge are invalidated; alternatives generated; affected groups rematched.</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Route invalidation + new allocations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11. Dashboard delta</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Compare baseline vs scenario and show changed objects/reasons/uncertainty.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Decision-support delta</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12. Authority review</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Authorized reviewer accepts, rejects or adjusts the scenario recommendation.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Review status + audit trail</w:t>
            </w:r>
          </w:p>
        </w:tc>
      </w:tr>
    </w:tbl>
    <w:p>
      <w:pPr>
        <w:spacing w:after="40"/>
      </w:pPr>
    </w:p>
    <w:p>
      <w:r>
        <w:br w:type="page"/>
      </w:r>
    </w:p>
    <w:p>
      <w:pPr>
        <w:pStyle w:val="Heading1"/>
      </w:pPr>
      <w:r>
        <w:t>22. Prototype Implementation Order</w:t>
      </w:r>
    </w:p>
    <w:p>
      <w:pPr>
        <w:pStyle w:val="ListNumber"/>
        <w:spacing w:after="60"/>
      </w:pPr>
      <w:r>
        <w:t>Create canonical identifiers, enums, common metadata envelope and snapshot semantics.</w:t>
      </w:r>
    </w:p>
    <w:p>
      <w:pPr>
        <w:pStyle w:val="ListNumber"/>
        <w:spacing w:after="60"/>
      </w:pPr>
      <w:r>
        <w:t>Create PostgreSQL/PostGIS logical schema and seed a small synthetic/public study area.</w:t>
      </w:r>
    </w:p>
    <w:p>
      <w:pPr>
        <w:pStyle w:val="ListNumber"/>
        <w:spacing w:after="60"/>
      </w:pPr>
      <w:r>
        <w:t>Implement E6 ingestion/validation/provenance and baseline snapshot creation.</w:t>
      </w:r>
    </w:p>
    <w:p>
      <w:pPr>
        <w:pStyle w:val="ListNumber"/>
        <w:spacing w:after="60"/>
      </w:pPr>
      <w:r>
        <w:t>Implement E1 current hazard + prediction output against the canonical hazard contract.</w:t>
      </w:r>
    </w:p>
    <w:p>
      <w:pPr>
        <w:pStyle w:val="ListNumber"/>
        <w:spacing w:after="60"/>
      </w:pPr>
      <w:r>
        <w:t>Implement E2 exposure, vulnerability and explainable priority against the same snapshot.</w:t>
      </w:r>
    </w:p>
    <w:p>
      <w:pPr>
        <w:pStyle w:val="ListNumber"/>
        <w:spacing w:after="60"/>
      </w:pPr>
      <w:r>
        <w:t>Implement E3 destination safety/capacity and bottleneck state using the canonical demand context.</w:t>
      </w:r>
    </w:p>
    <w:p>
      <w:pPr>
        <w:pStyle w:val="ListNumber"/>
        <w:spacing w:after="60"/>
      </w:pPr>
      <w:r>
        <w:t>Implement E4 route and allocation services against E1/E2/E3 contracts.</w:t>
      </w:r>
    </w:p>
    <w:p>
      <w:pPr>
        <w:pStyle w:val="ListNumber"/>
        <w:spacing w:after="60"/>
      </w:pPr>
      <w:r>
        <w:t>Implement E5 scenario creation, isolation, dependency-aware reruns and delta analysis.</w:t>
      </w:r>
    </w:p>
    <w:p>
      <w:pPr>
        <w:pStyle w:val="ListNumber"/>
        <w:spacing w:after="60"/>
      </w:pPr>
      <w:r>
        <w:t>Build dashboard read models that expose snapshot, freshness, uncertainty and reason codes.</w:t>
      </w:r>
    </w:p>
    <w:p>
      <w:pPr>
        <w:pStyle w:val="ListNumber"/>
        <w:spacing w:after="60"/>
      </w:pPr>
      <w:r>
        <w:t>Run unit, spatial, temporal, contract, conservation, scenario and failure-injection tests.</w:t>
      </w:r>
    </w:p>
    <w:p>
      <w:pPr>
        <w:pStyle w:val="ListNumber"/>
        <w:spacing w:after="60"/>
      </w:pPr>
      <w:r>
        <w:t>Only then polish visual presentation and integrate the end-to-end demo narrative.</w:t>
      </w:r>
    </w:p>
    <w:p>
      <w:pPr>
        <w:pStyle w:val="Heading1"/>
      </w:pPr>
      <w:r>
        <w:t>23. Decisions This Specification Makes Explicit but Does Not Pretend to Resolve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Open decision</w:t>
            </w:r>
          </w:p>
        </w:tc>
        <w:tc>
          <w:tcPr>
            <w:tcW w:type="dxa" w:w="3389"/>
            <w:vAlign w:val="center"/>
            <w:shd w:fill="1F4E79"/>
          </w:tcPr>
          <w:p>
            <w:pPr>
              <w:spacing w:after="20"/>
              <w:jc w:val="center"/>
            </w:pPr>
            <w:r/>
            <w:r>
              <w:rPr>
                <w:rFonts w:ascii="Aptos" w:hAnsi="Aptos"/>
                <w:b/>
                <w:color w:val="FFFFFF"/>
                <w:sz w:val="17"/>
              </w:rPr>
              <w:t>Current specification treatment</w:t>
            </w:r>
          </w:p>
        </w:tc>
        <w:tc>
          <w:tcPr>
            <w:tcW w:type="dxa" w:w="3389"/>
            <w:vAlign w:val="center"/>
            <w:shd w:fill="1F4E79"/>
          </w:tcPr>
          <w:p>
            <w:pPr>
              <w:spacing w:after="20"/>
              <w:jc w:val="center"/>
            </w:pPr>
            <w:r/>
            <w:r>
              <w:rPr>
                <w:rFonts w:ascii="Aptos" w:hAnsi="Aptos"/>
                <w:b/>
                <w:color w:val="FFFFFF"/>
                <w:sz w:val="17"/>
              </w:rPr>
              <w:t>Resolution path</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Exact Red-Zone threshold/calibration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Configured criterion reference; not hard-coded here.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Prototype hazard research + validation against known events/scenarios.</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Prediction target / evaluation metric</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Prediction contract fixed; target metric remains hazard-specific.</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Select based on available data and validation design.</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Priority formula and weights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Priority class + explainable factors are fixed; weights remain configurable.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Research + sensitivity tests + domain review.</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Resource-to-people conversion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Resource-specific supportable_people field; C_eff=min(C_d,r) candidate representation.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Choose resource conversion model per prototype data.</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Route cost decomposition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Expose separate time/hazard/reliability/accessibility/disruption terms.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Define exact terms and units before implementation.</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Uncertainty/reliability treatment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Keep separate concepts; transport uncertainty through confidence fields.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Validate calibration/aggregation during prototype.</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Solver choice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CP-SAT/MILP/min-cost-flow are candidates; contract independent of solver.</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Choose on prototype scale/formulation.</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Replanning thresholds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Trigger categories defined; exact thresholds configurable.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 testing + stability analysis.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Authentication depth</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Role-based baseline.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Apply to actual demo environment.</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Study area / dataset</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Synthetic/public adapter required; exact dataset not fixed here.</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Select reproducible study area and document source/licensing.</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E2F0D9"/>
            <w:tcBorders>
              <w:top w:val="single" w:sz="12" w:color="548235"/>
              <w:left w:val="single" w:sz="8" w:color="548235"/>
              <w:bottom w:val="single" w:sz="8" w:color="548235"/>
              <w:right w:val="single" w:sz="8" w:color="548235"/>
            </w:tcBorders>
          </w:tcPr>
          <w:p>
            <w:pPr>
              <w:spacing w:after="40"/>
            </w:pPr>
            <w:r>
              <w:rPr>
                <w:b/>
                <w:color w:val="548235"/>
                <w:sz w:val="21"/>
              </w:rPr>
              <w:t>Do not reopen R&amp;D unless necessary</w:t>
            </w:r>
          </w:p>
          <w:p>
            <w:pPr>
              <w:spacing w:after="20"/>
            </w:pPr>
            <w:r>
              <w:rPr>
                <w:color w:val="263238"/>
                <w:sz w:val="18"/>
              </w:rPr>
              <w:t>These are integration-stage decisions already expected by the cross-engine synthesis. Reopen an engine R&amp;D package only when testing exposes a genuine contradiction, missing dependency or unacceptable assumption.</w:t>
            </w:r>
          </w:p>
        </w:tc>
      </w:tr>
    </w:tbl>
    <w:p>
      <w:pPr>
        <w:spacing w:after="40"/>
      </w:pPr>
    </w:p>
    <w:p>
      <w:pPr>
        <w:pStyle w:val="Heading1"/>
      </w:pPr>
      <w:r>
        <w:t>24. Prototype Configuration Registry</w:t>
      </w:r>
    </w:p>
    <w:p>
      <w:r>
        <w:t>To avoid scattering hidden constants through code, prototype-sensitive choices should live in explicit configuration records and be referenced from runs/snapshots.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9"/>
            <w:vAlign w:val="center"/>
            <w:shd w:fill="1F4E79"/>
          </w:tcPr>
          <w:p>
            <w:pPr>
              <w:spacing w:after="20"/>
              <w:jc w:val="center"/>
            </w:pPr>
            <w:r/>
            <w:r>
              <w:rPr>
                <w:rFonts w:ascii="Aptos" w:hAnsi="Aptos"/>
                <w:b/>
                <w:color w:val="FFFFFF"/>
                <w:sz w:val="17"/>
              </w:rPr>
              <w:t>Config domain</w:t>
            </w:r>
          </w:p>
        </w:tc>
        <w:tc>
          <w:tcPr>
            <w:tcW w:type="dxa" w:w="3389"/>
            <w:vAlign w:val="center"/>
            <w:shd w:fill="1F4E79"/>
          </w:tcPr>
          <w:p>
            <w:pPr>
              <w:spacing w:after="20"/>
              <w:jc w:val="center"/>
            </w:pPr>
            <w:r/>
            <w:r>
              <w:rPr>
                <w:rFonts w:ascii="Aptos" w:hAnsi="Aptos"/>
                <w:b/>
                <w:color w:val="FFFFFF"/>
                <w:sz w:val="17"/>
              </w:rPr>
              <w:t>Example keys</w:t>
            </w:r>
          </w:p>
        </w:tc>
        <w:tc>
          <w:tcPr>
            <w:tcW w:type="dxa" w:w="3389"/>
            <w:vAlign w:val="center"/>
            <w:shd w:fill="1F4E79"/>
          </w:tcPr>
          <w:p>
            <w:pPr>
              <w:spacing w:after="20"/>
              <w:jc w:val="center"/>
            </w:pPr>
            <w:r/>
            <w:r>
              <w:rPr>
                <w:rFonts w:ascii="Aptos" w:hAnsi="Aptos"/>
                <w:b/>
                <w:color w:val="FFFFFF"/>
                <w:sz w:val="17"/>
              </w:rPr>
              <w:t>Why it belongs in configuration</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Hazard / Red Zone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red_zone_thresholds, hazard_type_rules, spatial_tolerance</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Thresholds may change with hazard/context and must be traceable.</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Prediction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prediction_horizon, model_version, confidence_representation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Allows method substitution without changing downstream contracts.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Priority</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priority_weights, class_thresholds, override_rules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Keeps policy/configuration separate from household data.</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Capacity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resource_conversion_rules, safety_buffer, bottleneck_policy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Prevents hidden per-person assumptions.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Routing</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edge_state_policy, arrival_window, route_cost_weights, switching_margin</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Supports risk-aware and stable route behavior.</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Allocation</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solver, time_limit, candidate_limit, priority_policy</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Allows solver swap without breaking API semantics.</w:t>
            </w:r>
          </w:p>
        </w:tc>
      </w:tr>
      <w:tr>
        <w:trPr>
          <w:cantSplit/>
        </w:trPr>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Freshness</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freshness_thresholds_by_source_or_dataset</w:t>
            </w:r>
          </w:p>
        </w:tc>
        <w:tc>
          <w:tcPr>
            <w:tcW w:type="dxa" w:w="3389"/>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Avoids universal stale-data assumptions.</w:t>
            </w:r>
          </w:p>
        </w:tc>
      </w:tr>
      <w:tr>
        <w:trPr>
          <w:cantSplit/>
        </w:trPr>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Scenario</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allowed_parameter_ranges, recompute_scope_rules</w:t>
            </w:r>
          </w:p>
        </w:tc>
        <w:tc>
          <w:tcPr>
            <w:tcW w:type="dxa" w:w="3389"/>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Makes what-if behavior explicit and reproducible.</w:t>
            </w:r>
          </w:p>
        </w:tc>
      </w:tr>
    </w:tbl>
    <w:p>
      <w:pPr>
        <w:spacing w:after="40"/>
      </w:pPr>
    </w:p>
    <w:p>
      <w:pPr>
        <w:pStyle w:val="Heading1"/>
      </w:pPr>
      <w:r>
        <w:t>25. Requirements for the Eventual Master AI Build Specification</w:t>
      </w:r>
    </w:p>
    <w:p>
      <w:pPr>
        <w:pStyle w:val="ListBullet"/>
        <w:spacing w:after="60"/>
      </w:pPr>
      <w:r>
        <w:t>Treat this document as the canonical integration contract and preserve engine ownership boundaries.</w:t>
      </w:r>
    </w:p>
    <w:p>
      <w:pPr>
        <w:pStyle w:val="ListBullet"/>
        <w:spacing w:after="60"/>
      </w:pPr>
      <w:r>
        <w:t>Use the canonical field names/enums as the implementation baseline unless a documented test or source requires change.</w:t>
      </w:r>
    </w:p>
    <w:p>
      <w:pPr>
        <w:pStyle w:val="ListBullet"/>
        <w:spacing w:after="60"/>
      </w:pPr>
      <w:r>
        <w:t>Implement all dynamic outputs with snapshot/scenario/provenance context.</w:t>
      </w:r>
    </w:p>
    <w:p>
      <w:pPr>
        <w:pStyle w:val="ListBullet"/>
        <w:spacing w:after="60"/>
      </w:pPr>
      <w:r>
        <w:t>Never hide missing/stale/unknown information behind default safe-looking values.</w:t>
      </w:r>
    </w:p>
    <w:p>
      <w:pPr>
        <w:pStyle w:val="ListBullet"/>
        <w:spacing w:after="60"/>
      </w:pPr>
      <w:r>
        <w:t>Never force an unsafe route or allocation to produce a complete-looking result.</w:t>
      </w:r>
    </w:p>
    <w:p>
      <w:pPr>
        <w:pStyle w:val="ListBullet"/>
        <w:spacing w:after="60"/>
      </w:pPr>
      <w:r>
        <w:t>Keep scenario state isolated from baseline.</w:t>
      </w:r>
    </w:p>
    <w:p>
      <w:pPr>
        <w:pStyle w:val="ListBullet"/>
        <w:spacing w:after="60"/>
      </w:pPr>
      <w:r>
        <w:t>Keep domain algorithms modular so E1/E2/E3/E4 methods can be changed without rewriting the data model.</w:t>
      </w:r>
    </w:p>
    <w:p>
      <w:pPr>
        <w:pStyle w:val="ListBullet"/>
        <w:spacing w:after="60"/>
      </w:pPr>
      <w:r>
        <w:t>Prefer a modular monolith for the SIH prototype; design contracts so modules can later be separated.</w:t>
      </w:r>
    </w:p>
    <w:p>
      <w:pPr>
        <w:pStyle w:val="ListBullet"/>
        <w:spacing w:after="60"/>
      </w:pPr>
      <w:r>
        <w:t>Build the smallest end-to-end loop that demonstrates a decision-changing hazard scenario rather than many disconnected features.</w:t>
      </w:r>
    </w:p>
    <w:p>
      <w:pPr>
        <w:pStyle w:val="ListBullet"/>
        <w:spacing w:after="60"/>
      </w:pPr>
      <w:r>
        <w:t>Label synthetic values and prototype outputs clearly; do not claim operational deployment or measured accuracy without evidence.</w:t>
      </w:r>
    </w:p>
    <w:p>
      <w:r>
        <w:br w:type="page"/>
      </w:r>
    </w:p>
    <w:p>
      <w:pPr>
        <w:pStyle w:val="Heading1"/>
      </w:pPr>
      <w:r>
        <w:t>26. Source Basis &amp; References</w:t>
      </w:r>
    </w:p>
    <w:p>
      <w:r>
        <w:t>This specification is source-derived from the PRISM R&amp;D packages and cross-engine synthesis already produced by the team. External standards listed below are carried forward as implementation references from Engine 6; they are not treated as exhaustive research coverage.</w:t>
      </w:r>
    </w:p>
    <w:p>
      <w:pPr>
        <w:pStyle w:val="ListNumber"/>
        <w:spacing w:after="60"/>
      </w:pPr>
      <w:r>
        <w:t>PRISM — Multi-Hazard Intelligence &amp; Prediction Engine, Technical Research &amp; Engineering Knowledge Document (internal team source).</w:t>
      </w:r>
    </w:p>
    <w:p>
      <w:pPr>
        <w:pStyle w:val="ListNumber"/>
        <w:spacing w:after="60"/>
      </w:pPr>
      <w:r>
        <w:t>PRISM — Habitation &amp; Household Vulnerability + Priority Engine, Technical Research &amp; Engineering Knowledge Document (internal team source).</w:t>
      </w:r>
    </w:p>
    <w:p>
      <w:pPr>
        <w:pStyle w:val="ListNumber"/>
        <w:spacing w:after="60"/>
      </w:pPr>
      <w:r>
        <w:t>PRISM — Safe Destination &amp; Dynamic Capacity Engine, Technical Concept &amp; Implementation Document (internal team source).</w:t>
      </w:r>
    </w:p>
    <w:p>
      <w:pPr>
        <w:pStyle w:val="ListNumber"/>
        <w:spacing w:after="60"/>
      </w:pPr>
      <w:r>
        <w:t>PRISM — Safe Route Intelligence &amp; Relocation Optimization Engine, Technical Research &amp; Engineering Knowledge Document (internal team source).</w:t>
      </w:r>
    </w:p>
    <w:p>
      <w:pPr>
        <w:pStyle w:val="ListNumber"/>
        <w:spacing w:after="60"/>
      </w:pPr>
      <w:r>
        <w:t>PRISM — Predictive Simulation &amp; Adaptation Layer, Technical Research &amp; Engineering Knowledge Document (internal team source).</w:t>
      </w:r>
    </w:p>
    <w:p>
      <w:pPr>
        <w:pStyle w:val="ListNumber"/>
        <w:spacing w:after="60"/>
      </w:pPr>
      <w:r>
        <w:t>PRISM — Data / GIS + System Integration Engine, Technical Research &amp; Engineering Knowledge Document (internal team source).</w:t>
      </w:r>
    </w:p>
    <w:p>
      <w:pPr>
        <w:pStyle w:val="ListNumber"/>
        <w:spacing w:after="60"/>
      </w:pPr>
      <w:r>
        <w:t>PRISM — Cross-Engine Synthesis v1.0 (internal team source).</w:t>
      </w:r>
    </w:p>
    <w:p>
      <w:pPr>
        <w:pStyle w:val="ListNumber"/>
        <w:spacing w:after="60"/>
      </w:pPr>
      <w:r>
        <w:t>National Institute of Disaster Management (NIDM), Need for GIS-Based National Disaster Management Information System. https://nidm.gov.in/pdf/guidelines/new/ndmandmicsguidelines.pdf</w:t>
      </w:r>
    </w:p>
    <w:p>
      <w:pPr>
        <w:pStyle w:val="ListNumber"/>
        <w:spacing w:after="60"/>
      </w:pPr>
      <w:r>
        <w:t>Open Geospatial Consortium, OGC API - Features. https://www.ogc.org/standards/ogcapi-features/</w:t>
      </w:r>
    </w:p>
    <w:p>
      <w:pPr>
        <w:pStyle w:val="ListNumber"/>
        <w:spacing w:after="60"/>
      </w:pPr>
      <w:r>
        <w:t>Open Geospatial Consortium, OGC API - Processes. https://www.ogc.org/standards/ogcapi-processes/</w:t>
      </w:r>
    </w:p>
    <w:p>
      <w:pPr>
        <w:pStyle w:val="ListNumber"/>
        <w:spacing w:after="60"/>
      </w:pPr>
      <w:r>
        <w:t>IETF RFC 7946 — The GeoJSON Format. https://www.rfc-editor.org/info/rfc7946/</w:t>
      </w:r>
    </w:p>
    <w:p>
      <w:pPr>
        <w:pStyle w:val="ListNumber"/>
        <w:spacing w:after="60"/>
      </w:pPr>
      <w:r>
        <w:t>PostGIS Project, PostGIS Documentation. https://postgis.net/docs/en/</w:t>
      </w:r>
    </w:p>
    <w:p>
      <w:pPr>
        <w:pStyle w:val="ListNumber"/>
        <w:spacing w:after="60"/>
      </w:pPr>
      <w:r>
        <w:t>OpenAPI Initiative, OpenAPI Specification. https://spec.openapis.org/oas/</w:t>
      </w:r>
    </w:p>
    <w:p>
      <w:pPr>
        <w:pStyle w:val="ListNumber"/>
        <w:spacing w:after="60"/>
      </w:pPr>
      <w:r>
        <w:t>SpatioTemporal Asset Catalog (STAC), specification and documentation. https://stacspec.org/en/</w:t>
      </w:r>
    </w:p>
    <w:p>
      <w:pPr>
        <w:pStyle w:val="ListNumber"/>
        <w:spacing w:after="60"/>
      </w:pPr>
      <w:r>
        <w:t>W3C, PROV-O: The PROV Ontology. https://www.w3.org/TR/prov-o/</w:t>
      </w:r>
    </w:p>
    <w:p>
      <w:pPr>
        <w:pStyle w:val="ListNumber"/>
        <w:spacing w:after="60"/>
      </w:pPr>
      <w:r>
        <w:t>W3C, PROV Overview. https://www.w3.org/TR/prov-overview/</w:t>
      </w:r>
    </w:p>
    <w:p>
      <w:pPr>
        <w:pStyle w:val="ListNumber"/>
        <w:spacing w:after="60"/>
      </w:pPr>
      <w:r>
        <w:t>NDMA, SACHET — National Disaster Alert Portal. https://sachet.ndma.gov.in/</w:t>
      </w:r>
    </w:p>
    <w:p>
      <w:pPr>
        <w:pStyle w:val="ListNumber"/>
        <w:spacing w:after="60"/>
      </w:pPr>
      <w:r>
        <w:t>PostgreSQL Documentation, roles/security controls. https://www.postgresql.org/docs/current/</w:t>
      </w:r>
    </w:p>
    <w:p>
      <w:r>
        <w:rPr>
          <w:i/>
          <w:color w:val="666666"/>
          <w:sz w:val="17"/>
        </w:rPr>
        <w:t>Source-use discipline inherited from the R&amp;D packages: internal PRISM documents preserve intended architecture and terminology; additional credible official or peer-reviewed sources may be added later when a technical gap requires resolution; proposed engineering choices must be distinguished from externally established facts.</w:t>
      </w:r>
    </w:p>
    <w:p>
      <w:r>
        <w:br w:type="page"/>
      </w:r>
    </w:p>
    <w:p>
      <w:pPr>
        <w:pStyle w:val="Heading1"/>
      </w:pPr>
      <w:r>
        <w:t>27. Specification Status &amp; Handoff</w:t>
      </w:r>
    </w:p>
    <w:tbl>
      <w:tblPr>
        <w:tblW w:type="auto" w:w="0"/>
        <w:jc w:val="center"/>
        <w:tblLayout w:type="fixed"/>
        <w:tblLook w:firstColumn="1" w:firstRow="1" w:lastColumn="0" w:lastRow="0" w:noHBand="0" w:noVBand="1" w:val="04A0"/>
      </w:tblPr>
      <w:tblGrid>
        <w:gridCol w:w="10166"/>
      </w:tblGrid>
      <w:tr>
        <w:tc>
          <w:tcPr>
            <w:tcW w:type="dxa" w:w="10166"/>
            <w:shd w:fill="E2F0D9"/>
            <w:tcBorders>
              <w:top w:val="single" w:sz="12" w:color="548235"/>
              <w:left w:val="single" w:sz="8" w:color="548235"/>
              <w:bottom w:val="single" w:sz="8" w:color="548235"/>
              <w:right w:val="single" w:sz="8" w:color="548235"/>
            </w:tcBorders>
          </w:tcPr>
          <w:p>
            <w:pPr>
              <w:spacing w:after="40"/>
            </w:pPr>
            <w:r>
              <w:rPr>
                <w:b/>
                <w:color w:val="548235"/>
                <w:sz w:val="21"/>
              </w:rPr>
              <w:t>STATUS: BASELINE COMPLETE</w:t>
            </w:r>
          </w:p>
          <w:p>
            <w:pPr>
              <w:spacing w:after="20"/>
            </w:pPr>
            <w:r>
              <w:rPr>
                <w:color w:val="263238"/>
                <w:sz w:val="18"/>
              </w:rPr>
              <w:t>The Unified Data Model and Cross-Engine Interface baseline is now explicit enough to support the next engineering artifact: the System Architecture Specification.</w:t>
            </w:r>
          </w:p>
        </w:tc>
      </w:tr>
    </w:tbl>
    <w:p>
      <w:pPr>
        <w:spacing w:after="40"/>
      </w:pP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vAlign w:val="center"/>
            <w:shd w:fill="1F4E79"/>
          </w:tcPr>
          <w:p>
            <w:pPr>
              <w:spacing w:after="20"/>
              <w:jc w:val="center"/>
            </w:pPr>
            <w:r/>
            <w:r>
              <w:rPr>
                <w:rFonts w:ascii="Aptos" w:hAnsi="Aptos"/>
                <w:b/>
                <w:color w:val="FFFFFF"/>
                <w:sz w:val="17"/>
              </w:rPr>
              <w:t>Completed in this artifact</w:t>
            </w:r>
          </w:p>
        </w:tc>
        <w:tc>
          <w:tcPr>
            <w:tcW w:type="dxa" w:w="5083"/>
            <w:vAlign w:val="center"/>
            <w:shd w:fill="1F4E79"/>
          </w:tcPr>
          <w:p>
            <w:pPr>
              <w:spacing w:after="20"/>
              <w:jc w:val="center"/>
            </w:pPr>
            <w:r/>
            <w:r>
              <w:rPr>
                <w:rFonts w:ascii="Aptos" w:hAnsi="Aptos"/>
                <w:b/>
                <w:color w:val="FFFFFF"/>
                <w:sz w:val="17"/>
              </w:rPr>
              <w:t>Handoff consequence</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Canonical PRISM entities and ownership</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 developers share one vocabulary and stable IDs.</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Shared metadata envelope</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Dynamic outputs carry time, source, quality, confidence, scenario and snapshot context.</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State enums and temporal semantics</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UNKNOWN/STALE and observed/forecast/scenario states remain explicit.</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Cross-engine contracts</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Engines can be built against payload semantics without reaching into one another’s internals.</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Event propagation</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Changes can propagate in dependency order rather than through ad-hoc calls.</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Snapshot + scenario isolation</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Baseline and what-if states remain traceable and comparable.</w:t>
            </w:r>
          </w:p>
        </w:tc>
      </w:tr>
      <w:tr>
        <w:trPr>
          <w:cantSplit/>
        </w:trPr>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Prototype database/API domains</w:t>
            </w:r>
          </w:p>
        </w:tc>
        <w:tc>
          <w:tcPr>
            <w:tcW w:type="dxa" w:w="5083"/>
            <w:vAlign w:val="center"/>
            <w:shd w:fill="FFFFFF"/>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The next system-architecture document can map these logical domains to concrete modules/deployment.</w:t>
            </w:r>
          </w:p>
        </w:tc>
      </w:tr>
      <w:tr>
        <w:trPr>
          <w:cantSplit/>
        </w:trPr>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Validation and open decisions</w:t>
            </w:r>
          </w:p>
        </w:tc>
        <w:tc>
          <w:tcPr>
            <w:tcW w:type="dxa" w:w="5083"/>
            <w:vAlign w:val="center"/>
            <w:shd w:fill="F8FBFD"/>
            <w:tcBorders>
              <w:top w:val="single" w:sz="4" w:color="D9E2F3"/>
              <w:left w:val="single" w:sz="4" w:color="D9E2F3"/>
              <w:bottom w:val="single" w:sz="4" w:color="D9E2F3"/>
              <w:right w:val="single" w:sz="4" w:color="D9E2F3"/>
            </w:tcBorders>
          </w:tcPr>
          <w:p>
            <w:pPr>
              <w:spacing w:after="20"/>
            </w:pPr>
            <w:r/>
            <w:r>
              <w:rPr>
                <w:rFonts w:ascii="Aptos" w:hAnsi="Aptos"/>
                <w:b w:val="0"/>
                <w:color w:val="263238"/>
                <w:sz w:val="17"/>
              </w:rPr>
              <w:t>The build stage knows what is fixed, configurable and still needs empirical validation.</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FFF2CC"/>
            <w:tcBorders>
              <w:top w:val="single" w:sz="12" w:color="7F6000"/>
              <w:left w:val="single" w:sz="8" w:color="7F6000"/>
              <w:bottom w:val="single" w:sz="8" w:color="7F6000"/>
              <w:right w:val="single" w:sz="8" w:color="7F6000"/>
            </w:tcBorders>
          </w:tcPr>
          <w:p>
            <w:pPr>
              <w:spacing w:after="40"/>
            </w:pPr>
            <w:r>
              <w:rPr>
                <w:b/>
                <w:color w:val="7F6000"/>
                <w:sz w:val="21"/>
              </w:rPr>
              <w:t>NEXT ARTIFACT</w:t>
            </w:r>
          </w:p>
          <w:p>
            <w:pPr>
              <w:spacing w:after="20"/>
            </w:pPr>
            <w:r>
              <w:rPr>
                <w:color w:val="263238"/>
                <w:sz w:val="18"/>
              </w:rPr>
              <w:t>PRISM — System Architecture Specification v1.0: concrete module boundaries, backend/frontend architecture, PostgreSQL/PostGIS schema mapping, API implementation structure, routing/optimization components, scenario execution design, authentication, deployment, observability, repository structure and prototype build plan.</w:t>
            </w:r>
          </w:p>
        </w:tc>
      </w:tr>
    </w:tbl>
    <w:p>
      <w:pPr>
        <w:spacing w:after="40"/>
      </w:pPr>
    </w:p>
    <w:p>
      <w:pPr>
        <w:spacing w:before="400"/>
        <w:jc w:val="center"/>
      </w:pPr>
      <w:r>
        <w:rPr>
          <w:b/>
          <w:color w:val="1F4E79"/>
          <w:sz w:val="32"/>
        </w:rPr>
        <w:t>PRISM</w:t>
        <w:br/>
        <w:t>Predictive Relocation &amp; Infrastructure Safety Matrix</w:t>
      </w:r>
    </w:p>
    <w:p>
      <w:pPr>
        <w:jc w:val="center"/>
      </w:pPr>
      <w:r>
        <w:rPr>
          <w:b/>
          <w:sz w:val="20"/>
        </w:rPr>
        <w:t>HAZARD  →  HUMAN  →  PRIORITY  →  CAPACITY  →  RELOCATION  →  ACTION</w:t>
      </w:r>
    </w:p>
    <w:sectPr w:rsidR="00FC693F" w:rsidRPr="0006063C" w:rsidSect="00034616">
      <w:headerReference w:type="default" r:id="rId9"/>
      <w:footerReference w:type="default" r:id="rId10"/>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Internal engineering artifact  •  Prototype planning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PRISM  |  Unified Data Model &amp; Cross-Engine Interface Specification  |  Draft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4462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 Unified Data Model &amp; Cross-Engine Interface Specification v1.0 Draft</dc:title>
  <dc:subject>PRISM SIH prototype engineering baseline</dc:subject>
  <dc:creator>PRISM Team</dc:creator>
  <cp:keywords>PRISM, SIH 26191, data model, cross-engine contracts, GIS, disaster management, relocation</cp:keywords>
  <dc:description>Internal prototype engineering artifact; draft baseline.</dc:description>
  <cp:lastModifiedBy/>
  <cp:revision>1</cp:revision>
  <dcterms:created xsi:type="dcterms:W3CDTF">2013-12-23T23:15:00Z</dcterms:created>
  <dcterms:modified xsi:type="dcterms:W3CDTF">2013-12-23T23:15:00Z</dcterms:modified>
  <cp:category/>
</cp:coreProperties>
</file>